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8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48260</wp:posOffset>
            </wp:positionV>
            <wp:extent cx="1430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655"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-259715</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May 9, 2019</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38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6"/>
          <w:szCs w:val="36"/>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-259715</wp:posOffset>
            </wp:positionV>
            <wp:extent cx="3143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21590</wp:posOffset>
            </wp:positionV>
            <wp:extent cx="3143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ectPr>
          <w:pgSz w:w="11900" w:h="16838" w:orient="portrait"/>
          <w:cols w:equalWidth="0" w:num="1">
            <w:col w:w="11520"/>
          </w:cols>
          <w:pgMar w:left="240" w:top="672" w:right="139" w:bottom="1440" w:gutter="0" w:footer="0" w:header="0"/>
        </w:sectPr>
      </w:pPr>
    </w:p>
    <w:p>
      <w:pPr>
        <w:spacing w:after="0" w:line="200" w:lineRule="exact"/>
        <w:rPr>
          <w:sz w:val="24"/>
          <w:szCs w:val="24"/>
          <w:color w:val="auto"/>
        </w:rPr>
      </w:pPr>
    </w:p>
    <w:p>
      <w:pPr>
        <w:spacing w:after="0" w:line="36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7"/>
          <w:szCs w:val="17"/>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26-0138832</w:t>
      </w:r>
    </w:p>
    <w:p>
      <w:pPr>
        <w:spacing w:after="0" w:line="74" w:lineRule="exact"/>
        <w:rPr>
          <w:sz w:val="24"/>
          <w:szCs w:val="24"/>
          <w:color w:val="auto"/>
        </w:rPr>
      </w:pPr>
    </w:p>
    <w:p>
      <w:pPr>
        <w:sectPr>
          <w:pgSz w:w="11900" w:h="16838" w:orient="portrait"/>
          <w:cols w:equalWidth="0" w:num="3">
            <w:col w:w="4660" w:space="720"/>
            <w:col w:w="2540" w:space="720"/>
            <w:col w:w="2880"/>
          </w:cols>
          <w:pgMar w:left="240" w:top="672" w:right="13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42" w:lineRule="exact"/>
        <w:rPr>
          <w:sz w:val="24"/>
          <w:szCs w:val="24"/>
          <w:color w:val="auto"/>
        </w:rPr>
      </w:pPr>
    </w:p>
    <w:p>
      <w:pPr>
        <w:sectPr>
          <w:pgSz w:w="11900" w:h="16838" w:orient="portrait"/>
          <w:cols w:equalWidth="0" w:num="3">
            <w:col w:w="4000" w:space="720"/>
            <w:col w:w="2220" w:space="720"/>
            <w:col w:w="3860"/>
          </w:cols>
          <w:pgMar w:left="240" w:top="672" w:right="1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8"/>
          <w:szCs w:val="18"/>
          <w:b w:val="1"/>
          <w:bCs w:val="1"/>
          <w:color w:val="auto"/>
        </w:rPr>
        <w:t>incorporation)</w:t>
      </w:r>
    </w:p>
    <w:p>
      <w:pPr>
        <w:sectPr>
          <w:pgSz w:w="11900" w:h="16838" w:orient="portrait"/>
          <w:cols w:equalWidth="0" w:num="1">
            <w:col w:w="11520"/>
          </w:cols>
          <w:pgMar w:left="240" w:top="672" w:right="139" w:bottom="1440" w:gutter="0" w:footer="0" w:header="0"/>
          <w:type w:val="continuous"/>
        </w:sectPr>
      </w:pPr>
    </w:p>
    <w:p>
      <w:pPr>
        <w:spacing w:after="0" w:line="17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333 Brannan St.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94107</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33" w:lineRule="exact"/>
        <w:rPr>
          <w:sz w:val="24"/>
          <w:szCs w:val="24"/>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520"/>
          </w:cols>
          <w:pgMar w:left="240" w:top="672" w:right="1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2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On May 9, 2019, Dropbox, Inc. (“Dropbox”) issued a press release and will hold a conference call announcing its financial results for the quarter ended March 31, 2019. A copy of the press release is attached as Exhibit 99.1 to this current report on Form 8-K and is incorporated by reference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2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On May 9, 2019,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99"/>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entitled “Dropbox Announces Fiscal 2019 First Quarter Results” dated May 9, 2019</w:t>
              </w:r>
            </w:hyperlink>
          </w:p>
        </w:tc>
        <w:tc>
          <w:tcPr>
            <w:tcW w:w="2920" w:type="dxa"/>
            <w:vAlign w:val="bottom"/>
          </w:tcPr>
          <w:p>
            <w:pPr>
              <w:spacing w:after="0"/>
              <w:rPr>
                <w:sz w:val="17"/>
                <w:szCs w:val="17"/>
                <w:color w:val="auto"/>
              </w:rPr>
            </w:pPr>
          </w:p>
        </w:tc>
      </w:tr>
    </w:tbl>
    <w:p>
      <w:pPr>
        <w:sectPr>
          <w:pgSz w:w="11900" w:h="16838" w:orient="portrait"/>
          <w:cols w:equalWidth="0" w:num="1">
            <w:col w:w="11420"/>
          </w:cols>
          <w:pgMar w:left="240" w:top="792" w:right="2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2019</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34290</wp:posOffset>
            </wp:positionV>
            <wp:extent cx="2827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Ajay Vashee</w:t>
      </w:r>
    </w:p>
    <w:p>
      <w:pPr>
        <w:spacing w:after="0" w:line="6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60"/>
          </w:cols>
          <w:pgMar w:left="240" w:top="576" w:right="3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Dropbox Announces Fiscal 2019 First Quarter Results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Revenue of $385.6 Million, Up 22% Year-over-year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Net Cash Provided by Operating Activities of $63.2 Million and Free Cash Flow of $33.5 Million</w:t>
      </w:r>
    </w:p>
    <w:p>
      <w:pPr>
        <w:spacing w:after="0" w:line="20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May 9, 2019 - Dropbox, Inc. (NASDAQ: DBX), a leading global collaboration platform, today announced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first fiscal quarter ended March 31, 2019.</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kicked off 2019 with a strong Q1, driven by continued paying user growth and ARPU expansion," said Dropbox Co-founder and Chief Executive Officer Drew Houston. "Our 22% top line growth and robust operating margins reflect our efficient go-to-market strategy and operational discipline. We’ve reached a scale few SaaS companies have achieved and continue to ship product experiences that put Dropbox at the center of our users’ workflows. We also closed our first acquisition as a public company with HelloSign, and I'm excited about our future together."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2019 Results</w:t>
      </w:r>
    </w:p>
    <w:p>
      <w:pPr>
        <w:spacing w:after="0" w:line="229" w:lineRule="exact"/>
        <w:rPr>
          <w:sz w:val="20"/>
          <w:szCs w:val="20"/>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$385.6 million, an increase of 22% from the same period last year.</w:t>
      </w:r>
    </w:p>
    <w:p>
      <w:pPr>
        <w:spacing w:after="0" w:line="224"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totaled 13.2 million, inclusive of 0.1 million incremental paying users from our acquisition of HelloSign, as compared to 11.5 million for the same period last year. Average revenue per paying user was $121.04, as compared to $114.30 for the same period last year.</w:t>
      </w:r>
    </w:p>
    <w:p>
      <w:pPr>
        <w:spacing w:after="0" w:line="162" w:lineRule="exact"/>
        <w:rPr>
          <w:rFonts w:ascii="Times New Roman" w:cs="Times New Roman" w:eastAsia="Times New Roman" w:hAnsi="Times New Roman"/>
          <w:sz w:val="18"/>
          <w:szCs w:val="18"/>
          <w:color w:val="auto"/>
        </w:rPr>
      </w:pPr>
    </w:p>
    <w:p>
      <w:pPr>
        <w:ind w:left="660" w:right="120" w:hanging="328"/>
        <w:spacing w:after="0" w:line="284"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gross margin was 74.5%, as compared to 61.9% in the same period last year. Non-GAAP gross margin was 75.4%, as compared to 74.2% in the same period last year. </w:t>
      </w:r>
      <w:r>
        <w:rPr>
          <w:rFonts w:ascii="Times New Roman" w:cs="Times New Roman" w:eastAsia="Times New Roman" w:hAnsi="Times New Roman"/>
          <w:sz w:val="25"/>
          <w:szCs w:val="25"/>
          <w:color w:val="auto"/>
          <w:vertAlign w:val="superscript"/>
        </w:rPr>
        <w:t>(1)</w:t>
      </w:r>
    </w:p>
    <w:p>
      <w:pPr>
        <w:spacing w:after="0" w:line="62" w:lineRule="exact"/>
        <w:rPr>
          <w:rFonts w:ascii="Times New Roman" w:cs="Times New Roman" w:eastAsia="Times New Roman" w:hAnsi="Times New Roman"/>
          <w:sz w:val="18"/>
          <w:szCs w:val="18"/>
          <w:color w:val="auto"/>
        </w:rPr>
      </w:pPr>
    </w:p>
    <w:p>
      <w:pPr>
        <w:ind w:left="660" w:right="160" w:hanging="328"/>
        <w:spacing w:after="0" w:line="284"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operating margin was (5.5%), as compared to (147.3%) in the same period last year. Non-GAAP operating margin was 10.1%, as compared to 10.9% in the same period last year. </w:t>
      </w:r>
      <w:r>
        <w:rPr>
          <w:rFonts w:ascii="Times New Roman" w:cs="Times New Roman" w:eastAsia="Times New Roman" w:hAnsi="Times New Roman"/>
          <w:sz w:val="25"/>
          <w:szCs w:val="25"/>
          <w:color w:val="auto"/>
          <w:vertAlign w:val="superscript"/>
        </w:rPr>
        <w:t>(1)</w:t>
      </w:r>
    </w:p>
    <w:p>
      <w:pPr>
        <w:spacing w:after="0" w:line="62"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net loss was ($7.7) million, as compared to ($465.5) million in the same period last year. Non-GAAP net income was $41.7 million, as compared to $30.9 million in the same period last year. </w:t>
      </w:r>
      <w:r>
        <w:rPr>
          <w:rFonts w:ascii="Times New Roman" w:cs="Times New Roman" w:eastAsia="Times New Roman" w:hAnsi="Times New Roman"/>
          <w:sz w:val="25"/>
          <w:szCs w:val="25"/>
          <w:color w:val="auto"/>
          <w:vertAlign w:val="superscript"/>
        </w:rPr>
        <w:t>(1)</w:t>
      </w:r>
    </w:p>
    <w:p>
      <w:pPr>
        <w:spacing w:after="0" w:line="62"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$63.2 million, as compared to $61.8 million in the same period last year. Free cash flow was $33.5 million, as compared to $51.9 million in the same period last year.</w:t>
      </w:r>
    </w:p>
    <w:p>
      <w:pPr>
        <w:spacing w:after="0" w:line="162"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basic and diluted net loss per share was ($0.02), as compared to ($2.13) in the same period last year. Non-GAAP diluted net income per share was $0.10, as compared to $0.08 in the same period last year. </w:t>
      </w:r>
      <w:r>
        <w:rPr>
          <w:rFonts w:ascii="Times New Roman" w:cs="Times New Roman" w:eastAsia="Times New Roman" w:hAnsi="Times New Roman"/>
          <w:sz w:val="25"/>
          <w:szCs w:val="25"/>
          <w:color w:val="auto"/>
          <w:vertAlign w:val="superscript"/>
        </w:rPr>
        <w:t>(1)(2)</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were $915.2 million at the end of the first quarter of 2019.</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Our first quarter of 2018 results include the impact of stock-based compensation related to two-tier restricted stock units ("RSUs"). These awards had both a service-based</w:t>
      </w:r>
    </w:p>
    <w:p>
      <w:pPr>
        <w:spacing w:after="0" w:line="23" w:lineRule="exact"/>
        <w:rPr>
          <w:rFonts w:ascii="Times New Roman" w:cs="Times New Roman" w:eastAsia="Times New Roman" w:hAnsi="Times New Roman"/>
          <w:sz w:val="22"/>
          <w:szCs w:val="22"/>
          <w:color w:val="auto"/>
          <w:vertAlign w:val="superscript"/>
        </w:rPr>
      </w:pPr>
    </w:p>
    <w:p>
      <w:pPr>
        <w:spacing w:after="0" w:line="285"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condition and a liquidity event-related performance condition. The liquidity event-related performance condition was satisfied upon our IPO. As a result, we recognized $418.7 million in stock-based compensation expense related to two-tier RSUs for which the service-based vesting condition had been met as of the end of the first quarter of 2018. During the first quarter of 2018, we also released 26.8 million shares of common stock underlying the vested two-tier RSUs, and as a result recorded $13.9 million in employer related payroll tax expenses associated with these same awards.</w:t>
      </w:r>
    </w:p>
    <w:p>
      <w:pPr>
        <w:spacing w:after="0" w:line="241" w:lineRule="exact"/>
        <w:rPr>
          <w:rFonts w:ascii="Times New Roman" w:cs="Times New Roman" w:eastAsia="Times New Roman" w:hAnsi="Times New Roman"/>
          <w:sz w:val="22"/>
          <w:szCs w:val="22"/>
          <w:color w:val="auto"/>
          <w:vertAlign w:val="superscript"/>
        </w:rPr>
      </w:pPr>
    </w:p>
    <w:p>
      <w:pPr>
        <w:ind w:right="200" w:firstLine="8"/>
        <w:spacing w:after="0" w:line="275" w:lineRule="auto"/>
        <w:tabs>
          <w:tab w:leader="none" w:pos="17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Non-GAAP diluted net income per share is calculated based upon 417.7 million and 373.1 million diluted weighted-average shares of common stock for the three months ended March 31, 2019 and 2018, respectively.</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HelloSign Acquisition</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Dropbox completed the acquisition of JN Projects, Inc. (d/b/a HelloSign) ("HelloSign"), which provides an e-signature and document workflow platform, on February 8, 2019 for $230 million, consisting primarily of cash payments, subject to customary purchase price adjustments. Of the $230 million of consideration, $48.5 million is subject to on-going employee service. The acquisition of HelloSign expands our content collaboration capabilities to include additional business-critical workflows.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ASC 842</w:t>
      </w:r>
    </w:p>
    <w:p>
      <w:pPr>
        <w:spacing w:after="0" w:line="22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adopted the new leasing standard, ASC 842, on January 1, 2019, which resulted in the recognition of operating right-of-use assets of $431.7 million and operating lease liabilities of $502.4 million on the condensed consolidated balance sheet. We elected to use the optional transition method relating to comparative reporting at adoption. Accordingly, we continue to apply the guidance of ASC 840, including disclosure requirements, in our comparative periods prior to January 1,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Dropbox will provide forward-looking guidance in connection with this quarterly earnings announcement on our conference call, webcast, and on our investor relations website at investors.dropbox.com.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first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ET on May 16, 2019 at (855) 859-2056 from the United States or (404) 537-3406 internationally with recording access code 5191784.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Upcoming Events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Ajay Vashee, Chief Financial Officer, will be presenting at Bank of America Merrill Lynch's 2019 Global Technology Conference in San Francisco, CA, on Tuesday, June 4, 2019 at 3:50 p.m. PT. At that time, a live webcast will be accessible from the Dropbox investor relations website at http://investors.dropbox.com. Following the event, a replay will be made available at the same location.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Dropbox is a leading global collaboration platform that's transforming the way people work together, from the smallest business to the largest enterprise. With more than 500 million registered users across 180 countries, our products are designed to establish a more enlightened way of working. Headquartered in San Francisco, CA, Dropbox has 12 offices around the world. For more information on our mission and products, visit dropbox.com.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 things, statements regarding Dropbox's future operational performance, the demand for our platform and product features, and the benefits from new product experiences and acquisitions.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w:t>
      </w:r>
    </w:p>
    <w:p>
      <w:pPr>
        <w:sectPr>
          <w:pgSz w:w="11900" w:h="16838" w:orient="portrait"/>
          <w:cols w:equalWidth="0" w:num="1">
            <w:col w:w="11420"/>
          </w:cols>
          <w:pgMar w:left="240" w:top="576" w:right="239" w:bottom="1440" w:gutter="0" w:footer="0" w:header="0"/>
        </w:sectPr>
      </w:pPr>
    </w:p>
    <w:bookmarkStart w:id="5" w:name="page6"/>
    <w:bookmarkEnd w:id="5"/>
    <w:p>
      <w:pPr>
        <w:ind w:right="80"/>
        <w:spacing w:after="0" w:line="253" w:lineRule="auto"/>
        <w:rPr>
          <w:sz w:val="20"/>
          <w:szCs w:val="20"/>
          <w:color w:val="auto"/>
        </w:rPr>
      </w:pPr>
      <w:r>
        <w:rPr>
          <w:rFonts w:ascii="Times New Roman" w:cs="Times New Roman" w:eastAsia="Times New Roman" w:hAnsi="Times New Roman"/>
          <w:sz w:val="18"/>
          <w:szCs w:val="18"/>
          <w:color w:val="auto"/>
        </w:rPr>
        <w:t>uncertainties, and assumptions including, but not limited to: (i) our ability to retain and upgrade paying users; (ii) our ability to attract new users or convert registered users to paying users; (iii) our revenue growth rate; (iv) our history of net losses; (v) our liability for any unauthorized access to our data or our users’ content, including through privacy and data security breaches; (vi) significant disruption of service on our platform or loss of content; (vii) any decline in demand for our platform or for content collaboration solutions in general; (viii) changes in the interoperability of our platform across devices, operating systems, and third-party applications that we do not control; (ix) competition in our markets; (x) our ability to respond to rapid technological changes, extend our platform, or develop new features; (xi) our ability to manage our growth or plan for future growth; (xii)</w:t>
      </w:r>
    </w:p>
    <w:p>
      <w:pPr>
        <w:spacing w:after="0" w:line="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acquisition of other businesses and the potential of such acquisitions to require significant management attention, disrupt our business, or dilute stockholder value; and (xiii)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2018. Additional information will be made available in our quarterly report on Form 10-Q and other future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8"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22860</wp:posOffset>
            </wp:positionV>
            <wp:extent cx="3691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6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tcBorders>
              <w:bottom w:val="single" w:sz="8" w:color="CCEEFF"/>
            </w:tcBorders>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5"/>
                <w:szCs w:val="25"/>
                <w:color w:val="auto"/>
                <w:vertAlign w:val="superscript"/>
              </w:rPr>
              <w:t>(1)</w:t>
            </w:r>
          </w:p>
        </w:tc>
        <w:tc>
          <w:tcPr>
            <w:tcW w:w="19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1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19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36"/>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661.6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9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9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6"/>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9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tcBorders>
              <w:top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0" w:type="dxa"/>
            <w:vAlign w:val="bottom"/>
          </w:tcPr>
          <w:p>
            <w:pPr>
              <w:spacing w:after="0"/>
              <w:rPr>
                <w:sz w:val="1"/>
                <w:szCs w:val="1"/>
                <w:color w:val="auto"/>
              </w:rPr>
            </w:pPr>
          </w:p>
        </w:tc>
      </w:tr>
      <w:tr>
        <w:trPr>
          <w:trHeight w:val="67"/>
        </w:trPr>
        <w:tc>
          <w:tcPr>
            <w:tcW w:w="5600" w:type="dxa"/>
            <w:vAlign w:val="bottom"/>
            <w:tcBorders>
              <w:bottom w:val="single" w:sz="8" w:color="CCEEFF"/>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980" w:type="dxa"/>
            <w:vAlign w:val="bottom"/>
            <w:tcBorders>
              <w:bottom w:val="single" w:sz="8" w:color="CCEEFF"/>
            </w:tcBorders>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0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41"/>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1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13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22860</wp:posOffset>
            </wp:positionV>
            <wp:extent cx="3691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6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6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2020" w:type="dxa"/>
            <w:vAlign w:val="bottom"/>
            <w:tcBorders>
              <w:bottom w:val="single" w:sz="8" w:color="CCEEFF"/>
            </w:tcBorders>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282.9</w:t>
            </w:r>
          </w:p>
        </w:tc>
      </w:tr>
      <w:tr>
        <w:trPr>
          <w:trHeight w:val="27"/>
        </w:trPr>
        <w:tc>
          <w:tcPr>
            <w:tcW w:w="56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r>
    </w:tbl>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ind w:left="52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1,210.2</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 obligation</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 non-current liabilities</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2,337.5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676.8</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1,694.1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8"/>
        <w:spacing w:after="0" w:line="234" w:lineRule="auto"/>
        <w:tabs>
          <w:tab w:leader="none" w:pos="1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As of December 31, 2018 the Company had non-current deferred rent of $81.0 million. As of March 31, 2019, deferred rent is now included in the determination of the Company's operating lease right-of-use asset due to the adoption of ASC 842.</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ind w:left="524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55"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32385</wp:posOffset>
            </wp:positionV>
            <wp:extent cx="3683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spacing w:after="0" w:line="69" w:lineRule="exact"/>
        <w:rPr>
          <w:sz w:val="20"/>
          <w:szCs w:val="20"/>
          <w:color w:val="auto"/>
        </w:rPr>
      </w:pPr>
    </w:p>
    <w:p>
      <w:pPr>
        <w:jc w:val="both"/>
        <w:ind w:left="6860"/>
        <w:spacing w:after="0"/>
        <w:tabs>
          <w:tab w:leader="none" w:pos="978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229475"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p>
      <w:pPr>
        <w:sectPr>
          <w:pgSz w:w="11900" w:h="16838" w:orient="portrait"/>
          <w:cols w:equalWidth="0" w:num="1">
            <w:col w:w="11380"/>
          </w:cols>
          <w:pgMar w:left="260" w:top="580" w:right="259" w:bottom="1440" w:gutter="0" w:footer="0" w:header="0"/>
        </w:sectPr>
      </w:pPr>
    </w:p>
    <w:p>
      <w:pPr>
        <w:spacing w:after="0" w:line="101"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6"/>
          <w:szCs w:val="16"/>
          <w:color w:val="auto"/>
        </w:rPr>
        <w:t>Net loss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Amortization of 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Trade and other receivables, net</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 assets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Accrued and other current liabilities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Accrued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Tenant improvement allowance reimbursement</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722947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970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r>
      <w:tr>
        <w:trPr>
          <w:trHeight w:val="540"/>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45.8</w:t>
            </w:r>
          </w:p>
        </w:tc>
        <w:tc>
          <w:tcPr>
            <w:tcW w:w="1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w:t>
            </w:r>
          </w:p>
        </w:tc>
      </w:tr>
      <w:tr>
        <w:trPr>
          <w:trHeight w:val="270"/>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55.6</w:t>
            </w:r>
          </w:p>
        </w:tc>
        <w:tc>
          <w:tcPr>
            <w:tcW w:w="1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486.5</w:t>
            </w:r>
          </w:p>
        </w:tc>
      </w:tr>
      <w:tr>
        <w:trPr>
          <w:trHeight w:val="270"/>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w:t>
            </w:r>
          </w:p>
        </w:tc>
        <w:tc>
          <w:tcPr>
            <w:tcW w:w="1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70"/>
        </w:trPr>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540"/>
        </w:trPr>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270"/>
        </w:trPr>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8"/>
              </w:rPr>
              <w:t>(14.2)</w:t>
            </w:r>
          </w:p>
        </w:tc>
        <w:tc>
          <w:tcPr>
            <w:tcW w:w="1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11.2</w:t>
            </w:r>
          </w:p>
        </w:tc>
        <w:tc>
          <w:tcPr>
            <w:tcW w:w="1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70"/>
        </w:trPr>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70"/>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r>
      <w:tr>
        <w:trPr>
          <w:trHeight w:val="270"/>
        </w:trPr>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8"/>
              </w:rPr>
              <w:t>(45.9)</w:t>
            </w:r>
          </w:p>
        </w:tc>
        <w:tc>
          <w:tcPr>
            <w:tcW w:w="1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70"/>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18.6</w:t>
            </w:r>
          </w:p>
        </w:tc>
        <w:tc>
          <w:tcPr>
            <w:tcW w:w="1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r>
      <w:tr>
        <w:trPr>
          <w:trHeight w:val="270"/>
        </w:trPr>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8"/>
              </w:rPr>
              <w:t>(13.2)</w:t>
            </w:r>
          </w:p>
        </w:tc>
        <w:tc>
          <w:tcPr>
            <w:tcW w:w="1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270"/>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13.8</w:t>
            </w:r>
          </w:p>
        </w:tc>
        <w:tc>
          <w:tcPr>
            <w:tcW w:w="1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63.2</w:t>
            </w:r>
          </w:p>
        </w:tc>
        <w:tc>
          <w:tcPr>
            <w:tcW w:w="1200" w:type="dxa"/>
            <w:vAlign w:val="bottom"/>
          </w:tcPr>
          <w:p>
            <w:pPr>
              <w:spacing w:after="0"/>
              <w:rPr>
                <w:sz w:val="18"/>
                <w:szCs w:val="18"/>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w:t>
            </w:r>
          </w:p>
        </w:tc>
      </w:tr>
      <w:tr>
        <w:trPr>
          <w:trHeight w:val="33"/>
        </w:trPr>
        <w:tc>
          <w:tcPr>
            <w:tcW w:w="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-179070</wp:posOffset>
            </wp:positionV>
            <wp:extent cx="18161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7280" w:space="720"/>
            <w:col w:w="3380"/>
          </w:cols>
          <w:pgMar w:left="260" w:top="580" w:right="25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Cash paid for business combinations, net of cash acquired</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Proceeds from sales of short-term investments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722947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970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p>
      <w:pPr>
        <w:spacing w:after="0" w:line="101" w:lineRule="exact"/>
        <w:rPr>
          <w:sz w:val="20"/>
          <w:szCs w:val="20"/>
          <w:color w:val="auto"/>
        </w:rPr>
      </w:pPr>
    </w:p>
    <w:p>
      <w:pPr>
        <w:ind w:left="280" w:right="1760"/>
        <w:spacing w:after="0" w:line="298" w:lineRule="auto"/>
        <w:rPr>
          <w:sz w:val="20"/>
          <w:szCs w:val="20"/>
          <w:color w:val="auto"/>
        </w:rPr>
      </w:pPr>
      <w:r>
        <w:rPr>
          <w:rFonts w:ascii="Times New Roman" w:cs="Times New Roman" w:eastAsia="Times New Roman" w:hAnsi="Times New Roman"/>
          <w:sz w:val="16"/>
          <w:szCs w:val="16"/>
          <w:color w:val="auto"/>
        </w:rPr>
        <w:t>Proceeds from initial public offering and private placement, net of underwriters'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6"/>
          <w:szCs w:val="16"/>
          <w:color w:val="auto"/>
        </w:rPr>
        <w:t>Payments of deferred offering costs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Shares repurchased for tax withholdings on release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Proceeds from issuance of common stock, net of repurchases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br w:type="column"/>
      </w:r>
    </w:p>
    <w:p>
      <w:pPr>
        <w:jc w:val="right"/>
        <w:ind w:right="1740"/>
        <w:spacing w:after="0"/>
        <w:rPr>
          <w:sz w:val="20"/>
          <w:szCs w:val="20"/>
          <w:color w:val="auto"/>
        </w:rPr>
      </w:pPr>
      <w:r>
        <w:rPr>
          <w:rFonts w:ascii="Times New Roman" w:cs="Times New Roman" w:eastAsia="Times New Roman" w:hAnsi="Times New Roman"/>
          <w:sz w:val="16"/>
          <w:szCs w:val="16"/>
          <w:color w:val="auto"/>
        </w:rPr>
        <w:t>(29.7)</w:t>
      </w:r>
    </w:p>
    <w:p>
      <w:pPr>
        <w:spacing w:after="0" w:line="8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6"/>
          <w:szCs w:val="16"/>
          <w:color w:val="auto"/>
        </w:rPr>
        <w:t>(172.1)</w:t>
      </w:r>
    </w:p>
    <w:p>
      <w:pPr>
        <w:spacing w:after="0" w:line="8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6"/>
          <w:szCs w:val="16"/>
          <w:color w:val="auto"/>
        </w:rPr>
        <w:t>(153.0)</w:t>
      </w:r>
    </w:p>
    <w:p>
      <w:pPr>
        <w:spacing w:after="0" w:line="8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6"/>
          <w:szCs w:val="16"/>
          <w:color w:val="auto"/>
        </w:rPr>
        <w:t>110.2</w:t>
      </w:r>
    </w:p>
    <w:p>
      <w:pPr>
        <w:spacing w:after="0" w:line="8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6"/>
          <w:szCs w:val="16"/>
          <w:color w:val="auto"/>
        </w:rPr>
        <w:t>66.6</w:t>
      </w:r>
    </w:p>
    <w:p>
      <w:pPr>
        <w:spacing w:after="0" w:line="8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37465</wp:posOffset>
            </wp:positionV>
            <wp:extent cx="18161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6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6"/>
          <w:szCs w:val="16"/>
          <w:color w:val="auto"/>
        </w:rPr>
        <w:t>(173.3)</w:t>
      </w:r>
    </w:p>
    <w:p>
      <w:pPr>
        <w:spacing w:after="0" w:line="200" w:lineRule="exact"/>
        <w:rPr>
          <w:sz w:val="20"/>
          <w:szCs w:val="20"/>
          <w:color w:val="auto"/>
        </w:rPr>
      </w:pPr>
    </w:p>
    <w:p>
      <w:pPr>
        <w:spacing w:after="0" w:line="358"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6"/>
          <w:szCs w:val="16"/>
          <w:color w:val="auto"/>
        </w:rPr>
        <w:t>(25.5)</w:t>
      </w:r>
    </w:p>
    <w:p>
      <w:pPr>
        <w:spacing w:after="0" w:line="8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6"/>
          <w:szCs w:val="16"/>
          <w:color w:val="auto"/>
        </w:rPr>
        <w:t>0.9</w:t>
      </w:r>
    </w:p>
    <w:p>
      <w:pPr>
        <w:spacing w:after="0" w:line="8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6"/>
          <w:szCs w:val="16"/>
          <w:color w:val="auto"/>
        </w:rPr>
        <w:t>(26.2)</w:t>
      </w:r>
    </w:p>
    <w:p>
      <w:pPr>
        <w:spacing w:after="0" w:line="8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6"/>
          <w:szCs w:val="16"/>
          <w:color w:val="auto"/>
        </w:rPr>
        <w:t>(0.2)</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16"/>
          <w:szCs w:val="16"/>
          <w:color w:val="auto"/>
        </w:rPr>
        <w:t>(9.9)</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(180.8)</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37465</wp:posOffset>
            </wp:positionV>
            <wp:extent cx="1798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8955" cy="8255"/>
                    </a:xfrm>
                    <a:prstGeom prst="rect">
                      <a:avLst/>
                    </a:prstGeom>
                    <a:noFill/>
                  </pic:spPr>
                </pic:pic>
              </a:graphicData>
            </a:graphic>
          </wp:anchor>
        </w:drawing>
      </w:r>
    </w:p>
    <w:p>
      <w:pPr>
        <w:spacing w:after="0" w:line="6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(193.1)</w:t>
      </w:r>
    </w:p>
    <w:p>
      <w:pPr>
        <w:spacing w:after="0" w:line="200" w:lineRule="exact"/>
        <w:rPr>
          <w:sz w:val="20"/>
          <w:szCs w:val="20"/>
          <w:color w:val="auto"/>
        </w:rPr>
      </w:pPr>
    </w:p>
    <w:p>
      <w:pPr>
        <w:spacing w:after="0" w:line="35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638.2</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(0.9)</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(241.2)</w:t>
      </w:r>
    </w:p>
    <w:p>
      <w:pPr>
        <w:spacing w:after="0" w:line="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0.8</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(29.8)</w:t>
      </w:r>
    </w:p>
    <w:p>
      <w:pPr>
        <w:spacing w:after="0" w:line="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(2.1)</w:t>
      </w:r>
    </w:p>
    <w:p>
      <w:pPr>
        <w:spacing w:after="0" w:line="39" w:lineRule="exact"/>
        <w:rPr>
          <w:sz w:val="20"/>
          <w:szCs w:val="20"/>
          <w:color w:val="auto"/>
        </w:rPr>
      </w:pPr>
    </w:p>
    <w:p>
      <w:pPr>
        <w:sectPr>
          <w:pgSz w:w="11900" w:h="16838" w:orient="portrait"/>
          <w:cols w:equalWidth="0" w:num="3">
            <w:col w:w="7200" w:space="720"/>
            <w:col w:w="2220" w:space="720"/>
            <w:col w:w="520"/>
          </w:cols>
          <w:pgMar w:left="260" w:top="580" w:right="25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365.0</w:t>
            </w:r>
          </w:p>
        </w:tc>
      </w:tr>
      <w:tr>
        <w:trPr>
          <w:trHeight w:val="33"/>
        </w:trPr>
        <w:tc>
          <w:tcPr>
            <w:tcW w:w="55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235.3</w:t>
            </w:r>
          </w:p>
        </w:tc>
      </w:tr>
      <w:tr>
        <w:trPr>
          <w:trHeight w:val="33"/>
        </w:trPr>
        <w:tc>
          <w:tcPr>
            <w:tcW w:w="5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equivalents—beginning of period</w:t>
            </w:r>
          </w:p>
        </w:tc>
        <w:tc>
          <w:tcPr>
            <w:tcW w:w="1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430.0</w:t>
            </w:r>
          </w:p>
        </w:tc>
      </w:tr>
      <w:tr>
        <w:trPr>
          <w:trHeight w:val="21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equivalents—end of period</w:t>
            </w:r>
          </w:p>
        </w:tc>
        <w:tc>
          <w:tcPr>
            <w:tcW w:w="122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359.2</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665.3</w:t>
            </w:r>
          </w:p>
        </w:tc>
      </w:tr>
      <w:tr>
        <w:trPr>
          <w:trHeight w:val="73"/>
        </w:trPr>
        <w:tc>
          <w:tcPr>
            <w:tcW w:w="558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r>
      <w:tr>
        <w:trPr>
          <w:trHeight w:val="264"/>
        </w:trPr>
        <w:tc>
          <w:tcPr>
            <w:tcW w:w="55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1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55"/>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60" w:top="580" w:right="2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March 31, 2019</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28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280" w:type="dxa"/>
            <w:vAlign w:val="bottom"/>
          </w:tcPr>
          <w:p>
            <w:pPr>
              <w:spacing w:after="0"/>
              <w:rPr>
                <w:sz w:val="20"/>
                <w:szCs w:val="20"/>
                <w:color w:val="auto"/>
              </w:rPr>
            </w:pP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290.8</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117.2</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93.6</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41.0</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0.9 %</w:t>
            </w:r>
          </w:p>
        </w:tc>
        <w:tc>
          <w:tcPr>
            <w:tcW w:w="2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March 31,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Employer payroll</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taxes related to the</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2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release of two-tier RSUs</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7"/>
        </w:trPr>
        <w:tc>
          <w:tcPr>
            <w:tcW w:w="3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81.7</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234.6</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87.3</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82.4</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34.5</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ectPr>
          <w:pgSz w:w="11900" w:h="16838" w:orient="portrait"/>
          <w:cols w:equalWidth="0" w:num="1">
            <w:col w:w="11420"/>
          </w:cols>
          <w:pgMar w:left="240" w:top="57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March 31, 2019 and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net loss to Non-GAAP net income and Non-GAAP diluted net income per share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8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net loss</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680" w:type="dxa"/>
            <w:vAlign w:val="bottom"/>
            <w:shd w:val="clear" w:color="auto" w:fill="CCEEFF"/>
          </w:tcPr>
          <w:p>
            <w:pPr>
              <w:spacing w:after="0"/>
              <w:rPr>
                <w:sz w:val="21"/>
                <w:szCs w:val="21"/>
                <w:color w:val="auto"/>
              </w:rPr>
            </w:pPr>
          </w:p>
        </w:tc>
        <w:tc>
          <w:tcPr>
            <w:tcW w:w="2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80" w:type="dxa"/>
            <w:vAlign w:val="bottom"/>
          </w:tcPr>
          <w:p>
            <w:pPr>
              <w:spacing w:after="0"/>
              <w:rPr>
                <w:sz w:val="21"/>
                <w:szCs w:val="21"/>
                <w:color w:val="auto"/>
              </w:rPr>
            </w:pPr>
          </w:p>
        </w:tc>
        <w:tc>
          <w:tcPr>
            <w:tcW w:w="2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Employer payroll taxes related to the release of two-tier RSUs</w:t>
            </w:r>
          </w:p>
        </w:tc>
        <w:tc>
          <w:tcPr>
            <w:tcW w:w="6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68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income</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Non-GAAP diluted net income per share</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Weighted-average shares used to compute Non-GAAP diluted net income</w:t>
            </w:r>
          </w:p>
        </w:tc>
        <w:tc>
          <w:tcPr>
            <w:tcW w:w="680" w:type="dxa"/>
            <w:vAlign w:val="bottom"/>
            <w:shd w:val="clear" w:color="auto" w:fill="CCEEFF"/>
          </w:tcPr>
          <w:p>
            <w:pPr>
              <w:spacing w:after="0"/>
              <w:rPr>
                <w:sz w:val="16"/>
                <w:szCs w:val="16"/>
                <w:color w:val="auto"/>
              </w:rPr>
            </w:pPr>
          </w:p>
        </w:tc>
        <w:tc>
          <w:tcPr>
            <w:tcW w:w="2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68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March 31, 2019 and 2018</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free cash flow and supplemental cash flow disclosure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16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expenditures related to our new corporate headquarters, net of</w:t>
            </w:r>
          </w:p>
        </w:tc>
        <w:tc>
          <w:tcPr>
            <w:tcW w:w="168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22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3"/>
        </w:trPr>
        <w:tc>
          <w:tcPr>
            <w:tcW w:w="5520" w:type="dxa"/>
            <w:vAlign w:val="bottom"/>
          </w:tcPr>
          <w:p>
            <w:pPr>
              <w:ind w:left="280"/>
              <w:spacing w:after="0" w:line="247" w:lineRule="exact"/>
              <w:rPr>
                <w:sz w:val="20"/>
                <w:szCs w:val="20"/>
                <w:color w:val="auto"/>
              </w:rPr>
            </w:pPr>
            <w:r>
              <w:rPr>
                <w:rFonts w:ascii="Times New Roman" w:cs="Times New Roman" w:eastAsia="Times New Roman" w:hAnsi="Times New Roman"/>
                <w:sz w:val="18"/>
                <w:szCs w:val="18"/>
                <w:color w:val="auto"/>
              </w:rPr>
              <w:t>tenant improvement allowances</w:t>
            </w:r>
            <w:r>
              <w:rPr>
                <w:rFonts w:ascii="Times New Roman" w:cs="Times New Roman" w:eastAsia="Times New Roman" w:hAnsi="Times New Roman"/>
                <w:sz w:val="25"/>
                <w:szCs w:val="25"/>
                <w:color w:val="auto"/>
                <w:vertAlign w:val="superscript"/>
              </w:rPr>
              <w:t>(1)</w:t>
            </w:r>
          </w:p>
        </w:tc>
        <w:tc>
          <w:tcPr>
            <w:tcW w:w="168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40" w:firstLine="8"/>
        <w:spacing w:after="0" w:line="245" w:lineRule="auto"/>
        <w:tabs>
          <w:tab w:leader="none" w:pos="192"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partially offset this build-out. These amounts are presented net in the table above.</w:t>
      </w:r>
    </w:p>
    <w:p>
      <w:pPr>
        <w:sectPr>
          <w:pgSz w:w="11900" w:h="16838" w:orient="portrait"/>
          <w:cols w:equalWidth="0" w:num="1">
            <w:col w:w="11420"/>
          </w:cols>
          <w:pgMar w:left="240" w:top="57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amortization of acquired intangible assets, other acquisition-related expenses, which include third-party diligence costs and compensation expense for key acquired personnel, and employer payroll tax expense relating to the release of two-tier RSUs in connection with our initial public offering during the three months ended March 31, 2018. Non-GAAP net income also includes the income tax effect of these adjustments, including the tax effects of acquired intangible assets.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weighted-average shares used in the computation include certain shares that are excluded from the GAAP diluted net loss per share calculation because their effect would have been anti-dilutive.</w:t>
      </w:r>
    </w:p>
    <w:p>
      <w:pPr>
        <w:spacing w:after="0" w:line="19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includes capital expenditures related to our new corporate headquarters, and may be calculated differently by other companies in our industry, limiting its usefulness as a comparative measure.</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420"/>
          </w:cols>
          <w:pgMar w:left="240" w:top="576"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Darren Yip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Saman Asheer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press@dropbox.com</w:t>
      </w:r>
    </w:p>
    <w:sectPr>
      <w:pgSz w:w="11900" w:h="16838" w:orient="portrait"/>
      <w:cols w:equalWidth="0" w:num="1">
        <w:col w:w="10219"/>
      </w:cols>
      <w:pgMar w:left="2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2019-12-28T12:35:59Z</dcterms:created>
  <dcterms:modified xsi:type="dcterms:W3CDTF">2019-12-28T12:35:59Z</dcterms:modified>
</cp:coreProperties>
</file>