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26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40" w:type="dxa"/>
            <w:vAlign w:val="bottom"/>
            <w:gridSpan w:val="3"/>
          </w:tcPr>
          <w:p>
            <w:pPr>
              <w:ind w:left="620"/>
              <w:spacing w:after="0"/>
              <w:rPr>
                <w:sz w:val="20"/>
                <w:szCs w:val="20"/>
                <w:color w:val="auto"/>
              </w:rPr>
            </w:pPr>
            <w:r>
              <w:rPr>
                <w:rFonts w:ascii="Arial" w:cs="Arial" w:eastAsia="Arial" w:hAnsi="Arial"/>
                <w:sz w:val="23"/>
                <w:szCs w:val="23"/>
                <w:b w:val="1"/>
                <w:bCs w:val="1"/>
                <w:color w:val="auto"/>
              </w:rPr>
              <w:t>FORM 4</w:t>
            </w:r>
          </w:p>
        </w:tc>
        <w:tc>
          <w:tcPr>
            <w:tcW w:w="6300" w:type="dxa"/>
            <w:vAlign w:val="bottom"/>
            <w:gridSpan w:val="8"/>
          </w:tcPr>
          <w:p>
            <w:pPr>
              <w:jc w:val="center"/>
              <w:ind w:right="189"/>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41" w:lineRule="exact"/>
              <w:rPr>
                <w:sz w:val="20"/>
                <w:szCs w:val="20"/>
                <w:color w:val="auto"/>
              </w:rPr>
            </w:pPr>
            <w:r>
              <w:rPr>
                <w:rFonts w:ascii="Arial" w:cs="Arial" w:eastAsia="Arial" w:hAnsi="Arial"/>
                <w:sz w:val="13"/>
                <w:szCs w:val="13"/>
                <w:color w:val="auto"/>
                <w:w w:val="98"/>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4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3"/>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300" w:type="dxa"/>
            <w:vAlign w:val="bottom"/>
            <w:gridSpan w:val="8"/>
            <w:vMerge w:val="restart"/>
          </w:tcPr>
          <w:p>
            <w:pPr>
              <w:jc w:val="center"/>
              <w:ind w:right="189"/>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630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2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3"/>
          </w:tcPr>
          <w:p>
            <w:pPr>
              <w:ind w:left="240"/>
              <w:spacing w:after="0"/>
              <w:rPr>
                <w:sz w:val="20"/>
                <w:szCs w:val="20"/>
                <w:color w:val="auto"/>
              </w:rPr>
            </w:pPr>
            <w:r>
              <w:rPr>
                <w:rFonts w:ascii="Arial" w:cs="Arial" w:eastAsia="Arial" w:hAnsi="Arial"/>
                <w:sz w:val="12"/>
                <w:szCs w:val="12"/>
                <w:color w:val="auto"/>
              </w:rPr>
              <w:t>Section 16. Form 4 or Form 5</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3"/>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740" w:type="dxa"/>
            <w:vAlign w:val="bottom"/>
          </w:tcPr>
          <w:p>
            <w:pPr>
              <w:spacing w:after="0"/>
              <w:rPr>
                <w:sz w:val="11"/>
                <w:szCs w:val="11"/>
                <w:color w:val="auto"/>
              </w:rPr>
            </w:pPr>
          </w:p>
        </w:tc>
        <w:tc>
          <w:tcPr>
            <w:tcW w:w="4380" w:type="dxa"/>
            <w:vAlign w:val="bottom"/>
            <w:gridSpan w:val="5"/>
            <w:vMerge w:val="restart"/>
          </w:tcPr>
          <w:p>
            <w:pPr>
              <w:jc w:val="center"/>
              <w:ind w:left="12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2"/>
              <w:spacing w:after="0" w:line="133"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40" w:type="dxa"/>
            <w:vAlign w:val="bottom"/>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38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8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w w:val="99"/>
              </w:rPr>
              <w:t>or Section 30(h) of the Investment Company Act of 1940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tcPr>
          <w:p>
            <w:pPr>
              <w:spacing w:after="0"/>
              <w:rPr>
                <w:sz w:val="3"/>
                <w:szCs w:val="3"/>
                <w:color w:val="auto"/>
              </w:rPr>
            </w:pPr>
          </w:p>
        </w:tc>
        <w:tc>
          <w:tcPr>
            <w:tcW w:w="2960" w:type="dxa"/>
            <w:vAlign w:val="bottom"/>
            <w:tcBorders>
              <w:bottom w:val="single" w:sz="8" w:color="2C2C2C"/>
            </w:tcBorders>
            <w:gridSpan w:val="5"/>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5"/>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Houston Andrew</w:t>
              </w:r>
            </w:hyperlink>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DROPBOX,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DBX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8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208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4"/>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00" w:type="dxa"/>
            <w:vAlign w:val="bottom"/>
            <w:tcBorders>
              <w:bottom w:val="single" w:sz="8" w:color="0000EE"/>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40" w:type="dxa"/>
            <w:vAlign w:val="bottom"/>
          </w:tcPr>
          <w:p>
            <w:pPr>
              <w:spacing w:after="0" w:line="20" w:lineRule="exact"/>
              <w:rPr>
                <w:sz w:val="1"/>
                <w:szCs w:val="1"/>
                <w:color w:val="auto"/>
              </w:rPr>
            </w:pP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X</w:t>
            </w: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500" w:type="dxa"/>
            <w:vAlign w:val="bottom"/>
            <w:tcBorders>
              <w:bottom w:val="single" w:sz="8" w:color="2C2C2C"/>
            </w:tcBorders>
          </w:tcPr>
          <w:p>
            <w:pPr>
              <w:spacing w:after="0"/>
              <w:rPr>
                <w:sz w:val="6"/>
                <w:szCs w:val="6"/>
                <w:color w:val="auto"/>
              </w:rPr>
            </w:pPr>
          </w:p>
        </w:tc>
        <w:tc>
          <w:tcPr>
            <w:tcW w:w="2260" w:type="dxa"/>
            <w:vAlign w:val="bottom"/>
            <w:tcBorders>
              <w:bottom w:val="single" w:sz="8" w:color="2C2C2C"/>
            </w:tcBorders>
          </w:tcPr>
          <w:p>
            <w:pPr>
              <w:spacing w:after="0"/>
              <w:rPr>
                <w:sz w:val="6"/>
                <w:szCs w:val="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0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1140" w:type="dxa"/>
            <w:vAlign w:val="bottom"/>
            <w:tcBorders>
              <w:top w:val="single" w:sz="8" w:color="EEEEEE"/>
            </w:tcBorders>
          </w:tcPr>
          <w:p>
            <w:pPr>
              <w:spacing w:after="0"/>
              <w:rPr>
                <w:sz w:val="7"/>
                <w:szCs w:val="7"/>
                <w:color w:val="auto"/>
              </w:rPr>
            </w:pPr>
          </w:p>
        </w:tc>
        <w:tc>
          <w:tcPr>
            <w:tcW w:w="260" w:type="dxa"/>
            <w:vAlign w:val="bottom"/>
            <w:tcBorders>
              <w:top w:val="single" w:sz="8" w:color="EEEEEE"/>
            </w:tcBorders>
          </w:tcPr>
          <w:p>
            <w:pPr>
              <w:spacing w:after="0"/>
              <w:rPr>
                <w:sz w:val="7"/>
                <w:szCs w:val="7"/>
                <w:color w:val="auto"/>
              </w:rPr>
            </w:pPr>
          </w:p>
        </w:tc>
        <w:tc>
          <w:tcPr>
            <w:tcW w:w="1040" w:type="dxa"/>
            <w:vAlign w:val="bottom"/>
            <w:tcBorders>
              <w:top w:val="single" w:sz="8" w:color="EEEEEE"/>
            </w:tcBorders>
          </w:tcPr>
          <w:p>
            <w:pPr>
              <w:spacing w:after="0"/>
              <w:rPr>
                <w:sz w:val="7"/>
                <w:szCs w:val="7"/>
                <w:color w:val="auto"/>
              </w:rPr>
            </w:pPr>
          </w:p>
        </w:tc>
        <w:tc>
          <w:tcPr>
            <w:tcW w:w="740" w:type="dxa"/>
            <w:vAlign w:val="bottom"/>
            <w:tcBorders>
              <w:top w:val="single" w:sz="8" w:color="EEEEEE"/>
            </w:tcBorders>
          </w:tcPr>
          <w:p>
            <w:pPr>
              <w:spacing w:after="0"/>
              <w:rPr>
                <w:sz w:val="7"/>
                <w:szCs w:val="7"/>
                <w:color w:val="auto"/>
              </w:rPr>
            </w:pPr>
          </w:p>
        </w:tc>
        <w:tc>
          <w:tcPr>
            <w:tcW w:w="460" w:type="dxa"/>
            <w:vAlign w:val="bottom"/>
            <w:tcBorders>
              <w:top w:val="single" w:sz="8" w:color="EEEEEE"/>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7"/>
                <w:szCs w:val="7"/>
                <w:color w:val="auto"/>
              </w:rPr>
            </w:pPr>
          </w:p>
        </w:tc>
        <w:tc>
          <w:tcPr>
            <w:tcW w:w="1600" w:type="dxa"/>
            <w:vAlign w:val="bottom"/>
            <w:gridSpan w:val="3"/>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00" w:type="dxa"/>
            <w:vAlign w:val="bottom"/>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below)</w:t>
            </w: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2120" w:type="dxa"/>
            <w:vAlign w:val="bottom"/>
            <w:gridSpan w:val="4"/>
            <w:vMerge w:val="restart"/>
          </w:tcPr>
          <w:p>
            <w:pPr>
              <w:ind w:left="620"/>
              <w:spacing w:after="0"/>
              <w:rPr>
                <w:sz w:val="20"/>
                <w:szCs w:val="20"/>
                <w:color w:val="auto"/>
              </w:rPr>
            </w:pPr>
            <w:r>
              <w:rPr>
                <w:rFonts w:ascii="Arial" w:cs="Arial" w:eastAsia="Arial" w:hAnsi="Arial"/>
                <w:sz w:val="17"/>
                <w:szCs w:val="17"/>
                <w:color w:val="0000FF"/>
              </w:rPr>
              <w:t>06/05/2023</w:t>
            </w:r>
          </w:p>
        </w:tc>
        <w:tc>
          <w:tcPr>
            <w:tcW w:w="2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1800 OWENS STREET</w:t>
            </w:r>
          </w:p>
        </w:tc>
        <w:tc>
          <w:tcPr>
            <w:tcW w:w="740" w:type="dxa"/>
            <w:vAlign w:val="bottom"/>
          </w:tcPr>
          <w:p>
            <w:pPr>
              <w:spacing w:after="0"/>
              <w:rPr>
                <w:sz w:val="8"/>
                <w:szCs w:val="8"/>
                <w:color w:val="auto"/>
              </w:rPr>
            </w:pPr>
          </w:p>
        </w:tc>
        <w:tc>
          <w:tcPr>
            <w:tcW w:w="2120" w:type="dxa"/>
            <w:vAlign w:val="bottom"/>
            <w:gridSpan w:val="4"/>
            <w:vMerge w:val="continue"/>
          </w:tcPr>
          <w:p>
            <w:pPr>
              <w:spacing w:after="0"/>
              <w:rPr>
                <w:sz w:val="8"/>
                <w:szCs w:val="8"/>
                <w:color w:val="auto"/>
              </w:rPr>
            </w:pPr>
          </w:p>
        </w:tc>
        <w:tc>
          <w:tcPr>
            <w:tcW w:w="2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80" w:type="dxa"/>
            <w:vAlign w:val="bottom"/>
            <w:gridSpan w:val="4"/>
            <w:vMerge w:val="restart"/>
          </w:tcPr>
          <w:p>
            <w:pPr>
              <w:ind w:left="360"/>
              <w:spacing w:after="0"/>
              <w:rPr>
                <w:sz w:val="20"/>
                <w:szCs w:val="20"/>
                <w:color w:val="auto"/>
              </w:rPr>
            </w:pPr>
            <w:r>
              <w:rPr>
                <w:rFonts w:ascii="Arial" w:cs="Arial" w:eastAsia="Arial" w:hAnsi="Arial"/>
                <w:sz w:val="17"/>
                <w:szCs w:val="17"/>
                <w:color w:val="0000FF"/>
              </w:rPr>
              <w:t>Chief Executive Officer</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60" w:type="dxa"/>
            <w:vAlign w:val="bottom"/>
            <w:gridSpan w:val="4"/>
            <w:vMerge w:val="continue"/>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8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7"/>
                <w:szCs w:val="17"/>
                <w:color w:val="0000FF"/>
              </w:rPr>
              <w:t>SUITE 200</w:t>
            </w: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tcPr>
          <w:p>
            <w:pPr>
              <w:spacing w:after="0"/>
              <w:rPr>
                <w:sz w:val="2"/>
                <w:szCs w:val="2"/>
                <w:color w:val="auto"/>
              </w:rPr>
            </w:pPr>
          </w:p>
        </w:tc>
        <w:tc>
          <w:tcPr>
            <w:tcW w:w="2260" w:type="dxa"/>
            <w:vAlign w:val="bottom"/>
            <w:tcBorders>
              <w:bottom w:val="single" w:sz="8" w:color="2C2C2C"/>
            </w:tcBorders>
          </w:tcPr>
          <w:p>
            <w:pPr>
              <w:spacing w:after="0"/>
              <w:rPr>
                <w:sz w:val="2"/>
                <w:szCs w:val="2"/>
                <w:color w:val="auto"/>
              </w:rPr>
            </w:pPr>
          </w:p>
        </w:tc>
        <w:tc>
          <w:tcPr>
            <w:tcW w:w="3240" w:type="dxa"/>
            <w:vAlign w:val="bottom"/>
            <w:tcBorders>
              <w:bottom w:val="single" w:sz="8" w:color="2C2C2C"/>
            </w:tcBorders>
            <w:gridSpan w:val="7"/>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40" w:type="dxa"/>
            <w:vAlign w:val="bottom"/>
            <w:gridSpan w:val="7"/>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-1814830</wp:posOffset>
            </wp:positionV>
            <wp:extent cx="6993255" cy="7419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3255" cy="7419975"/>
                    </a:xfrm>
                    <a:prstGeom prst="rect">
                      <a:avLst/>
                    </a:prstGeom>
                    <a:noFill/>
                  </pic:spPr>
                </pic:pic>
              </a:graphicData>
            </a:graphic>
          </wp:anchor>
        </w:drawing>
      </w:r>
    </w:p>
    <w:p>
      <w:pPr>
        <w:sectPr>
          <w:pgSz w:w="11900" w:h="16838" w:orient="portrait"/>
          <w:cols w:equalWidth="0" w:num="1">
            <w:col w:w="11080"/>
          </w:cols>
          <w:pgMar w:left="460" w:top="221" w:right="359" w:bottom="0" w:gutter="0" w:footer="0" w:header="0"/>
        </w:sectPr>
      </w:pPr>
    </w:p>
    <w:p>
      <w:pPr>
        <w:spacing w:after="0" w:line="121"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ind w:left="120"/>
        <w:spacing w:after="0" w:line="206" w:lineRule="auto"/>
        <w:tabs>
          <w:tab w:leader="none" w:pos="1320" w:val="left"/>
          <w:tab w:leader="none" w:pos="2560" w:val="left"/>
        </w:tabs>
        <w:rPr>
          <w:sz w:val="20"/>
          <w:szCs w:val="20"/>
          <w:color w:val="auto"/>
        </w:rPr>
      </w:pPr>
      <w:r>
        <w:rPr>
          <w:rFonts w:ascii="Arial" w:cs="Arial" w:eastAsia="Arial" w:hAnsi="Arial"/>
          <w:sz w:val="17"/>
          <w:szCs w:val="17"/>
          <w:color w:val="0000FF"/>
          <w:vertAlign w:val="superscript"/>
        </w:rPr>
        <w:t>SAN</w:t>
      </w:r>
      <w:r>
        <w:rPr>
          <w:sz w:val="20"/>
          <w:szCs w:val="20"/>
          <w:color w:val="auto"/>
        </w:rPr>
        <w:tab/>
      </w:r>
      <w:r>
        <w:rPr>
          <w:rFonts w:ascii="Arial" w:cs="Arial" w:eastAsia="Arial" w:hAnsi="Arial"/>
          <w:sz w:val="11"/>
          <w:szCs w:val="11"/>
          <w:color w:val="0000FF"/>
        </w:rPr>
        <w:t>CA</w:t>
      </w:r>
      <w:r>
        <w:rPr>
          <w:sz w:val="20"/>
          <w:szCs w:val="20"/>
          <w:color w:val="auto"/>
        </w:rPr>
        <w:tab/>
      </w:r>
      <w:r>
        <w:rPr>
          <w:rFonts w:ascii="Arial" w:cs="Arial" w:eastAsia="Arial" w:hAnsi="Arial"/>
          <w:sz w:val="15"/>
          <w:szCs w:val="15"/>
          <w:color w:val="0000FF"/>
        </w:rPr>
        <w:t>94158</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FRANCISCO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340" w:hanging="340"/>
        <w:spacing w:after="0"/>
        <w:tabs>
          <w:tab w:leader="none" w:pos="340"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56" w:lineRule="exact"/>
        <w:rPr>
          <w:rFonts w:ascii="Arial" w:cs="Arial" w:eastAsia="Arial" w:hAnsi="Arial"/>
          <w:sz w:val="17"/>
          <w:szCs w:val="17"/>
          <w:color w:val="0000FF"/>
        </w:rPr>
      </w:pPr>
    </w:p>
    <w:p>
      <w:pPr>
        <w:ind w:left="340" w:right="580"/>
        <w:spacing w:after="0" w:line="249"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135" w:lineRule="exact"/>
        <w:rPr>
          <w:sz w:val="20"/>
          <w:szCs w:val="20"/>
          <w:color w:val="auto"/>
        </w:rPr>
      </w:pPr>
    </w:p>
    <w:p>
      <w:pPr>
        <w:sectPr>
          <w:pgSz w:w="11900" w:h="16838" w:orient="portrait"/>
          <w:cols w:equalWidth="0" w:num="2">
            <w:col w:w="7220" w:space="720"/>
            <w:col w:w="3140"/>
          </w:cols>
          <w:pgMar w:left="460" w:top="221" w:right="359" w:bottom="0" w:gutter="0" w:footer="0" w:header="0"/>
          <w:type w:val="continuous"/>
        </w:sectPr>
      </w:pPr>
    </w:p>
    <w:p>
      <w:pPr>
        <w:jc w:val="center"/>
        <w:ind w:right="-179"/>
        <w:spacing w:after="0"/>
        <w:rPr>
          <w:sz w:val="20"/>
          <w:szCs w:val="20"/>
          <w:color w:val="auto"/>
        </w:rPr>
      </w:pPr>
      <w:r>
        <w:rPr>
          <w:rFonts w:ascii="Arial" w:cs="Arial" w:eastAsia="Arial" w:hAnsi="Arial"/>
          <w:sz w:val="21"/>
          <w:szCs w:val="21"/>
          <w:color w:val="auto"/>
        </w:rPr>
        <w:t>Rule 10b5-1(c) Transaction Indication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60" w:type="dxa"/>
            <w:vAlign w:val="bottom"/>
          </w:tcPr>
          <w:p>
            <w:pPr>
              <w:ind w:left="100"/>
              <w:spacing w:after="0"/>
              <w:rPr>
                <w:sz w:val="20"/>
                <w:szCs w:val="20"/>
                <w:color w:val="auto"/>
              </w:rPr>
            </w:pPr>
            <w:r>
              <w:rPr>
                <w:rFonts w:ascii="Arial" w:cs="Arial" w:eastAsia="Arial" w:hAnsi="Arial"/>
                <w:sz w:val="13"/>
                <w:szCs w:val="13"/>
                <w:color w:val="auto"/>
              </w:rPr>
              <w:t>(City)</w:t>
            </w:r>
          </w:p>
        </w:tc>
        <w:tc>
          <w:tcPr>
            <w:tcW w:w="1280" w:type="dxa"/>
            <w:vAlign w:val="bottom"/>
          </w:tcPr>
          <w:p>
            <w:pPr>
              <w:ind w:left="460"/>
              <w:spacing w:after="0"/>
              <w:rPr>
                <w:sz w:val="20"/>
                <w:szCs w:val="20"/>
                <w:color w:val="auto"/>
              </w:rPr>
            </w:pPr>
            <w:r>
              <w:rPr>
                <w:rFonts w:ascii="Arial" w:cs="Arial" w:eastAsia="Arial" w:hAnsi="Arial"/>
                <w:sz w:val="13"/>
                <w:szCs w:val="13"/>
                <w:color w:val="auto"/>
              </w:rPr>
              <w:t>(State)</w:t>
            </w:r>
          </w:p>
        </w:tc>
        <w:tc>
          <w:tcPr>
            <w:tcW w:w="8800" w:type="dxa"/>
            <w:vAlign w:val="bottom"/>
            <w:gridSpan w:val="3"/>
          </w:tcPr>
          <w:p>
            <w:pPr>
              <w:ind w:left="42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3"/>
                <w:szCs w:val="13"/>
                <w:color w:val="auto"/>
              </w:rPr>
            </w:pPr>
          </w:p>
        </w:tc>
      </w:tr>
      <w:tr>
        <w:trPr>
          <w:trHeight w:val="103"/>
        </w:trPr>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0" w:type="dxa"/>
            <w:vAlign w:val="bottom"/>
            <w:tcBorders>
              <w:right w:val="single" w:sz="8" w:color="auto"/>
            </w:tcBorders>
          </w:tcPr>
          <w:p>
            <w:pPr>
              <w:spacing w:after="0"/>
              <w:rPr>
                <w:sz w:val="8"/>
                <w:szCs w:val="8"/>
                <w:color w:val="auto"/>
              </w:rPr>
            </w:pPr>
          </w:p>
        </w:tc>
        <w:tc>
          <w:tcPr>
            <w:tcW w:w="120" w:type="dxa"/>
            <w:vAlign w:val="bottom"/>
            <w:tcBorders>
              <w:top w:val="single" w:sz="8" w:color="auto"/>
              <w:right w:val="single" w:sz="8" w:color="auto"/>
            </w:tcBorders>
          </w:tcPr>
          <w:p>
            <w:pPr>
              <w:spacing w:after="0"/>
              <w:rPr>
                <w:sz w:val="8"/>
                <w:szCs w:val="8"/>
                <w:color w:val="auto"/>
              </w:rPr>
            </w:pPr>
          </w:p>
        </w:tc>
        <w:tc>
          <w:tcPr>
            <w:tcW w:w="6880" w:type="dxa"/>
            <w:vAlign w:val="bottom"/>
          </w:tcPr>
          <w:p>
            <w:pPr>
              <w:ind w:left="80"/>
              <w:spacing w:after="0" w:line="103" w:lineRule="exact"/>
              <w:rPr>
                <w:sz w:val="20"/>
                <w:szCs w:val="20"/>
                <w:color w:val="auto"/>
              </w:rPr>
            </w:pPr>
            <w:r>
              <w:rPr>
                <w:rFonts w:ascii="Arial" w:cs="Arial" w:eastAsia="Arial" w:hAnsi="Arial"/>
                <w:sz w:val="10"/>
                <w:szCs w:val="10"/>
                <w:color w:val="auto"/>
              </w:rPr>
              <w:t>Check this box to indicate that a transaction was made pursuant to a contract, instruction or written plan that is intended to</w:t>
            </w:r>
          </w:p>
        </w:tc>
        <w:tc>
          <w:tcPr>
            <w:tcW w:w="20" w:type="dxa"/>
            <w:vAlign w:val="bottom"/>
          </w:tcPr>
          <w:p>
            <w:pPr>
              <w:spacing w:after="0"/>
              <w:rPr>
                <w:sz w:val="8"/>
                <w:szCs w:val="8"/>
                <w:color w:val="auto"/>
              </w:rPr>
            </w:pPr>
          </w:p>
        </w:tc>
      </w:tr>
      <w:tr>
        <w:trPr>
          <w:trHeight w:val="123"/>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80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6880" w:type="dxa"/>
            <w:vAlign w:val="bottom"/>
          </w:tcPr>
          <w:p>
            <w:pPr>
              <w:ind w:left="80"/>
              <w:spacing w:after="0" w:line="123"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20" w:type="dxa"/>
            <w:vAlign w:val="bottom"/>
          </w:tcPr>
          <w:p>
            <w:pPr>
              <w:spacing w:after="0"/>
              <w:rPr>
                <w:sz w:val="10"/>
                <w:szCs w:val="10"/>
                <w:color w:val="auto"/>
              </w:rPr>
            </w:pPr>
          </w:p>
        </w:tc>
      </w:tr>
      <w:tr>
        <w:trPr>
          <w:trHeight w:val="143"/>
        </w:trPr>
        <w:tc>
          <w:tcPr>
            <w:tcW w:w="2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8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28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12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68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80" w:type="dxa"/>
            <w:vAlign w:val="bottom"/>
          </w:tcPr>
          <w:p>
            <w:pPr>
              <w:spacing w:after="0"/>
              <w:rPr>
                <w:sz w:val="13"/>
                <w:szCs w:val="13"/>
                <w:color w:val="auto"/>
              </w:rPr>
            </w:pPr>
          </w:p>
        </w:tc>
        <w:tc>
          <w:tcPr>
            <w:tcW w:w="20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20"/>
              <w:spacing w:after="0" w:line="126"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0"/>
                <w:szCs w:val="10"/>
                <w:color w:val="auto"/>
              </w:rPr>
            </w:pPr>
          </w:p>
        </w:tc>
        <w:tc>
          <w:tcPr>
            <w:tcW w:w="112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0"/>
                <w:szCs w:val="10"/>
                <w:color w:val="auto"/>
              </w:rPr>
            </w:pPr>
          </w:p>
        </w:tc>
        <w:tc>
          <w:tcPr>
            <w:tcW w:w="6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0"/>
                <w:szCs w:val="10"/>
                <w:color w:val="auto"/>
              </w:rPr>
            </w:pPr>
          </w:p>
        </w:tc>
        <w:tc>
          <w:tcPr>
            <w:tcW w:w="8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2"/>
          </w:tcPr>
          <w:p>
            <w:pPr>
              <w:ind w:left="5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vMerge w:val="restart"/>
          </w:tcPr>
          <w:p>
            <w:pPr>
              <w:ind w:left="600"/>
              <w:spacing w:after="0"/>
              <w:rPr>
                <w:sz w:val="20"/>
                <w:szCs w:val="20"/>
                <w:color w:val="auto"/>
              </w:rPr>
            </w:pPr>
            <w:r>
              <w:rPr>
                <w:rFonts w:ascii="Arial" w:cs="Arial" w:eastAsia="Arial" w:hAnsi="Arial"/>
                <w:sz w:val="17"/>
                <w:szCs w:val="17"/>
                <w:color w:val="0000FF"/>
              </w:rPr>
              <w:t>06/05/2023</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vMerge w:val="restart"/>
          </w:tcPr>
          <w:p>
            <w:pPr>
              <w:ind w:left="20"/>
              <w:spacing w:after="0"/>
              <w:rPr>
                <w:sz w:val="20"/>
                <w:szCs w:val="20"/>
                <w:color w:val="auto"/>
              </w:rPr>
            </w:pPr>
            <w:r>
              <w:rPr>
                <w:rFonts w:ascii="Arial" w:cs="Arial" w:eastAsia="Arial" w:hAnsi="Arial"/>
                <w:sz w:val="13"/>
                <w:szCs w:val="13"/>
                <w:color w:val="0000FF"/>
              </w:rPr>
              <w:t>C</w:t>
            </w:r>
          </w:p>
        </w:tc>
        <w:tc>
          <w:tcPr>
            <w:tcW w:w="740" w:type="dxa"/>
            <w:vAlign w:val="bottom"/>
            <w:vMerge w:val="restart"/>
          </w:tcPr>
          <w:p>
            <w:pPr>
              <w:jc w:val="right"/>
              <w:ind w:right="58"/>
              <w:spacing w:after="0"/>
              <w:rPr>
                <w:sz w:val="20"/>
                <w:szCs w:val="20"/>
                <w:color w:val="auto"/>
              </w:rPr>
            </w:pPr>
            <w:r>
              <w:rPr>
                <w:rFonts w:ascii="Arial" w:cs="Arial" w:eastAsia="Arial" w:hAnsi="Arial"/>
                <w:sz w:val="17"/>
                <w:szCs w:val="17"/>
                <w:color w:val="0000FF"/>
                <w:w w:val="97"/>
              </w:rPr>
              <w:t>162,500</w:t>
            </w:r>
          </w:p>
        </w:tc>
        <w:tc>
          <w:tcPr>
            <w:tcW w:w="540" w:type="dxa"/>
            <w:vAlign w:val="bottom"/>
            <w:vMerge w:val="restart"/>
          </w:tcPr>
          <w:p>
            <w:pPr>
              <w:ind w:left="180"/>
              <w:spacing w:after="0"/>
              <w:rPr>
                <w:sz w:val="20"/>
                <w:szCs w:val="20"/>
                <w:color w:val="auto"/>
              </w:rPr>
            </w:pPr>
            <w:r>
              <w:rPr>
                <w:rFonts w:ascii="Arial" w:cs="Arial" w:eastAsia="Arial" w:hAnsi="Arial"/>
                <w:sz w:val="17"/>
                <w:szCs w:val="17"/>
                <w:color w:val="0000FF"/>
              </w:rPr>
              <w:t>A</w:t>
            </w:r>
          </w:p>
        </w:tc>
        <w:tc>
          <w:tcPr>
            <w:tcW w:w="740" w:type="dxa"/>
            <w:vAlign w:val="bottom"/>
            <w:vMerge w:val="restart"/>
          </w:tcPr>
          <w:p>
            <w:pPr>
              <w:jc w:val="center"/>
              <w:ind w:right="1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r>
              <w:rPr>
                <w:rFonts w:ascii="Arial" w:cs="Arial" w:eastAsia="Arial" w:hAnsi="Arial"/>
                <w:sz w:val="21"/>
                <w:szCs w:val="21"/>
                <w:color w:val="008000"/>
                <w:vertAlign w:val="superscript"/>
              </w:rPr>
              <w:t>(1)</w:t>
            </w: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162,500</w:t>
            </w:r>
          </w:p>
        </w:tc>
        <w:tc>
          <w:tcPr>
            <w:tcW w:w="320" w:type="dxa"/>
            <w:vAlign w:val="bottom"/>
          </w:tcPr>
          <w:p>
            <w:pPr>
              <w:spacing w:after="0"/>
              <w:rPr>
                <w:sz w:val="21"/>
                <w:szCs w:val="21"/>
                <w:color w:val="auto"/>
              </w:rPr>
            </w:pPr>
          </w:p>
        </w:tc>
        <w:tc>
          <w:tcPr>
            <w:tcW w:w="520" w:type="dxa"/>
            <w:vAlign w:val="bottom"/>
            <w:vMerge w:val="restart"/>
          </w:tcPr>
          <w:p>
            <w:pPr>
              <w:jc w:val="center"/>
              <w:ind w:right="292"/>
              <w:spacing w:after="0"/>
              <w:rPr>
                <w:sz w:val="20"/>
                <w:szCs w:val="20"/>
                <w:color w:val="auto"/>
              </w:rPr>
            </w:pPr>
            <w:r>
              <w:rPr>
                <w:rFonts w:ascii="Arial" w:cs="Arial" w:eastAsia="Arial" w:hAnsi="Arial"/>
                <w:sz w:val="17"/>
                <w:szCs w:val="17"/>
                <w:color w:val="0000FF"/>
                <w:w w:val="83"/>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96"/>
              </w:rPr>
              <w:t>footnote</w:t>
            </w:r>
            <w:r>
              <w:rPr>
                <w:rFonts w:ascii="Arial" w:cs="Arial" w:eastAsia="Arial" w:hAnsi="Arial"/>
                <w:sz w:val="21"/>
                <w:szCs w:val="21"/>
                <w:color w:val="008000"/>
                <w:w w:val="96"/>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vMerge w:val="restart"/>
          </w:tcPr>
          <w:p>
            <w:pPr>
              <w:ind w:left="600"/>
              <w:spacing w:after="0"/>
              <w:rPr>
                <w:sz w:val="20"/>
                <w:szCs w:val="20"/>
                <w:color w:val="auto"/>
              </w:rPr>
            </w:pPr>
            <w:r>
              <w:rPr>
                <w:rFonts w:ascii="Arial" w:cs="Arial" w:eastAsia="Arial" w:hAnsi="Arial"/>
                <w:sz w:val="17"/>
                <w:szCs w:val="17"/>
                <w:color w:val="0000FF"/>
              </w:rPr>
              <w:t>06/05/2023</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(3)</w:t>
            </w:r>
          </w:p>
        </w:tc>
        <w:tc>
          <w:tcPr>
            <w:tcW w:w="740" w:type="dxa"/>
            <w:vAlign w:val="bottom"/>
            <w:vMerge w:val="restart"/>
          </w:tcPr>
          <w:p>
            <w:pPr>
              <w:jc w:val="right"/>
              <w:ind w:right="58"/>
              <w:spacing w:after="0"/>
              <w:rPr>
                <w:sz w:val="20"/>
                <w:szCs w:val="20"/>
                <w:color w:val="auto"/>
              </w:rPr>
            </w:pPr>
            <w:r>
              <w:rPr>
                <w:rFonts w:ascii="Arial" w:cs="Arial" w:eastAsia="Arial" w:hAnsi="Arial"/>
                <w:sz w:val="17"/>
                <w:szCs w:val="17"/>
                <w:color w:val="0000FF"/>
                <w:w w:val="97"/>
              </w:rPr>
              <w:t>162,500</w:t>
            </w:r>
          </w:p>
        </w:tc>
        <w:tc>
          <w:tcPr>
            <w:tcW w:w="5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780" w:type="dxa"/>
            <w:vAlign w:val="bottom"/>
            <w:gridSpan w:val="2"/>
            <w:vMerge w:val="restart"/>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23.9185</w:t>
            </w:r>
            <w:r>
              <w:rPr>
                <w:rFonts w:ascii="Arial" w:cs="Arial" w:eastAsia="Arial" w:hAnsi="Arial"/>
                <w:sz w:val="21"/>
                <w:szCs w:val="21"/>
                <w:color w:val="008000"/>
                <w:w w:val="84"/>
                <w:vertAlign w:val="superscript"/>
              </w:rPr>
              <w:t>(4)</w:t>
            </w:r>
          </w:p>
        </w:tc>
        <w:tc>
          <w:tcPr>
            <w:tcW w:w="12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0"/>
              </w:rPr>
              <w:t>0.00</w:t>
            </w:r>
          </w:p>
        </w:tc>
        <w:tc>
          <w:tcPr>
            <w:tcW w:w="320" w:type="dxa"/>
            <w:vAlign w:val="bottom"/>
          </w:tcPr>
          <w:p>
            <w:pPr>
              <w:spacing w:after="0"/>
              <w:rPr>
                <w:sz w:val="21"/>
                <w:szCs w:val="21"/>
                <w:color w:val="auto"/>
              </w:rPr>
            </w:pPr>
          </w:p>
        </w:tc>
        <w:tc>
          <w:tcPr>
            <w:tcW w:w="520" w:type="dxa"/>
            <w:vAlign w:val="bottom"/>
            <w:vMerge w:val="restart"/>
          </w:tcPr>
          <w:p>
            <w:pPr>
              <w:jc w:val="center"/>
              <w:ind w:right="292"/>
              <w:spacing w:after="0"/>
              <w:rPr>
                <w:sz w:val="20"/>
                <w:szCs w:val="20"/>
                <w:color w:val="auto"/>
              </w:rPr>
            </w:pPr>
            <w:r>
              <w:rPr>
                <w:rFonts w:ascii="Arial" w:cs="Arial" w:eastAsia="Arial" w:hAnsi="Arial"/>
                <w:sz w:val="17"/>
                <w:szCs w:val="17"/>
                <w:color w:val="0000FF"/>
                <w:w w:val="83"/>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22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8,781,892</w:t>
            </w:r>
            <w:r>
              <w:rPr>
                <w:rFonts w:ascii="Arial" w:cs="Arial" w:eastAsia="Arial" w:hAnsi="Arial"/>
                <w:sz w:val="21"/>
                <w:szCs w:val="21"/>
                <w:color w:val="008000"/>
                <w:w w:val="84"/>
                <w:vertAlign w:val="superscript"/>
              </w:rPr>
              <w:t>(5)</w:t>
            </w:r>
          </w:p>
        </w:tc>
        <w:tc>
          <w:tcPr>
            <w:tcW w:w="32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2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716,728</w:t>
            </w:r>
          </w:p>
        </w:tc>
        <w:tc>
          <w:tcPr>
            <w:tcW w:w="320" w:type="dxa"/>
            <w:vAlign w:val="bottom"/>
          </w:tcPr>
          <w:p>
            <w:pPr>
              <w:spacing w:after="0"/>
              <w:rPr>
                <w:sz w:val="21"/>
                <w:szCs w:val="21"/>
                <w:color w:val="auto"/>
              </w:rPr>
            </w:pPr>
          </w:p>
        </w:tc>
        <w:tc>
          <w:tcPr>
            <w:tcW w:w="520" w:type="dxa"/>
            <w:vAlign w:val="bottom"/>
            <w:vMerge w:val="restart"/>
          </w:tcPr>
          <w:p>
            <w:pPr>
              <w:jc w:val="center"/>
              <w:ind w:right="292"/>
              <w:spacing w:after="0"/>
              <w:rPr>
                <w:sz w:val="20"/>
                <w:szCs w:val="20"/>
                <w:color w:val="auto"/>
              </w:rPr>
            </w:pPr>
            <w:r>
              <w:rPr>
                <w:rFonts w:ascii="Arial" w:cs="Arial" w:eastAsia="Arial" w:hAnsi="Arial"/>
                <w:sz w:val="17"/>
                <w:szCs w:val="17"/>
                <w:color w:val="0000FF"/>
                <w:w w:val="83"/>
              </w:rPr>
              <w:t>I</w:t>
            </w:r>
          </w:p>
        </w:tc>
        <w:tc>
          <w:tcPr>
            <w:tcW w:w="98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8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14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4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1"/>
              </w:rPr>
              <w:t>Acquired (A)</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or Disposed</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1"/>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40" w:type="dxa"/>
            <w:vAlign w:val="bottom"/>
            <w:vMerge w:val="restart"/>
          </w:tcPr>
          <w:p>
            <w:pPr>
              <w:jc w:val="center"/>
              <w:ind w:left="15"/>
              <w:spacing w:after="0"/>
              <w:rPr>
                <w:sz w:val="20"/>
                <w:szCs w:val="20"/>
                <w:color w:val="auto"/>
              </w:rPr>
            </w:pPr>
            <w:r>
              <w:rPr>
                <w:rFonts w:ascii="Arial" w:cs="Arial" w:eastAsia="Arial" w:hAnsi="Arial"/>
                <w:sz w:val="17"/>
                <w:szCs w:val="17"/>
                <w:color w:val="0000FF"/>
                <w:w w:val="87"/>
              </w:rPr>
              <w:t>162,500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1040" w:type="dxa"/>
            <w:vAlign w:val="bottom"/>
            <w:vMerge w:val="restart"/>
          </w:tcPr>
          <w:p>
            <w:pPr>
              <w:jc w:val="right"/>
              <w:ind w:right="140"/>
              <w:spacing w:after="0" w:line="142" w:lineRule="exact"/>
              <w:rPr>
                <w:sz w:val="20"/>
                <w:szCs w:val="20"/>
                <w:color w:val="auto"/>
              </w:rPr>
            </w:pPr>
            <w:r>
              <w:rPr>
                <w:rFonts w:ascii="Arial" w:cs="Arial" w:eastAsia="Arial" w:hAnsi="Arial"/>
                <w:sz w:val="13"/>
                <w:szCs w:val="13"/>
                <w:color w:val="0000FF"/>
              </w:rPr>
              <w:t>06/05/2023</w:t>
            </w:r>
          </w:p>
        </w:tc>
        <w:tc>
          <w:tcPr>
            <w:tcW w:w="1140" w:type="dxa"/>
            <w:vAlign w:val="bottom"/>
          </w:tcPr>
          <w:p>
            <w:pPr>
              <w:spacing w:after="0"/>
              <w:rPr>
                <w:sz w:val="4"/>
                <w:szCs w:val="4"/>
                <w:color w:val="auto"/>
              </w:rPr>
            </w:pPr>
          </w:p>
        </w:tc>
        <w:tc>
          <w:tcPr>
            <w:tcW w:w="40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C</w:t>
            </w:r>
          </w:p>
        </w:tc>
        <w:tc>
          <w:tcPr>
            <w:tcW w:w="400" w:type="dxa"/>
            <w:vAlign w:val="bottom"/>
          </w:tcPr>
          <w:p>
            <w:pPr>
              <w:spacing w:after="0"/>
              <w:rPr>
                <w:sz w:val="4"/>
                <w:szCs w:val="4"/>
                <w:color w:val="auto"/>
              </w:rPr>
            </w:pPr>
          </w:p>
        </w:tc>
        <w:tc>
          <w:tcPr>
            <w:tcW w:w="860" w:type="dxa"/>
            <w:vAlign w:val="bottom"/>
            <w:gridSpan w:val="3"/>
            <w:vMerge w:val="restart"/>
          </w:tcPr>
          <w:p>
            <w:pPr>
              <w:ind w:left="320"/>
              <w:spacing w:after="0" w:line="142" w:lineRule="exact"/>
              <w:rPr>
                <w:sz w:val="20"/>
                <w:szCs w:val="20"/>
                <w:color w:val="auto"/>
              </w:rPr>
            </w:pPr>
            <w:r>
              <w:rPr>
                <w:rFonts w:ascii="Arial" w:cs="Arial" w:eastAsia="Arial" w:hAnsi="Arial"/>
                <w:sz w:val="13"/>
                <w:szCs w:val="13"/>
                <w:color w:val="0000FF"/>
              </w:rPr>
              <w:t>162,500</w:t>
            </w:r>
          </w:p>
        </w:tc>
        <w:tc>
          <w:tcPr>
            <w:tcW w:w="680" w:type="dxa"/>
            <w:vAlign w:val="bottom"/>
            <w:vMerge w:val="restart"/>
          </w:tcPr>
          <w:p>
            <w:pPr>
              <w:ind w:left="2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54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87"/>
              </w:rPr>
              <w:t>Common</w:t>
            </w:r>
          </w:p>
        </w:tc>
        <w:tc>
          <w:tcPr>
            <w:tcW w:w="7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2"/>
            <w:vMerge w:val="restart"/>
          </w:tcPr>
          <w:p>
            <w:pPr>
              <w:jc w:val="center"/>
              <w:spacing w:after="0" w:line="142" w:lineRule="exact"/>
              <w:rPr>
                <w:sz w:val="20"/>
                <w:szCs w:val="20"/>
                <w:color w:val="auto"/>
              </w:rPr>
            </w:pPr>
            <w:r>
              <w:rPr>
                <w:rFonts w:ascii="Arial" w:cs="Arial" w:eastAsia="Arial" w:hAnsi="Arial"/>
                <w:sz w:val="13"/>
                <w:szCs w:val="13"/>
                <w:color w:val="0000FF"/>
                <w:w w:val="89"/>
              </w:rPr>
              <w:t>71,613,073</w:t>
            </w:r>
          </w:p>
        </w:tc>
        <w:tc>
          <w:tcPr>
            <w:tcW w:w="52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Borders>
              <w:right w:val="single" w:sz="8" w:color="2C2C2C"/>
            </w:tcBorders>
            <w:gridSpan w:val="3"/>
          </w:tcPr>
          <w:p>
            <w:pPr>
              <w:ind w:left="60"/>
              <w:spacing w:after="0" w:line="69" w:lineRule="exact"/>
              <w:rPr>
                <w:sz w:val="20"/>
                <w:szCs w:val="20"/>
                <w:color w:val="auto"/>
              </w:rPr>
            </w:pPr>
            <w:r>
              <w:rPr>
                <w:rFonts w:ascii="Arial" w:cs="Arial" w:eastAsia="Arial" w:hAnsi="Arial"/>
                <w:sz w:val="6"/>
                <w:szCs w:val="6"/>
                <w:color w:val="0000FF"/>
              </w:rPr>
              <w:t>foonote</w:t>
            </w:r>
            <w:r>
              <w:rPr>
                <w:rFonts w:ascii="Arial" w:cs="Arial" w:eastAsia="Arial" w:hAnsi="Arial"/>
                <w:sz w:val="8"/>
                <w:szCs w:val="8"/>
                <w:color w:val="008000"/>
                <w:vertAlign w:val="superscript"/>
              </w:rPr>
              <w:t>(2)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jc w:val="center"/>
              <w:ind w:left="16"/>
              <w:spacing w:after="0"/>
              <w:rPr>
                <w:sz w:val="20"/>
                <w:szCs w:val="20"/>
                <w:color w:val="auto"/>
              </w:rPr>
            </w:pPr>
            <w:r>
              <w:rPr>
                <w:rFonts w:ascii="Arial" w:cs="Arial" w:eastAsia="Arial" w:hAnsi="Arial"/>
                <w:sz w:val="13"/>
                <w:szCs w:val="13"/>
                <w:color w:val="0000FF"/>
                <w:w w:val="92"/>
              </w:rPr>
              <w:t>Stock</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54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87"/>
              </w:rPr>
              <w:t>Common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2"/>
            <w:vMerge w:val="restart"/>
          </w:tcPr>
          <w:p>
            <w:pPr>
              <w:jc w:val="center"/>
              <w:spacing w:after="0" w:line="142" w:lineRule="exact"/>
              <w:rPr>
                <w:sz w:val="20"/>
                <w:szCs w:val="20"/>
                <w:color w:val="auto"/>
              </w:rPr>
            </w:pPr>
            <w:r>
              <w:rPr>
                <w:rFonts w:ascii="Arial" w:cs="Arial" w:eastAsia="Arial" w:hAnsi="Arial"/>
                <w:sz w:val="13"/>
                <w:szCs w:val="13"/>
                <w:color w:val="0000FF"/>
                <w:w w:val="86"/>
              </w:rPr>
              <w:t>7,743,764</w:t>
            </w:r>
          </w:p>
        </w:tc>
        <w:tc>
          <w:tcPr>
            <w:tcW w:w="52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212" w:lineRule="exact"/>
              <w:rPr>
                <w:sz w:val="20"/>
                <w:szCs w:val="20"/>
                <w:color w:val="auto"/>
              </w:rPr>
            </w:pPr>
            <w:r>
              <w:rPr>
                <w:rFonts w:ascii="Arial" w:cs="Arial" w:eastAsia="Arial" w:hAnsi="Arial"/>
                <w:sz w:val="13"/>
                <w:szCs w:val="13"/>
                <w:color w:val="0000FF"/>
                <w:w w:val="99"/>
              </w:rPr>
              <w:t>footnote</w:t>
            </w:r>
            <w:r>
              <w:rPr>
                <w:rFonts w:ascii="Arial" w:cs="Arial" w:eastAsia="Arial" w:hAnsi="Arial"/>
                <w:sz w:val="21"/>
                <w:szCs w:val="21"/>
                <w:color w:val="008000"/>
                <w:w w:val="99"/>
                <w:vertAlign w:val="superscript"/>
              </w:rPr>
              <w:t>(6)</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vMerge w:val="restart"/>
          </w:tcPr>
          <w:p>
            <w:pPr>
              <w:jc w:val="center"/>
              <w:ind w:left="16"/>
              <w:spacing w:after="0"/>
              <w:rPr>
                <w:sz w:val="20"/>
                <w:szCs w:val="20"/>
                <w:color w:val="auto"/>
              </w:rPr>
            </w:pPr>
            <w:r>
              <w:rPr>
                <w:rFonts w:ascii="Arial" w:cs="Arial" w:eastAsia="Arial" w:hAnsi="Arial"/>
                <w:sz w:val="13"/>
                <w:szCs w:val="13"/>
                <w:color w:val="0000FF"/>
                <w:w w:val="92"/>
              </w:rPr>
              <w:t>Stock</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(7)</w:t>
            </w: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54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87"/>
              </w:rPr>
              <w:t>Common</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gridSpan w:val="2"/>
            <w:vMerge w:val="restart"/>
          </w:tcPr>
          <w:p>
            <w:pPr>
              <w:jc w:val="center"/>
              <w:spacing w:after="0" w:line="142" w:lineRule="exact"/>
              <w:rPr>
                <w:sz w:val="20"/>
                <w:szCs w:val="20"/>
                <w:color w:val="auto"/>
              </w:rPr>
            </w:pPr>
            <w:r>
              <w:rPr>
                <w:rFonts w:ascii="Arial" w:cs="Arial" w:eastAsia="Arial" w:hAnsi="Arial"/>
                <w:sz w:val="13"/>
                <w:szCs w:val="13"/>
                <w:color w:val="0000FF"/>
                <w:w w:val="89"/>
              </w:rPr>
              <w:t>500,500</w:t>
            </w:r>
          </w:p>
        </w:tc>
        <w:tc>
          <w:tcPr>
            <w:tcW w:w="52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I</w:t>
            </w:r>
          </w:p>
        </w:tc>
        <w:tc>
          <w:tcPr>
            <w:tcW w:w="24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tcBorders>
              <w:right w:val="single" w:sz="8" w:color="2C2C2C"/>
            </w:tcBorders>
            <w:gridSpan w:val="3"/>
            <w:vMerge w:val="restart"/>
          </w:tcPr>
          <w:p>
            <w:pPr>
              <w:ind w:left="60"/>
              <w:spacing w:after="0" w:line="212" w:lineRule="exact"/>
              <w:rPr>
                <w:sz w:val="20"/>
                <w:szCs w:val="20"/>
                <w:color w:val="auto"/>
              </w:rPr>
            </w:pPr>
            <w:r>
              <w:rPr>
                <w:rFonts w:ascii="Arial" w:cs="Arial" w:eastAsia="Arial" w:hAnsi="Arial"/>
                <w:sz w:val="13"/>
                <w:szCs w:val="13"/>
                <w:color w:val="0000FF"/>
                <w:w w:val="99"/>
              </w:rPr>
              <w:t>footnote</w:t>
            </w:r>
            <w:r>
              <w:rPr>
                <w:rFonts w:ascii="Arial" w:cs="Arial" w:eastAsia="Arial" w:hAnsi="Arial"/>
                <w:sz w:val="21"/>
                <w:szCs w:val="21"/>
                <w:color w:val="008000"/>
                <w:w w:val="99"/>
                <w:vertAlign w:val="superscript"/>
              </w:rPr>
              <w:t>(8)</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40" w:type="dxa"/>
            <w:vAlign w:val="bottom"/>
            <w:vMerge w:val="restart"/>
          </w:tcPr>
          <w:p>
            <w:pPr>
              <w:jc w:val="center"/>
              <w:ind w:left="16"/>
              <w:spacing w:after="0"/>
              <w:rPr>
                <w:sz w:val="20"/>
                <w:szCs w:val="20"/>
                <w:color w:val="auto"/>
              </w:rPr>
            </w:pPr>
            <w:r>
              <w:rPr>
                <w:rFonts w:ascii="Arial" w:cs="Arial" w:eastAsia="Arial" w:hAnsi="Arial"/>
                <w:sz w:val="13"/>
                <w:szCs w:val="13"/>
                <w:color w:val="0000FF"/>
                <w:w w:val="92"/>
              </w:rPr>
              <w:t>Stock</w:t>
            </w: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Borders>
              <w:right w:val="single" w:sz="8" w:color="2C2C2C"/>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-2471420</wp:posOffset>
            </wp:positionV>
            <wp:extent cx="29210" cy="24765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210" cy="247650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162,500 shares of Class B Common Stock were converted into 162,500 shares of Class A Common Stock at the election of the Reporting Person and had no expiration date.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Andrew Houston Revocable Trust u/a/d 9/7/2011, for which reporting person serves as trustee.</w:t>
      </w:r>
    </w:p>
    <w:p>
      <w:pPr>
        <w:spacing w:after="0" w:line="44" w:lineRule="exact"/>
        <w:rPr>
          <w:rFonts w:ascii="Arial" w:cs="Arial" w:eastAsia="Arial" w:hAnsi="Arial"/>
          <w:sz w:val="13"/>
          <w:szCs w:val="13"/>
          <w:color w:val="008000"/>
        </w:rPr>
      </w:pPr>
    </w:p>
    <w:p>
      <w:pPr>
        <w:ind w:left="40" w:right="200" w:firstLine="2"/>
        <w:spacing w:after="0" w:line="290"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were sold pursuant to a Rule 10b5-1 trading plan entered into by the Reporting Person prior to the effectiveness of the revised requirements of Rule 10b5-1(c). In compliance with SEC guidance, the Reporting Person has not checked the box above but states that the Rule 10b5-1 trading plan is intended to satisfy the affirmative defense conditions of Rule 10b5-1(c).</w:t>
      </w:r>
    </w:p>
    <w:p>
      <w:pPr>
        <w:spacing w:after="0" w:line="2" w:lineRule="exact"/>
        <w:rPr>
          <w:rFonts w:ascii="Arial" w:cs="Arial" w:eastAsia="Arial" w:hAnsi="Arial"/>
          <w:sz w:val="12"/>
          <w:szCs w:val="12"/>
          <w:color w:val="008000"/>
        </w:rPr>
      </w:pPr>
    </w:p>
    <w:p>
      <w:pPr>
        <w:ind w:left="40" w:right="200" w:firstLine="2"/>
        <w:spacing w:after="0" w:line="290"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$23.63 to $24.11.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2" w:lineRule="exact"/>
        <w:rPr>
          <w:rFonts w:ascii="Arial" w:cs="Arial" w:eastAsia="Arial" w:hAnsi="Arial"/>
          <w:sz w:val="12"/>
          <w:szCs w:val="12"/>
          <w:color w:val="008000"/>
        </w:rPr>
      </w:pPr>
    </w:p>
    <w:p>
      <w:pPr>
        <w:ind w:left="40" w:right="26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of Class A Common Stock. The restricted stock awards vest over a period of up to ten years following the closing of the Issuer's initial public offering of Class A Common Stock, or March 27, 2028, upon achievement of service-based, market-based, and liquidity event-related performance vesting conditions.</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Houston Remainder Trust u/a/d 12/30/2010, for which reporting person serves as trustee.</w:t>
      </w:r>
    </w:p>
    <w:p>
      <w:pPr>
        <w:spacing w:after="0" w:line="44" w:lineRule="exact"/>
        <w:rPr>
          <w:rFonts w:ascii="Arial" w:cs="Arial" w:eastAsia="Arial" w:hAnsi="Arial"/>
          <w:sz w:val="13"/>
          <w:szCs w:val="13"/>
          <w:color w:val="008000"/>
        </w:rPr>
      </w:pPr>
    </w:p>
    <w:p>
      <w:pPr>
        <w:ind w:left="160" w:hanging="118"/>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the Houston 2012 Irrevocable Children's Trust u/a/d 4/12/2012, for which reporting person serves as trustee.</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Arial" w:cs="Arial" w:eastAsia="Arial" w:hAnsi="Arial"/>
          <w:sz w:val="17"/>
          <w:szCs w:val="17"/>
          <w:color w:val="0000FF"/>
        </w:rPr>
        <w:t xml:space="preserve">/s/ Cara Angelmar, Attorney-in- </w:t>
      </w:r>
      <w:r>
        <w:rPr>
          <w:rFonts w:ascii="Arial" w:cs="Arial" w:eastAsia="Arial" w:hAnsi="Arial"/>
          <w:sz w:val="33"/>
          <w:szCs w:val="33"/>
          <w:color w:val="0000FF"/>
          <w:vertAlign w:val="subscript"/>
        </w:rPr>
        <w:t>06/07/2023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1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-20320</wp:posOffset>
            </wp:positionV>
            <wp:extent cx="1835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-85725</wp:posOffset>
            </wp:positionV>
            <wp:extent cx="485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9" w:lineRule="exact"/>
        <w:rPr>
          <w:sz w:val="20"/>
          <w:szCs w:val="20"/>
          <w:color w:val="auto"/>
        </w:rPr>
      </w:pPr>
    </w:p>
    <w:p>
      <w:pPr>
        <w:ind w:left="660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0"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195" w:lineRule="exact"/>
        <w:rPr>
          <w:sz w:val="20"/>
          <w:szCs w:val="20"/>
          <w:color w:val="auto"/>
        </w:rPr>
      </w:pPr>
    </w:p>
    <w:p>
      <w:pPr>
        <w:ind w:left="100" w:right="4339" w:hanging="100"/>
        <w:spacing w:after="0" w:line="242"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w:t>
      </w:r>
    </w:p>
    <w:p>
      <w:pPr>
        <w:spacing w:after="0" w:line="9" w:lineRule="exact"/>
        <w:rPr>
          <w:sz w:val="20"/>
          <w:szCs w:val="20"/>
          <w:color w:val="auto"/>
        </w:rPr>
      </w:pPr>
    </w:p>
    <w:p>
      <w:pPr>
        <w:ind w:left="100" w:right="4139"/>
        <w:spacing w:after="0" w:line="268" w:lineRule="auto"/>
        <w:rPr>
          <w:sz w:val="20"/>
          <w:szCs w:val="20"/>
          <w:color w:val="auto"/>
        </w:rPr>
      </w:pPr>
      <w:r>
        <w:rPr>
          <w:rFonts w:ascii="Courier New" w:cs="Courier New" w:eastAsia="Courier New" w:hAnsi="Courier New"/>
          <w:sz w:val="16"/>
          <w:szCs w:val="16"/>
          <w:color w:val="auto"/>
        </w:rPr>
        <w:t>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34" w:lineRule="exact"/>
        <w:rPr>
          <w:sz w:val="20"/>
          <w:szCs w:val="20"/>
          <w:color w:val="auto"/>
        </w:rPr>
      </w:pPr>
    </w:p>
    <w:p>
      <w:pPr>
        <w:ind w:left="100" w:right="4639" w:hanging="100"/>
        <w:spacing w:after="0" w:line="247"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53" w:lineRule="exact"/>
        <w:rPr>
          <w:sz w:val="20"/>
          <w:szCs w:val="20"/>
          <w:color w:val="auto"/>
        </w:rPr>
      </w:pPr>
    </w:p>
    <w:p>
      <w:pPr>
        <w:ind w:left="100" w:right="4539" w:hanging="100"/>
        <w:spacing w:after="0" w:line="244"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to the foregoing attorneys-in-fact.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Limited Power of Attorney is executed as of</w:t>
      </w:r>
    </w:p>
    <w:p>
      <w:pPr>
        <w:spacing w:after="0" w:line="17"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the date set forth below.</w:t>
      </w:r>
    </w:p>
    <w:p>
      <w:pPr>
        <w:spacing w:after="0" w:line="37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7"/>
          <w:szCs w:val="17"/>
          <w:color w:val="auto"/>
        </w:rPr>
        <w:t>Signature:</w:t>
        <w:tab/>
        <w:t>/s/ Andrew Houston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Andrew Houston</w:t>
      </w:r>
    </w:p>
    <w:p>
      <w:pPr>
        <w:spacing w:after="0" w:line="1"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Dated:</w:t>
        <w:tab/>
        <w:t>1/22/2021</w:t>
      </w:r>
    </w:p>
    <w:sectPr>
      <w:pgSz w:w="11900" w:h="16838" w:orient="portrait"/>
      <w:cols w:equalWidth="0" w:num="1">
        <w:col w:w="9999"/>
      </w:cols>
      <w:pgMar w:left="460" w:top="2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8" Type="http://schemas.openxmlformats.org/officeDocument/2006/relationships/hyperlink" Target="http://www.sec.gov/cgi-bin/browse-edgar?action=getcompany&amp;CIK=0001734563" TargetMode="External"/><Relationship Id="rId9"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2023-06-07T15:15:01Z</dcterms:created>
  <dcterms:modified xsi:type="dcterms:W3CDTF">2023-06-07T15:15:01Z</dcterms:modified>
</cp:coreProperties>
</file>