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2540</wp:posOffset>
            </wp:positionH>
            <wp:positionV relativeFrom="paragraph">
              <wp:posOffset>102235</wp:posOffset>
            </wp:positionV>
            <wp:extent cx="6172200" cy="171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172200" cy="1714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170815</wp:posOffset>
            </wp:positionV>
            <wp:extent cx="617220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172200" cy="8255"/>
                    </a:xfrm>
                    <a:prstGeom prst="rect">
                      <a:avLst/>
                    </a:prstGeom>
                    <a:noFill/>
                  </pic:spPr>
                </pic:pic>
              </a:graphicData>
            </a:graphic>
          </wp:anchor>
        </w:drawing>
      </w:r>
    </w:p>
    <w:p>
      <w:pPr>
        <w:spacing w:after="0" w:line="200" w:lineRule="exact"/>
        <w:rPr>
          <w:sz w:val="24"/>
          <w:szCs w:val="24"/>
          <w:color w:val="auto"/>
        </w:rPr>
      </w:pPr>
    </w:p>
    <w:p>
      <w:pPr>
        <w:spacing w:after="0" w:line="213" w:lineRule="exact"/>
        <w:rPr>
          <w:sz w:val="24"/>
          <w:szCs w:val="24"/>
          <w:color w:val="auto"/>
        </w:rPr>
      </w:pPr>
    </w:p>
    <w:p>
      <w:pPr>
        <w:jc w:val="center"/>
        <w:ind w:right="-340"/>
        <w:spacing w:after="0"/>
        <w:rPr>
          <w:sz w:val="20"/>
          <w:szCs w:val="20"/>
          <w:color w:val="auto"/>
        </w:rPr>
      </w:pPr>
      <w:r>
        <w:rPr>
          <w:rFonts w:ascii="Arial" w:cs="Arial" w:eastAsia="Arial" w:hAnsi="Arial"/>
          <w:sz w:val="25"/>
          <w:szCs w:val="25"/>
          <w:b w:val="1"/>
          <w:bCs w:val="1"/>
          <w:color w:val="auto"/>
        </w:rPr>
        <w:t>UNITED STATES</w:t>
      </w:r>
    </w:p>
    <w:p>
      <w:pPr>
        <w:spacing w:after="0" w:line="36" w:lineRule="exact"/>
        <w:rPr>
          <w:sz w:val="24"/>
          <w:szCs w:val="24"/>
          <w:color w:val="auto"/>
        </w:rPr>
      </w:pPr>
    </w:p>
    <w:p>
      <w:pPr>
        <w:jc w:val="center"/>
        <w:ind w:right="-340"/>
        <w:spacing w:after="0"/>
        <w:rPr>
          <w:sz w:val="20"/>
          <w:szCs w:val="20"/>
          <w:color w:val="auto"/>
        </w:rPr>
      </w:pPr>
      <w:r>
        <w:rPr>
          <w:rFonts w:ascii="Arial" w:cs="Arial" w:eastAsia="Arial" w:hAnsi="Arial"/>
          <w:sz w:val="25"/>
          <w:szCs w:val="25"/>
          <w:b w:val="1"/>
          <w:bCs w:val="1"/>
          <w:color w:val="auto"/>
        </w:rPr>
        <w:t>SECURITIES AND EXCHANGE COMMISSION</w:t>
      </w:r>
    </w:p>
    <w:p>
      <w:pPr>
        <w:spacing w:after="0" w:line="2" w:lineRule="exact"/>
        <w:rPr>
          <w:sz w:val="24"/>
          <w:szCs w:val="24"/>
          <w:color w:val="auto"/>
        </w:rPr>
      </w:pPr>
    </w:p>
    <w:p>
      <w:pPr>
        <w:jc w:val="center"/>
        <w:ind w:right="-340"/>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2540000</wp:posOffset>
            </wp:positionH>
            <wp:positionV relativeFrom="paragraph">
              <wp:posOffset>49530</wp:posOffset>
            </wp:positionV>
            <wp:extent cx="109728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097280" cy="8255"/>
                    </a:xfrm>
                    <a:prstGeom prst="rect">
                      <a:avLst/>
                    </a:prstGeom>
                    <a:noFill/>
                  </pic:spPr>
                </pic:pic>
              </a:graphicData>
            </a:graphic>
          </wp:anchor>
        </w:drawing>
      </w:r>
    </w:p>
    <w:p>
      <w:pPr>
        <w:spacing w:after="0" w:line="176" w:lineRule="exact"/>
        <w:rPr>
          <w:sz w:val="24"/>
          <w:szCs w:val="24"/>
          <w:color w:val="auto"/>
        </w:rPr>
      </w:pPr>
    </w:p>
    <w:p>
      <w:pPr>
        <w:jc w:val="center"/>
        <w:ind w:right="-340"/>
        <w:spacing w:after="0"/>
        <w:rPr>
          <w:sz w:val="20"/>
          <w:szCs w:val="20"/>
          <w:color w:val="auto"/>
        </w:rPr>
      </w:pPr>
      <w:r>
        <w:rPr>
          <w:rFonts w:ascii="Arial" w:cs="Arial" w:eastAsia="Arial" w:hAnsi="Arial"/>
          <w:sz w:val="32"/>
          <w:szCs w:val="32"/>
          <w:b w:val="1"/>
          <w:bCs w:val="1"/>
          <w:color w:val="auto"/>
        </w:rPr>
        <w:t>SCHEDULE 14A</w:t>
      </w:r>
    </w:p>
    <w:p>
      <w:pPr>
        <w:spacing w:after="0" w:line="129" w:lineRule="exact"/>
        <w:rPr>
          <w:sz w:val="24"/>
          <w:szCs w:val="24"/>
          <w:color w:val="auto"/>
        </w:rPr>
      </w:pPr>
    </w:p>
    <w:p>
      <w:pPr>
        <w:jc w:val="center"/>
        <w:ind w:right="-340"/>
        <w:spacing w:after="0"/>
        <w:rPr>
          <w:sz w:val="20"/>
          <w:szCs w:val="20"/>
          <w:color w:val="auto"/>
        </w:rPr>
      </w:pPr>
      <w:r>
        <w:rPr>
          <w:rFonts w:ascii="Arial" w:cs="Arial" w:eastAsia="Arial" w:hAnsi="Arial"/>
          <w:sz w:val="18"/>
          <w:szCs w:val="18"/>
          <w:b w:val="1"/>
          <w:bCs w:val="1"/>
          <w:color w:val="auto"/>
        </w:rPr>
        <w:t>PROXY STATEMENT PURSUANT TO SECTION 14(a) OF THE</w:t>
      </w:r>
    </w:p>
    <w:p>
      <w:pPr>
        <w:spacing w:after="0" w:line="14" w:lineRule="exact"/>
        <w:rPr>
          <w:sz w:val="24"/>
          <w:szCs w:val="24"/>
          <w:color w:val="auto"/>
        </w:rPr>
      </w:pPr>
    </w:p>
    <w:p>
      <w:pPr>
        <w:jc w:val="center"/>
        <w:ind w:right="-340"/>
        <w:spacing w:after="0"/>
        <w:rPr>
          <w:sz w:val="20"/>
          <w:szCs w:val="20"/>
          <w:color w:val="auto"/>
        </w:rPr>
      </w:pPr>
      <w:r>
        <w:rPr>
          <w:rFonts w:ascii="Arial" w:cs="Arial" w:eastAsia="Arial" w:hAnsi="Arial"/>
          <w:sz w:val="18"/>
          <w:szCs w:val="18"/>
          <w:b w:val="1"/>
          <w:bCs w:val="1"/>
          <w:color w:val="auto"/>
        </w:rPr>
        <w:t>SECURITIES EXCHANGE ACT OF 1934</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2540000</wp:posOffset>
            </wp:positionH>
            <wp:positionV relativeFrom="paragraph">
              <wp:posOffset>74930</wp:posOffset>
            </wp:positionV>
            <wp:extent cx="109728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097280" cy="8255"/>
                    </a:xfrm>
                    <a:prstGeom prst="rect">
                      <a:avLst/>
                    </a:prstGeom>
                    <a:noFill/>
                  </pic:spPr>
                </pic:pic>
              </a:graphicData>
            </a:graphic>
          </wp:anchor>
        </w:drawing>
      </w:r>
    </w:p>
    <w:p>
      <w:pPr>
        <w:spacing w:after="0" w:line="213" w:lineRule="exact"/>
        <w:rPr>
          <w:sz w:val="24"/>
          <w:szCs w:val="24"/>
          <w:color w:val="auto"/>
        </w:rPr>
      </w:pPr>
    </w:p>
    <w:p>
      <w:pPr>
        <w:spacing w:after="0" w:line="207" w:lineRule="exact"/>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8"/>
          <w:szCs w:val="18"/>
          <w:color w:val="auto"/>
        </w:rPr>
        <w:t>☒</w:t>
      </w:r>
    </w:p>
    <w:p>
      <w:pPr>
        <w:spacing w:after="0" w:line="144" w:lineRule="exact"/>
        <w:rPr>
          <w:sz w:val="24"/>
          <w:szCs w:val="24"/>
          <w:color w:val="auto"/>
        </w:rPr>
      </w:pPr>
    </w:p>
    <w:p>
      <w:pPr>
        <w:spacing w:after="0" w:line="207" w:lineRule="exact"/>
        <w:rPr>
          <w:sz w:val="20"/>
          <w:szCs w:val="20"/>
          <w:color w:val="auto"/>
        </w:rPr>
      </w:pPr>
      <w:r>
        <w:rPr>
          <w:rFonts w:ascii="Arial" w:cs="Arial" w:eastAsia="Arial" w:hAnsi="Arial"/>
          <w:sz w:val="18"/>
          <w:szCs w:val="18"/>
          <w:color w:val="auto"/>
        </w:rPr>
        <w:t xml:space="preserve">Filed by a Party other than the Registrant </w:t>
      </w:r>
      <w:r>
        <w:rPr>
          <w:rFonts w:ascii="MS PGothic" w:cs="MS PGothic" w:eastAsia="MS PGothic" w:hAnsi="MS PGothic"/>
          <w:sz w:val="18"/>
          <w:szCs w:val="18"/>
          <w:color w:val="auto"/>
        </w:rPr>
        <w:t>☐</w:t>
      </w:r>
    </w:p>
    <w:p>
      <w:pPr>
        <w:spacing w:after="0" w:line="186" w:lineRule="exact"/>
        <w:rPr>
          <w:sz w:val="24"/>
          <w:szCs w:val="24"/>
          <w:color w:val="auto"/>
        </w:rPr>
      </w:pPr>
    </w:p>
    <w:p>
      <w:pPr>
        <w:spacing w:after="0"/>
        <w:rPr>
          <w:sz w:val="20"/>
          <w:szCs w:val="20"/>
          <w:color w:val="auto"/>
        </w:rPr>
      </w:pPr>
      <w:r>
        <w:rPr>
          <w:rFonts w:ascii="Arial" w:cs="Arial" w:eastAsia="Arial" w:hAnsi="Arial"/>
          <w:sz w:val="18"/>
          <w:szCs w:val="18"/>
          <w:color w:val="auto"/>
        </w:rPr>
        <w:t>Check the appropriate box:</w:t>
      </w:r>
    </w:p>
    <w:p>
      <w:pPr>
        <w:spacing w:after="0" w:line="144" w:lineRule="exact"/>
        <w:rPr>
          <w:sz w:val="24"/>
          <w:szCs w:val="24"/>
          <w:color w:val="auto"/>
        </w:rPr>
      </w:pPr>
    </w:p>
    <w:p>
      <w:pPr>
        <w:ind w:left="440" w:hanging="436"/>
        <w:spacing w:after="0"/>
        <w:tabs>
          <w:tab w:leader="none" w:pos="44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144" w:lineRule="exact"/>
        <w:rPr>
          <w:rFonts w:ascii="MS PGothic" w:cs="MS PGothic" w:eastAsia="MS PGothic" w:hAnsi="MS PGothic"/>
          <w:sz w:val="18"/>
          <w:szCs w:val="18"/>
          <w:color w:val="auto"/>
        </w:rPr>
      </w:pPr>
    </w:p>
    <w:p>
      <w:pPr>
        <w:ind w:left="440" w:hanging="436"/>
        <w:spacing w:after="0"/>
        <w:tabs>
          <w:tab w:leader="none" w:pos="440"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144" w:lineRule="exact"/>
        <w:rPr>
          <w:sz w:val="24"/>
          <w:szCs w:val="24"/>
          <w:color w:val="auto"/>
        </w:rPr>
      </w:pPr>
    </w:p>
    <w:p>
      <w:pPr>
        <w:ind w:left="440" w:hanging="436"/>
        <w:spacing w:after="0"/>
        <w:tabs>
          <w:tab w:leader="none" w:pos="44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Proxy Statement</w:t>
      </w:r>
    </w:p>
    <w:p>
      <w:pPr>
        <w:spacing w:after="0" w:line="144" w:lineRule="exact"/>
        <w:rPr>
          <w:sz w:val="24"/>
          <w:szCs w:val="24"/>
          <w:color w:val="auto"/>
        </w:rPr>
      </w:pPr>
    </w:p>
    <w:p>
      <w:pPr>
        <w:ind w:left="440" w:hanging="436"/>
        <w:spacing w:after="0"/>
        <w:tabs>
          <w:tab w:leader="none" w:pos="44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144" w:lineRule="exact"/>
        <w:rPr>
          <w:rFonts w:ascii="MS PGothic" w:cs="MS PGothic" w:eastAsia="MS PGothic" w:hAnsi="MS PGothic"/>
          <w:sz w:val="18"/>
          <w:szCs w:val="18"/>
          <w:color w:val="auto"/>
        </w:rPr>
      </w:pPr>
    </w:p>
    <w:p>
      <w:pPr>
        <w:ind w:left="440" w:hanging="436"/>
        <w:spacing w:after="0"/>
        <w:tabs>
          <w:tab w:leader="none" w:pos="44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§240.14a-11(c) or §240.14a-2</w:t>
      </w:r>
    </w:p>
    <w:p>
      <w:pPr>
        <w:spacing w:after="0" w:line="146" w:lineRule="exact"/>
        <w:rPr>
          <w:sz w:val="24"/>
          <w:szCs w:val="24"/>
          <w:color w:val="auto"/>
        </w:rPr>
      </w:pPr>
    </w:p>
    <w:p>
      <w:pPr>
        <w:jc w:val="center"/>
        <w:ind w:right="-340"/>
        <w:spacing w:after="0"/>
        <w:rPr>
          <w:sz w:val="20"/>
          <w:szCs w:val="20"/>
          <w:color w:val="auto"/>
        </w:rPr>
      </w:pPr>
      <w:r>
        <w:rPr>
          <w:rFonts w:ascii="Arial" w:cs="Arial" w:eastAsia="Arial" w:hAnsi="Arial"/>
          <w:sz w:val="43"/>
          <w:szCs w:val="43"/>
          <w:b w:val="1"/>
          <w:bCs w:val="1"/>
          <w:color w:val="auto"/>
        </w:rPr>
        <w:t>Dropbox, Inc.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2540</wp:posOffset>
            </wp:positionH>
            <wp:positionV relativeFrom="paragraph">
              <wp:posOffset>73660</wp:posOffset>
            </wp:positionV>
            <wp:extent cx="617220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172200" cy="8255"/>
                    </a:xfrm>
                    <a:prstGeom prst="rect">
                      <a:avLst/>
                    </a:prstGeom>
                    <a:noFill/>
                  </pic:spPr>
                </pic:pic>
              </a:graphicData>
            </a:graphic>
          </wp:anchor>
        </w:drawing>
      </w:r>
    </w:p>
    <w:p>
      <w:pPr>
        <w:spacing w:after="0" w:line="158" w:lineRule="exact"/>
        <w:rPr>
          <w:sz w:val="24"/>
          <w:szCs w:val="24"/>
          <w:color w:val="auto"/>
        </w:rPr>
      </w:pPr>
    </w:p>
    <w:p>
      <w:pPr>
        <w:ind w:left="2840"/>
        <w:spacing w:after="0"/>
        <w:rPr>
          <w:sz w:val="20"/>
          <w:szCs w:val="20"/>
          <w:color w:val="auto"/>
        </w:rPr>
      </w:pPr>
      <w:r>
        <w:rPr>
          <w:rFonts w:ascii="Arial" w:cs="Arial" w:eastAsia="Arial" w:hAnsi="Arial"/>
          <w:sz w:val="18"/>
          <w:szCs w:val="18"/>
          <w:b w:val="1"/>
          <w:bCs w:val="1"/>
          <w:color w:val="auto"/>
        </w:rPr>
        <w:t>(Name of Registrant as Specified In Its Charter)</w:t>
      </w:r>
    </w:p>
    <w:p>
      <w:pPr>
        <w:spacing w:after="0" w:line="158" w:lineRule="exact"/>
        <w:rPr>
          <w:sz w:val="24"/>
          <w:szCs w:val="24"/>
          <w:color w:val="auto"/>
        </w:rPr>
      </w:pPr>
    </w:p>
    <w:p>
      <w:pPr>
        <w:spacing w:after="0"/>
        <w:rPr>
          <w:sz w:val="20"/>
          <w:szCs w:val="20"/>
          <w:color w:val="auto"/>
        </w:rPr>
      </w:pPr>
      <w:r>
        <w:rPr>
          <w:rFonts w:ascii="Arial" w:cs="Arial" w:eastAsia="Arial" w:hAnsi="Arial"/>
          <w:sz w:val="18"/>
          <w:szCs w:val="18"/>
          <w:color w:val="auto"/>
        </w:rPr>
        <w:t>Payment of Filing Fee (Check the appropriate box):</w:t>
      </w:r>
    </w:p>
    <w:p>
      <w:pPr>
        <w:spacing w:after="0" w:line="239" w:lineRule="exact"/>
        <w:rPr>
          <w:sz w:val="24"/>
          <w:szCs w:val="24"/>
          <w:color w:val="auto"/>
        </w:rPr>
      </w:pPr>
    </w:p>
    <w:p>
      <w:pPr>
        <w:ind w:left="440" w:hanging="409"/>
        <w:spacing w:after="0"/>
        <w:tabs>
          <w:tab w:leader="none" w:pos="44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117" w:lineRule="exact"/>
        <w:rPr>
          <w:sz w:val="24"/>
          <w:szCs w:val="24"/>
          <w:color w:val="auto"/>
        </w:rPr>
      </w:pPr>
    </w:p>
    <w:p>
      <w:pPr>
        <w:ind w:left="440" w:hanging="409"/>
        <w:spacing w:after="0"/>
        <w:tabs>
          <w:tab w:leader="none" w:pos="440" w:val="left"/>
        </w:tabs>
        <w:numPr>
          <w:ilvl w:val="0"/>
          <w:numId w:val="5"/>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117" w:lineRule="exact"/>
        <w:rPr>
          <w:rFonts w:ascii="MS PGothic" w:cs="MS PGothic" w:eastAsia="MS PGothic" w:hAnsi="MS PGothic"/>
          <w:sz w:val="18"/>
          <w:szCs w:val="18"/>
          <w:color w:val="auto"/>
        </w:rPr>
      </w:pPr>
    </w:p>
    <w:p>
      <w:pPr>
        <w:ind w:left="440" w:hanging="409"/>
        <w:spacing w:after="0"/>
        <w:tabs>
          <w:tab w:leader="none" w:pos="440" w:val="left"/>
        </w:tabs>
        <w:numPr>
          <w:ilvl w:val="0"/>
          <w:numId w:val="5"/>
        </w:numPr>
        <w:rPr>
          <w:rFonts w:ascii="MS PGothic" w:cs="MS PGothic" w:eastAsia="MS PGothic" w:hAnsi="MS PGothic"/>
          <w:sz w:val="17"/>
          <w:szCs w:val="17"/>
          <w:color w:val="auto"/>
        </w:rPr>
      </w:pPr>
      <w:r>
        <w:rPr>
          <w:rFonts w:ascii="Arial" w:cs="Arial" w:eastAsia="Arial" w:hAnsi="Arial"/>
          <w:sz w:val="17"/>
          <w:szCs w:val="17"/>
          <w:color w:val="auto"/>
        </w:rPr>
        <w:t>Fee computed on table in exhibit required by Item 25(b) per Exchange Act Rules 14a-6(i)(1) and 0-11.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-408305</wp:posOffset>
            </wp:positionH>
            <wp:positionV relativeFrom="paragraph">
              <wp:posOffset>393700</wp:posOffset>
            </wp:positionV>
            <wp:extent cx="6995160" cy="171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995160" cy="1714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205105</wp:posOffset>
            </wp:positionV>
            <wp:extent cx="617220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172200" cy="8890"/>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256540</wp:posOffset>
            </wp:positionV>
            <wp:extent cx="6172200" cy="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172200" cy="25400"/>
                    </a:xfrm>
                    <a:prstGeom prst="rect">
                      <a:avLst/>
                    </a:prstGeom>
                    <a:noFill/>
                  </pic:spPr>
                </pic:pic>
              </a:graphicData>
            </a:graphic>
          </wp:anchor>
        </w:drawing>
      </w:r>
    </w:p>
    <w:p>
      <w:pPr>
        <w:sectPr>
          <w:pgSz w:w="11900" w:h="16838" w:orient="portrait"/>
          <w:cols w:equalWidth="0" w:num="1">
            <w:col w:w="9379"/>
          </w:cols>
          <w:pgMar w:left="1080" w:top="223" w:right="1440" w:bottom="1440" w:gutter="0" w:footer="0" w:header="0"/>
        </w:sectPr>
      </w:pPr>
    </w:p>
    <w:bookmarkStart w:id="1" w:name="page2"/>
    <w:bookmarkEnd w:id="1"/>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spacing w:after="0" w:line="225" w:lineRule="exact"/>
        <w:rPr>
          <w:sz w:val="20"/>
          <w:szCs w:val="20"/>
          <w:color w:val="auto"/>
        </w:rPr>
      </w:pPr>
    </w:p>
    <w:p>
      <w:pPr>
        <w:ind w:left="7324"/>
        <w:spacing w:after="0"/>
        <w:rPr>
          <w:sz w:val="20"/>
          <w:szCs w:val="20"/>
          <w:color w:val="auto"/>
        </w:rPr>
      </w:pPr>
      <w:r>
        <w:rPr>
          <w:rFonts w:ascii="Arial" w:cs="Arial" w:eastAsia="Arial" w:hAnsi="Arial"/>
          <w:sz w:val="18"/>
          <w:szCs w:val="18"/>
          <w:color w:val="auto"/>
        </w:rPr>
        <w:t>DROPBOX,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40005</wp:posOffset>
            </wp:positionH>
            <wp:positionV relativeFrom="paragraph">
              <wp:posOffset>-118745</wp:posOffset>
            </wp:positionV>
            <wp:extent cx="3703320" cy="7289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3703320" cy="728980"/>
                    </a:xfrm>
                    <a:prstGeom prst="rect">
                      <a:avLst/>
                    </a:prstGeom>
                    <a:noFill/>
                  </pic:spPr>
                </pic:pic>
              </a:graphicData>
            </a:graphic>
          </wp:anchor>
        </w:drawing>
      </w:r>
    </w:p>
    <w:p>
      <w:pPr>
        <w:ind w:left="7324" w:right="360"/>
        <w:spacing w:after="0" w:line="264" w:lineRule="auto"/>
        <w:rPr>
          <w:sz w:val="20"/>
          <w:szCs w:val="20"/>
          <w:color w:val="auto"/>
        </w:rPr>
      </w:pPr>
      <w:r>
        <w:rPr>
          <w:rFonts w:ascii="Arial" w:cs="Arial" w:eastAsia="Arial" w:hAnsi="Arial"/>
          <w:sz w:val="17"/>
          <w:szCs w:val="17"/>
          <w:color w:val="auto"/>
        </w:rPr>
        <w:t>1800 OWENS STREET SAN FRANCISCO, CALIFORNIA 94158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4"/>
        <w:spacing w:after="0"/>
        <w:rPr>
          <w:sz w:val="20"/>
          <w:szCs w:val="20"/>
          <w:color w:val="auto"/>
        </w:rPr>
      </w:pPr>
      <w:r>
        <w:rPr>
          <w:rFonts w:ascii="Arial" w:cs="Arial" w:eastAsia="Arial" w:hAnsi="Arial"/>
          <w:sz w:val="29"/>
          <w:szCs w:val="29"/>
          <w:b w:val="1"/>
          <w:bCs w:val="1"/>
          <w:color w:val="0063A6"/>
        </w:rPr>
        <w:t>NOTICE OF ANNUAL MEETING OF STOCKHOLDERS</w:t>
      </w:r>
    </w:p>
    <w:p>
      <w:pPr>
        <w:spacing w:after="0" w:line="34" w:lineRule="exact"/>
        <w:rPr>
          <w:sz w:val="20"/>
          <w:szCs w:val="20"/>
          <w:color w:val="auto"/>
        </w:rPr>
      </w:pPr>
    </w:p>
    <w:p>
      <w:pPr>
        <w:ind w:left="4"/>
        <w:spacing w:after="0"/>
        <w:rPr>
          <w:sz w:val="20"/>
          <w:szCs w:val="20"/>
          <w:color w:val="auto"/>
        </w:rPr>
      </w:pPr>
      <w:r>
        <w:rPr>
          <w:rFonts w:ascii="Arial" w:cs="Arial" w:eastAsia="Arial" w:hAnsi="Arial"/>
          <w:sz w:val="29"/>
          <w:szCs w:val="29"/>
          <w:b w:val="1"/>
          <w:bCs w:val="1"/>
          <w:color w:val="0063A6"/>
        </w:rPr>
        <w:t>to be held at 9:00 am Pacific Time on Thursday, May 19, 2022</w:t>
      </w:r>
    </w:p>
    <w:p>
      <w:pPr>
        <w:spacing w:after="0" w:line="102" w:lineRule="exact"/>
        <w:rPr>
          <w:sz w:val="20"/>
          <w:szCs w:val="20"/>
          <w:color w:val="auto"/>
        </w:rPr>
      </w:pPr>
    </w:p>
    <w:p>
      <w:pPr>
        <w:ind w:left="4"/>
        <w:spacing w:after="0"/>
        <w:rPr>
          <w:sz w:val="20"/>
          <w:szCs w:val="20"/>
          <w:color w:val="auto"/>
        </w:rPr>
      </w:pPr>
      <w:r>
        <w:rPr>
          <w:rFonts w:ascii="Arial" w:cs="Arial" w:eastAsia="Arial" w:hAnsi="Arial"/>
          <w:sz w:val="16"/>
          <w:szCs w:val="16"/>
          <w:color w:val="auto"/>
        </w:rPr>
        <w:t>Dear Stockholders of Dropbox, Inc.:</w:t>
      </w:r>
    </w:p>
    <w:p>
      <w:pPr>
        <w:spacing w:after="0" w:line="167" w:lineRule="exact"/>
        <w:rPr>
          <w:sz w:val="20"/>
          <w:szCs w:val="20"/>
          <w:color w:val="auto"/>
        </w:rPr>
      </w:pPr>
    </w:p>
    <w:p>
      <w:pPr>
        <w:ind w:left="4" w:right="80"/>
        <w:spacing w:after="0" w:line="259" w:lineRule="auto"/>
        <w:rPr>
          <w:sz w:val="20"/>
          <w:szCs w:val="20"/>
          <w:color w:val="auto"/>
        </w:rPr>
      </w:pPr>
      <w:r>
        <w:rPr>
          <w:rFonts w:ascii="Arial" w:cs="Arial" w:eastAsia="Arial" w:hAnsi="Arial"/>
          <w:sz w:val="16"/>
          <w:szCs w:val="16"/>
          <w:color w:val="auto"/>
        </w:rPr>
        <w:t>We cordially invite you to attend the 2022 annual meeting of stockholders (the “</w:t>
      </w:r>
      <w:r>
        <w:rPr>
          <w:rFonts w:ascii="Arial" w:cs="Arial" w:eastAsia="Arial" w:hAnsi="Arial"/>
          <w:sz w:val="16"/>
          <w:szCs w:val="16"/>
          <w:b w:val="1"/>
          <w:bCs w:val="1"/>
          <w:i w:val="1"/>
          <w:iCs w:val="1"/>
          <w:color w:val="auto"/>
        </w:rPr>
        <w:t>Annual Meeting</w:t>
      </w:r>
      <w:r>
        <w:rPr>
          <w:rFonts w:ascii="Arial" w:cs="Arial" w:eastAsia="Arial" w:hAnsi="Arial"/>
          <w:sz w:val="16"/>
          <w:szCs w:val="16"/>
          <w:color w:val="auto"/>
        </w:rPr>
        <w:t>”) of Dropbox, Inc., a Delaware corporation, to be held on May 19, 2022 at 9:00 am Pacific Time. The Annual Meeting will be conducted virtually via live audio webcast. You will be able to attend the Annual Meeting virtually by visiting www.virtualshareholdermeeting.com/DBX2022, where you will be able to listen to the meeting live, submit questions and vote online.</w:t>
      </w:r>
    </w:p>
    <w:p>
      <w:pPr>
        <w:spacing w:after="0" w:line="124" w:lineRule="exact"/>
        <w:rPr>
          <w:sz w:val="20"/>
          <w:szCs w:val="20"/>
          <w:color w:val="auto"/>
        </w:rPr>
      </w:pPr>
    </w:p>
    <w:p>
      <w:pPr>
        <w:ind w:left="4" w:right="200"/>
        <w:spacing w:after="0" w:line="286" w:lineRule="auto"/>
        <w:rPr>
          <w:sz w:val="20"/>
          <w:szCs w:val="20"/>
          <w:color w:val="auto"/>
        </w:rPr>
      </w:pPr>
      <w:r>
        <w:rPr>
          <w:rFonts w:ascii="Arial" w:cs="Arial" w:eastAsia="Arial" w:hAnsi="Arial"/>
          <w:sz w:val="16"/>
          <w:szCs w:val="16"/>
          <w:color w:val="auto"/>
        </w:rPr>
        <w:t>Whether or not you attend the Annual Meeting, it is important that your shares be represented and voted at the meeting. Therefore, we urge you to promptly vote and submit your proxy via the Internet, by telephone, or by mail.</w:t>
      </w:r>
    </w:p>
    <w:p>
      <w:pPr>
        <w:spacing w:after="0" w:line="169" w:lineRule="exact"/>
        <w:rPr>
          <w:sz w:val="20"/>
          <w:szCs w:val="20"/>
          <w:color w:val="auto"/>
        </w:rPr>
      </w:pPr>
    </w:p>
    <w:p>
      <w:pPr>
        <w:ind w:left="4"/>
        <w:spacing w:after="0"/>
        <w:rPr>
          <w:sz w:val="20"/>
          <w:szCs w:val="20"/>
          <w:color w:val="auto"/>
        </w:rPr>
      </w:pPr>
      <w:r>
        <w:rPr>
          <w:rFonts w:ascii="Arial" w:cs="Arial" w:eastAsia="Arial" w:hAnsi="Arial"/>
          <w:sz w:val="16"/>
          <w:szCs w:val="16"/>
          <w:color w:val="auto"/>
        </w:rPr>
        <w:t>We are holding the Annual Meeting for the following purposes, as more fully described in the accompanying proxy statement:</w:t>
      </w:r>
    </w:p>
    <w:p>
      <w:pPr>
        <w:spacing w:after="0" w:line="167" w:lineRule="exact"/>
        <w:rPr>
          <w:sz w:val="20"/>
          <w:szCs w:val="20"/>
          <w:color w:val="auto"/>
        </w:rPr>
      </w:pPr>
    </w:p>
    <w:p>
      <w:pPr>
        <w:ind w:left="344" w:right="340" w:hanging="344"/>
        <w:spacing w:after="0" w:line="286" w:lineRule="auto"/>
        <w:tabs>
          <w:tab w:leader="none" w:pos="344" w:val="left"/>
        </w:tabs>
        <w:numPr>
          <w:ilvl w:val="0"/>
          <w:numId w:val="6"/>
        </w:numPr>
        <w:rPr>
          <w:rFonts w:ascii="Arial" w:cs="Arial" w:eastAsia="Arial" w:hAnsi="Arial"/>
          <w:sz w:val="16"/>
          <w:szCs w:val="16"/>
          <w:color w:val="auto"/>
        </w:rPr>
      </w:pPr>
      <w:r>
        <w:rPr>
          <w:rFonts w:ascii="Arial" w:cs="Arial" w:eastAsia="Arial" w:hAnsi="Arial"/>
          <w:sz w:val="16"/>
          <w:szCs w:val="16"/>
          <w:color w:val="auto"/>
        </w:rPr>
        <w:t>To elect eight directors to serve until the next annual meeting of stockholders and until their successors are duly elected and qualified;</w:t>
      </w:r>
    </w:p>
    <w:p>
      <w:pPr>
        <w:spacing w:after="0" w:line="101" w:lineRule="exact"/>
        <w:rPr>
          <w:rFonts w:ascii="Arial" w:cs="Arial" w:eastAsia="Arial" w:hAnsi="Arial"/>
          <w:sz w:val="16"/>
          <w:szCs w:val="16"/>
          <w:color w:val="auto"/>
        </w:rPr>
      </w:pPr>
    </w:p>
    <w:p>
      <w:pPr>
        <w:ind w:left="344" w:right="220" w:hanging="344"/>
        <w:spacing w:after="0" w:line="286" w:lineRule="auto"/>
        <w:tabs>
          <w:tab w:leader="none" w:pos="344" w:val="left"/>
        </w:tabs>
        <w:numPr>
          <w:ilvl w:val="0"/>
          <w:numId w:val="6"/>
        </w:numPr>
        <w:rPr>
          <w:rFonts w:ascii="Arial" w:cs="Arial" w:eastAsia="Arial" w:hAnsi="Arial"/>
          <w:sz w:val="16"/>
          <w:szCs w:val="16"/>
          <w:color w:val="auto"/>
        </w:rPr>
      </w:pPr>
      <w:r>
        <w:rPr>
          <w:rFonts w:ascii="Arial" w:cs="Arial" w:eastAsia="Arial" w:hAnsi="Arial"/>
          <w:sz w:val="16"/>
          <w:szCs w:val="16"/>
          <w:color w:val="auto"/>
        </w:rPr>
        <w:t>To ratify the appointment of Ernst &amp; Young LLP as our independent registered public accounting firm for our fiscal year ending December 31, 2022;</w:t>
      </w:r>
    </w:p>
    <w:p>
      <w:pPr>
        <w:spacing w:after="0" w:line="101" w:lineRule="exact"/>
        <w:rPr>
          <w:rFonts w:ascii="Arial" w:cs="Arial" w:eastAsia="Arial" w:hAnsi="Arial"/>
          <w:sz w:val="16"/>
          <w:szCs w:val="16"/>
          <w:color w:val="auto"/>
        </w:rPr>
      </w:pPr>
    </w:p>
    <w:p>
      <w:pPr>
        <w:ind w:left="344" w:hanging="344"/>
        <w:spacing w:after="0"/>
        <w:tabs>
          <w:tab w:leader="none" w:pos="344" w:val="left"/>
        </w:tabs>
        <w:numPr>
          <w:ilvl w:val="0"/>
          <w:numId w:val="6"/>
        </w:numPr>
        <w:rPr>
          <w:rFonts w:ascii="Arial" w:cs="Arial" w:eastAsia="Arial" w:hAnsi="Arial"/>
          <w:sz w:val="16"/>
          <w:szCs w:val="16"/>
          <w:color w:val="auto"/>
        </w:rPr>
      </w:pPr>
      <w:r>
        <w:rPr>
          <w:rFonts w:ascii="Arial" w:cs="Arial" w:eastAsia="Arial" w:hAnsi="Arial"/>
          <w:sz w:val="16"/>
          <w:szCs w:val="16"/>
          <w:color w:val="auto"/>
        </w:rPr>
        <w:t>To approve, on an advisory basis, the compensation of our named executive officers; and</w:t>
      </w:r>
    </w:p>
    <w:p>
      <w:pPr>
        <w:spacing w:after="0" w:line="167" w:lineRule="exact"/>
        <w:rPr>
          <w:rFonts w:ascii="Arial" w:cs="Arial" w:eastAsia="Arial" w:hAnsi="Arial"/>
          <w:sz w:val="16"/>
          <w:szCs w:val="16"/>
          <w:color w:val="auto"/>
        </w:rPr>
      </w:pPr>
    </w:p>
    <w:p>
      <w:pPr>
        <w:ind w:left="344" w:right="480" w:hanging="344"/>
        <w:spacing w:after="0" w:line="286" w:lineRule="auto"/>
        <w:tabs>
          <w:tab w:leader="none" w:pos="344" w:val="left"/>
        </w:tabs>
        <w:numPr>
          <w:ilvl w:val="0"/>
          <w:numId w:val="6"/>
        </w:numPr>
        <w:rPr>
          <w:rFonts w:ascii="Arial" w:cs="Arial" w:eastAsia="Arial" w:hAnsi="Arial"/>
          <w:sz w:val="16"/>
          <w:szCs w:val="16"/>
          <w:color w:val="auto"/>
        </w:rPr>
      </w:pPr>
      <w:r>
        <w:rPr>
          <w:rFonts w:ascii="Arial" w:cs="Arial" w:eastAsia="Arial" w:hAnsi="Arial"/>
          <w:sz w:val="16"/>
          <w:szCs w:val="16"/>
          <w:color w:val="auto"/>
        </w:rPr>
        <w:t>To transact such other business as may properly come before the Annual Meeting or any adjournments or postponements thereof.</w:t>
      </w:r>
    </w:p>
    <w:p>
      <w:pPr>
        <w:spacing w:after="0" w:line="102" w:lineRule="exact"/>
        <w:rPr>
          <w:sz w:val="20"/>
          <w:szCs w:val="20"/>
          <w:color w:val="auto"/>
        </w:rPr>
      </w:pPr>
    </w:p>
    <w:p>
      <w:pPr>
        <w:jc w:val="both"/>
        <w:ind w:left="4" w:right="100"/>
        <w:spacing w:after="0" w:line="266" w:lineRule="auto"/>
        <w:rPr>
          <w:sz w:val="20"/>
          <w:szCs w:val="20"/>
          <w:color w:val="auto"/>
        </w:rPr>
      </w:pPr>
      <w:r>
        <w:rPr>
          <w:rFonts w:ascii="Arial" w:cs="Arial" w:eastAsia="Arial" w:hAnsi="Arial"/>
          <w:sz w:val="16"/>
          <w:szCs w:val="16"/>
          <w:color w:val="auto"/>
        </w:rPr>
        <w:t>Our board of directors has fixed the close of business on March 21, 2022 as the record date for the Annual Meeting. Stockholders of record on March 21, 2022 are entitled to notice of and to vote at the Annual Meeting. Further information regarding voting rights and the matters to be voted upon is presented in the accompanying proxy statement.</w:t>
      </w:r>
    </w:p>
    <w:p>
      <w:pPr>
        <w:spacing w:after="0" w:line="117" w:lineRule="exact"/>
        <w:rPr>
          <w:sz w:val="20"/>
          <w:szCs w:val="20"/>
          <w:color w:val="auto"/>
        </w:rPr>
      </w:pPr>
    </w:p>
    <w:p>
      <w:pPr>
        <w:ind w:left="4" w:right="340"/>
        <w:spacing w:after="0" w:line="286" w:lineRule="auto"/>
        <w:rPr>
          <w:sz w:val="20"/>
          <w:szCs w:val="20"/>
          <w:color w:val="auto"/>
        </w:rPr>
      </w:pPr>
      <w:r>
        <w:rPr>
          <w:rFonts w:ascii="Arial" w:cs="Arial" w:eastAsia="Arial" w:hAnsi="Arial"/>
          <w:sz w:val="16"/>
          <w:szCs w:val="16"/>
          <w:color w:val="auto"/>
        </w:rPr>
        <w:t>The accompanying proxy statement and our annual report can be accessed by visiting: www.proxyvote.com. You will be asked to enter the 16-digit control number located on your proxy card.</w:t>
      </w:r>
    </w:p>
    <w:p>
      <w:pPr>
        <w:spacing w:after="0" w:line="102" w:lineRule="exact"/>
        <w:rPr>
          <w:sz w:val="20"/>
          <w:szCs w:val="20"/>
          <w:color w:val="auto"/>
        </w:rPr>
      </w:pPr>
    </w:p>
    <w:p>
      <w:pPr>
        <w:ind w:left="4"/>
        <w:spacing w:after="0" w:line="263" w:lineRule="auto"/>
        <w:rPr>
          <w:sz w:val="20"/>
          <w:szCs w:val="20"/>
          <w:color w:val="auto"/>
        </w:rPr>
      </w:pPr>
      <w:r>
        <w:rPr>
          <w:rFonts w:ascii="Arial" w:cs="Arial" w:eastAsia="Arial" w:hAnsi="Arial"/>
          <w:sz w:val="16"/>
          <w:szCs w:val="16"/>
          <w:b w:val="1"/>
          <w:bCs w:val="1"/>
          <w:color w:val="auto"/>
        </w:rPr>
        <w:t>YOUR VOTE IS IMPORTANT. Whether or not you plan to attend the Annual Meeting, we urge you to submit your vote via the Internet, telephone, or mail as soon as possible to ensure your shares are represented. For additional instructions on voting by telephone or the Internet, please refer to your proxy card. Returning the proxy does not deprive you of your right to attend the Annual Meeting and to vote your shares at the Annual Meeting.</w:t>
      </w:r>
    </w:p>
    <w:p>
      <w:pPr>
        <w:spacing w:after="0" w:line="179" w:lineRule="exact"/>
        <w:rPr>
          <w:sz w:val="20"/>
          <w:szCs w:val="20"/>
          <w:color w:val="auto"/>
        </w:rPr>
      </w:pPr>
    </w:p>
    <w:p>
      <w:pPr>
        <w:ind w:left="4"/>
        <w:spacing w:after="0"/>
        <w:rPr>
          <w:sz w:val="20"/>
          <w:szCs w:val="20"/>
          <w:color w:val="auto"/>
        </w:rPr>
      </w:pPr>
      <w:r>
        <w:rPr>
          <w:rFonts w:ascii="Arial" w:cs="Arial" w:eastAsia="Arial" w:hAnsi="Arial"/>
          <w:sz w:val="16"/>
          <w:szCs w:val="16"/>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217805</wp:posOffset>
            </wp:positionV>
            <wp:extent cx="1499870" cy="5911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499870" cy="591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Andrew W. Houston</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color w:val="auto"/>
        </w:rPr>
        <w:t>Chief Executive Officer, Co-Founder, and Chairman of the Board</w:t>
      </w:r>
    </w:p>
    <w:p>
      <w:pPr>
        <w:spacing w:after="0" w:line="5" w:lineRule="exact"/>
        <w:rPr>
          <w:sz w:val="20"/>
          <w:szCs w:val="20"/>
          <w:color w:val="auto"/>
        </w:rPr>
      </w:pPr>
    </w:p>
    <w:p>
      <w:pPr>
        <w:ind w:left="4"/>
        <w:spacing w:after="0"/>
        <w:rPr>
          <w:sz w:val="20"/>
          <w:szCs w:val="20"/>
          <w:color w:val="auto"/>
        </w:rPr>
      </w:pPr>
      <w:r>
        <w:rPr>
          <w:rFonts w:ascii="Arial" w:cs="Arial" w:eastAsia="Arial" w:hAnsi="Arial"/>
          <w:sz w:val="16"/>
          <w:szCs w:val="16"/>
          <w:color w:val="auto"/>
        </w:rPr>
        <w:t>San Francisco, California</w:t>
      </w:r>
    </w:p>
    <w:p>
      <w:pPr>
        <w:spacing w:after="0" w:line="219" w:lineRule="exact"/>
        <w:rPr>
          <w:sz w:val="20"/>
          <w:szCs w:val="20"/>
          <w:color w:val="auto"/>
        </w:rPr>
      </w:pPr>
    </w:p>
    <w:p>
      <w:pPr>
        <w:ind w:left="4"/>
        <w:spacing w:after="0"/>
        <w:rPr>
          <w:sz w:val="20"/>
          <w:szCs w:val="20"/>
          <w:color w:val="auto"/>
        </w:rPr>
      </w:pPr>
      <w:r>
        <w:rPr>
          <w:rFonts w:ascii="Arial" w:cs="Arial" w:eastAsia="Arial" w:hAnsi="Arial"/>
          <w:sz w:val="16"/>
          <w:szCs w:val="16"/>
          <w:color w:val="auto"/>
        </w:rPr>
        <w:t>April 5, 2022</w:t>
      </w:r>
    </w:p>
    <w:p>
      <w:pPr>
        <w:spacing w:after="0" w:line="226" w:lineRule="exact"/>
        <w:rPr>
          <w:sz w:val="20"/>
          <w:szCs w:val="20"/>
          <w:color w:val="auto"/>
        </w:rPr>
      </w:pPr>
    </w:p>
    <w:p>
      <w:pPr>
        <w:ind w:left="4204"/>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2" w:name="page3"/>
    <w:bookmarkEnd w:id="2"/>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TABLE OF CONTENTS</w:t>
      </w: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7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140" w:type="dxa"/>
            <w:vAlign w:val="bottom"/>
            <w:gridSpan w:val="5"/>
          </w:tcPr>
          <w:p>
            <w:pPr>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70"/>
        </w:trPr>
        <w:tc>
          <w:tcPr>
            <w:tcW w:w="780" w:type="dxa"/>
            <w:vAlign w:val="bottom"/>
          </w:tcPr>
          <w:p>
            <w:pPr>
              <w:spacing w:after="0"/>
              <w:rPr>
                <w:sz w:val="6"/>
                <w:szCs w:val="6"/>
                <w:color w:val="auto"/>
              </w:rPr>
            </w:pPr>
          </w:p>
        </w:tc>
        <w:tc>
          <w:tcPr>
            <w:tcW w:w="280" w:type="dxa"/>
            <w:vAlign w:val="bottom"/>
          </w:tcPr>
          <w:p>
            <w:pPr>
              <w:spacing w:after="0"/>
              <w:rPr>
                <w:sz w:val="6"/>
                <w:szCs w:val="6"/>
                <w:color w:val="auto"/>
              </w:rPr>
            </w:pPr>
          </w:p>
        </w:tc>
        <w:tc>
          <w:tcPr>
            <w:tcW w:w="260" w:type="dxa"/>
            <w:vAlign w:val="bottom"/>
          </w:tcPr>
          <w:p>
            <w:pPr>
              <w:spacing w:after="0"/>
              <w:rPr>
                <w:sz w:val="6"/>
                <w:szCs w:val="6"/>
                <w:color w:val="auto"/>
              </w:rPr>
            </w:pPr>
          </w:p>
        </w:tc>
        <w:tc>
          <w:tcPr>
            <w:tcW w:w="460" w:type="dxa"/>
            <w:vAlign w:val="bottom"/>
          </w:tcPr>
          <w:p>
            <w:pPr>
              <w:spacing w:after="0"/>
              <w:rPr>
                <w:sz w:val="6"/>
                <w:szCs w:val="6"/>
                <w:color w:val="auto"/>
              </w:rPr>
            </w:pPr>
          </w:p>
        </w:tc>
        <w:tc>
          <w:tcPr>
            <w:tcW w:w="300" w:type="dxa"/>
            <w:vAlign w:val="bottom"/>
          </w:tcPr>
          <w:p>
            <w:pPr>
              <w:spacing w:after="0"/>
              <w:rPr>
                <w:sz w:val="6"/>
                <w:szCs w:val="6"/>
                <w:color w:val="auto"/>
              </w:rPr>
            </w:pPr>
          </w:p>
        </w:tc>
        <w:tc>
          <w:tcPr>
            <w:tcW w:w="3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20" w:type="dxa"/>
            <w:vAlign w:val="bottom"/>
          </w:tcPr>
          <w:p>
            <w:pPr>
              <w:spacing w:after="0"/>
              <w:rPr>
                <w:sz w:val="6"/>
                <w:szCs w:val="6"/>
                <w:color w:val="auto"/>
              </w:rPr>
            </w:pPr>
          </w:p>
        </w:tc>
        <w:tc>
          <w:tcPr>
            <w:tcW w:w="440" w:type="dxa"/>
            <w:vAlign w:val="bottom"/>
          </w:tcPr>
          <w:p>
            <w:pPr>
              <w:spacing w:after="0"/>
              <w:rPr>
                <w:sz w:val="6"/>
                <w:szCs w:val="6"/>
                <w:color w:val="auto"/>
              </w:rPr>
            </w:pPr>
          </w:p>
        </w:tc>
        <w:tc>
          <w:tcPr>
            <w:tcW w:w="80" w:type="dxa"/>
            <w:vAlign w:val="bottom"/>
          </w:tcPr>
          <w:p>
            <w:pPr>
              <w:spacing w:after="0"/>
              <w:rPr>
                <w:sz w:val="6"/>
                <w:szCs w:val="6"/>
                <w:color w:val="auto"/>
              </w:rPr>
            </w:pPr>
          </w:p>
        </w:tc>
        <w:tc>
          <w:tcPr>
            <w:tcW w:w="160" w:type="dxa"/>
            <w:vAlign w:val="bottom"/>
          </w:tcPr>
          <w:p>
            <w:pPr>
              <w:spacing w:after="0"/>
              <w:rPr>
                <w:sz w:val="6"/>
                <w:szCs w:val="6"/>
                <w:color w:val="auto"/>
              </w:rPr>
            </w:pPr>
          </w:p>
        </w:tc>
        <w:tc>
          <w:tcPr>
            <w:tcW w:w="540" w:type="dxa"/>
            <w:vAlign w:val="bottom"/>
          </w:tcPr>
          <w:p>
            <w:pPr>
              <w:spacing w:after="0"/>
              <w:rPr>
                <w:sz w:val="6"/>
                <w:szCs w:val="6"/>
                <w:color w:val="auto"/>
              </w:rPr>
            </w:pPr>
          </w:p>
        </w:tc>
        <w:tc>
          <w:tcPr>
            <w:tcW w:w="120" w:type="dxa"/>
            <w:vAlign w:val="bottom"/>
          </w:tcPr>
          <w:p>
            <w:pPr>
              <w:spacing w:after="0"/>
              <w:rPr>
                <w:sz w:val="6"/>
                <w:szCs w:val="6"/>
                <w:color w:val="auto"/>
              </w:rPr>
            </w:pPr>
          </w:p>
        </w:tc>
        <w:tc>
          <w:tcPr>
            <w:tcW w:w="160" w:type="dxa"/>
            <w:vAlign w:val="bottom"/>
          </w:tcPr>
          <w:p>
            <w:pPr>
              <w:spacing w:after="0"/>
              <w:rPr>
                <w:sz w:val="6"/>
                <w:szCs w:val="6"/>
                <w:color w:val="auto"/>
              </w:rPr>
            </w:pPr>
          </w:p>
        </w:tc>
        <w:tc>
          <w:tcPr>
            <w:tcW w:w="240" w:type="dxa"/>
            <w:vAlign w:val="bottom"/>
          </w:tcPr>
          <w:p>
            <w:pPr>
              <w:spacing w:after="0"/>
              <w:rPr>
                <w:sz w:val="6"/>
                <w:szCs w:val="6"/>
                <w:color w:val="auto"/>
              </w:rPr>
            </w:pPr>
          </w:p>
        </w:tc>
        <w:tc>
          <w:tcPr>
            <w:tcW w:w="40" w:type="dxa"/>
            <w:vAlign w:val="bottom"/>
          </w:tcPr>
          <w:p>
            <w:pPr>
              <w:spacing w:after="0"/>
              <w:rPr>
                <w:sz w:val="6"/>
                <w:szCs w:val="6"/>
                <w:color w:val="auto"/>
              </w:rPr>
            </w:pPr>
          </w:p>
        </w:tc>
        <w:tc>
          <w:tcPr>
            <w:tcW w:w="660" w:type="dxa"/>
            <w:vAlign w:val="bottom"/>
          </w:tcPr>
          <w:p>
            <w:pPr>
              <w:spacing w:after="0"/>
              <w:rPr>
                <w:sz w:val="6"/>
                <w:szCs w:val="6"/>
                <w:color w:val="auto"/>
              </w:rPr>
            </w:pPr>
          </w:p>
        </w:tc>
        <w:tc>
          <w:tcPr>
            <w:tcW w:w="28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0" w:type="dxa"/>
            <w:vAlign w:val="bottom"/>
          </w:tcPr>
          <w:p>
            <w:pPr>
              <w:spacing w:after="0"/>
              <w:rPr>
                <w:sz w:val="6"/>
                <w:szCs w:val="6"/>
                <w:color w:val="auto"/>
              </w:rPr>
            </w:pPr>
          </w:p>
        </w:tc>
        <w:tc>
          <w:tcPr>
            <w:tcW w:w="420" w:type="dxa"/>
            <w:vAlign w:val="bottom"/>
          </w:tcPr>
          <w:p>
            <w:pPr>
              <w:spacing w:after="0"/>
              <w:rPr>
                <w:sz w:val="6"/>
                <w:szCs w:val="6"/>
                <w:color w:val="auto"/>
              </w:rPr>
            </w:pPr>
          </w:p>
        </w:tc>
        <w:tc>
          <w:tcPr>
            <w:tcW w:w="22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60" w:type="dxa"/>
            <w:vAlign w:val="bottom"/>
          </w:tcPr>
          <w:p>
            <w:pPr>
              <w:spacing w:after="0"/>
              <w:rPr>
                <w:sz w:val="6"/>
                <w:szCs w:val="6"/>
                <w:color w:val="auto"/>
              </w:rPr>
            </w:pPr>
          </w:p>
        </w:tc>
        <w:tc>
          <w:tcPr>
            <w:tcW w:w="760" w:type="dxa"/>
            <w:vAlign w:val="bottom"/>
          </w:tcPr>
          <w:p>
            <w:pPr>
              <w:spacing w:after="0"/>
              <w:rPr>
                <w:sz w:val="6"/>
                <w:szCs w:val="6"/>
                <w:color w:val="auto"/>
              </w:rPr>
            </w:pPr>
          </w:p>
        </w:tc>
        <w:tc>
          <w:tcPr>
            <w:tcW w:w="560" w:type="dxa"/>
            <w:vAlign w:val="bottom"/>
          </w:tcPr>
          <w:p>
            <w:pPr>
              <w:spacing w:after="0"/>
              <w:rPr>
                <w:sz w:val="6"/>
                <w:szCs w:val="6"/>
                <w:color w:val="auto"/>
              </w:rPr>
            </w:pPr>
          </w:p>
        </w:tc>
        <w:tc>
          <w:tcPr>
            <w:tcW w:w="280" w:type="dxa"/>
            <w:vAlign w:val="bottom"/>
          </w:tcPr>
          <w:p>
            <w:pPr>
              <w:spacing w:after="0"/>
              <w:rPr>
                <w:sz w:val="6"/>
                <w:szCs w:val="6"/>
                <w:color w:val="auto"/>
              </w:rPr>
            </w:pPr>
          </w:p>
        </w:tc>
        <w:tc>
          <w:tcPr>
            <w:tcW w:w="60" w:type="dxa"/>
            <w:vAlign w:val="bottom"/>
            <w:tcBorders>
              <w:bottom w:val="single" w:sz="8" w:color="auto"/>
            </w:tcBorders>
          </w:tcPr>
          <w:p>
            <w:pPr>
              <w:spacing w:after="0"/>
              <w:rPr>
                <w:sz w:val="6"/>
                <w:szCs w:val="6"/>
                <w:color w:val="auto"/>
              </w:rPr>
            </w:pPr>
          </w:p>
        </w:tc>
        <w:tc>
          <w:tcPr>
            <w:tcW w:w="1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60" w:type="dxa"/>
            <w:vAlign w:val="bottom"/>
            <w:tcBorders>
              <w:bottom w:val="single" w:sz="8" w:color="auto"/>
            </w:tcBorders>
          </w:tcPr>
          <w:p>
            <w:pPr>
              <w:spacing w:after="0"/>
              <w:rPr>
                <w:sz w:val="6"/>
                <w:szCs w:val="6"/>
                <w:color w:val="auto"/>
              </w:rPr>
            </w:pPr>
          </w:p>
        </w:tc>
        <w:tc>
          <w:tcPr>
            <w:tcW w:w="8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439"/>
        </w:trPr>
        <w:tc>
          <w:tcPr>
            <w:tcW w:w="780" w:type="dxa"/>
            <w:vAlign w:val="bottom"/>
          </w:tcPr>
          <w:p>
            <w:pPr>
              <w:spacing w:after="0"/>
              <w:rPr>
                <w:sz w:val="24"/>
                <w:szCs w:val="24"/>
                <w:color w:val="auto"/>
              </w:rPr>
            </w:pPr>
          </w:p>
        </w:tc>
        <w:tc>
          <w:tcPr>
            <w:tcW w:w="9100" w:type="dxa"/>
            <w:vAlign w:val="bottom"/>
            <w:gridSpan w:val="29"/>
          </w:tcPr>
          <w:p>
            <w:pPr>
              <w:spacing w:after="0"/>
              <w:rPr>
                <w:rFonts w:ascii="Arial" w:cs="Arial" w:eastAsia="Arial" w:hAnsi="Arial"/>
                <w:sz w:val="22"/>
                <w:szCs w:val="22"/>
                <w:b w:val="1"/>
                <w:bCs w:val="1"/>
                <w:color w:val="0000EE"/>
              </w:rPr>
            </w:pPr>
            <w:hyperlink w:anchor="page5">
              <w:r>
                <w:rPr>
                  <w:rFonts w:ascii="Arial" w:cs="Arial" w:eastAsia="Arial" w:hAnsi="Arial"/>
                  <w:sz w:val="22"/>
                  <w:szCs w:val="22"/>
                  <w:b w:val="1"/>
                  <w:bCs w:val="1"/>
                  <w:color w:val="0000EE"/>
                </w:rPr>
                <w:t>GENERAL INFORMATION</w:t>
              </w:r>
            </w:hyperlink>
          </w:p>
        </w:tc>
        <w:tc>
          <w:tcPr>
            <w:tcW w:w="280" w:type="dxa"/>
            <w:vAlign w:val="bottom"/>
            <w:gridSpan w:val="3"/>
          </w:tcPr>
          <w:p>
            <w:pPr>
              <w:jc w:val="right"/>
              <w:spacing w:after="0"/>
              <w:rPr>
                <w:rFonts w:ascii="Arial" w:cs="Arial" w:eastAsia="Arial" w:hAnsi="Arial"/>
                <w:sz w:val="22"/>
                <w:szCs w:val="22"/>
                <w:b w:val="1"/>
                <w:bCs w:val="1"/>
                <w:color w:val="0000EE"/>
              </w:rPr>
            </w:pPr>
            <w:hyperlink w:anchor="page5">
              <w:r>
                <w:rPr>
                  <w:rFonts w:ascii="Arial" w:cs="Arial" w:eastAsia="Arial" w:hAnsi="Arial"/>
                  <w:sz w:val="22"/>
                  <w:szCs w:val="22"/>
                  <w:b w:val="1"/>
                  <w:bCs w:val="1"/>
                  <w:color w:val="0000EE"/>
                </w:rPr>
                <w:t>1</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33"/>
        </w:trPr>
        <w:tc>
          <w:tcPr>
            <w:tcW w:w="780" w:type="dxa"/>
            <w:vAlign w:val="bottom"/>
          </w:tcPr>
          <w:p>
            <w:pPr>
              <w:spacing w:after="0"/>
              <w:rPr>
                <w:sz w:val="24"/>
                <w:szCs w:val="24"/>
                <w:color w:val="auto"/>
              </w:rPr>
            </w:pPr>
          </w:p>
        </w:tc>
        <w:tc>
          <w:tcPr>
            <w:tcW w:w="9100" w:type="dxa"/>
            <w:vAlign w:val="bottom"/>
            <w:gridSpan w:val="29"/>
          </w:tcPr>
          <w:p>
            <w:pPr>
              <w:spacing w:after="0"/>
              <w:rPr>
                <w:rFonts w:ascii="Arial" w:cs="Arial" w:eastAsia="Arial" w:hAnsi="Arial"/>
                <w:sz w:val="22"/>
                <w:szCs w:val="22"/>
                <w:b w:val="1"/>
                <w:bCs w:val="1"/>
                <w:color w:val="0000EE"/>
              </w:rPr>
            </w:pPr>
            <w:hyperlink w:anchor="page10">
              <w:r>
                <w:rPr>
                  <w:rFonts w:ascii="Arial" w:cs="Arial" w:eastAsia="Arial" w:hAnsi="Arial"/>
                  <w:sz w:val="22"/>
                  <w:szCs w:val="22"/>
                  <w:b w:val="1"/>
                  <w:bCs w:val="1"/>
                  <w:color w:val="0000EE"/>
                </w:rPr>
                <w:t>BOARD OF DIRECTORS AND CORPORATE GOVERNANCE</w:t>
              </w:r>
            </w:hyperlink>
          </w:p>
        </w:tc>
        <w:tc>
          <w:tcPr>
            <w:tcW w:w="280" w:type="dxa"/>
            <w:vAlign w:val="bottom"/>
            <w:gridSpan w:val="3"/>
          </w:tcPr>
          <w:p>
            <w:pPr>
              <w:jc w:val="right"/>
              <w:spacing w:after="0"/>
              <w:rPr>
                <w:rFonts w:ascii="Arial" w:cs="Arial" w:eastAsia="Arial" w:hAnsi="Arial"/>
                <w:sz w:val="22"/>
                <w:szCs w:val="22"/>
                <w:b w:val="1"/>
                <w:bCs w:val="1"/>
                <w:color w:val="0000EE"/>
              </w:rPr>
            </w:pPr>
            <w:hyperlink w:anchor="page10">
              <w:r>
                <w:rPr>
                  <w:rFonts w:ascii="Arial" w:cs="Arial" w:eastAsia="Arial" w:hAnsi="Arial"/>
                  <w:sz w:val="22"/>
                  <w:szCs w:val="22"/>
                  <w:b w:val="1"/>
                  <w:bCs w:val="1"/>
                  <w:color w:val="0000EE"/>
                </w:rPr>
                <w:t>6</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580" w:type="dxa"/>
            <w:vAlign w:val="bottom"/>
            <w:tcBorders>
              <w:bottom w:val="single" w:sz="8" w:color="0000EE"/>
            </w:tcBorders>
            <w:gridSpan w:val="6"/>
          </w:tcPr>
          <w:p>
            <w:pPr>
              <w:spacing w:after="0"/>
              <w:rPr>
                <w:rFonts w:ascii="Arial" w:cs="Arial" w:eastAsia="Arial" w:hAnsi="Arial"/>
                <w:sz w:val="16"/>
                <w:szCs w:val="16"/>
                <w:color w:val="0000EE"/>
              </w:rPr>
            </w:pPr>
            <w:hyperlink w:anchor="page11">
              <w:r>
                <w:rPr>
                  <w:rFonts w:ascii="Arial" w:cs="Arial" w:eastAsia="Arial" w:hAnsi="Arial"/>
                  <w:sz w:val="16"/>
                  <w:szCs w:val="16"/>
                  <w:color w:val="0000EE"/>
                </w:rPr>
                <w:t>Nominees for Director</w:t>
              </w:r>
            </w:hyperlink>
          </w:p>
        </w:tc>
        <w:tc>
          <w:tcPr>
            <w:tcW w:w="4180" w:type="dxa"/>
            <w:vAlign w:val="bottom"/>
            <w:gridSpan w:val="18"/>
          </w:tcPr>
          <w:p>
            <w:pPr>
              <w:spacing w:after="0"/>
              <w:rPr>
                <w:sz w:val="24"/>
                <w:szCs w:val="24"/>
                <w:color w:val="auto"/>
              </w:rPr>
            </w:pPr>
          </w:p>
        </w:tc>
        <w:tc>
          <w:tcPr>
            <w:tcW w:w="3060" w:type="dxa"/>
            <w:vAlign w:val="bottom"/>
            <w:gridSpan w:val="4"/>
          </w:tcPr>
          <w:p>
            <w:pPr>
              <w:spacing w:after="0"/>
              <w:rPr>
                <w:sz w:val="24"/>
                <w:szCs w:val="24"/>
                <w:color w:val="auto"/>
              </w:rPr>
            </w:pPr>
          </w:p>
        </w:tc>
        <w:tc>
          <w:tcPr>
            <w:tcW w:w="200" w:type="dxa"/>
            <w:vAlign w:val="bottom"/>
            <w:gridSpan w:val="2"/>
          </w:tcPr>
          <w:p>
            <w:pPr>
              <w:spacing w:after="0"/>
              <w:rPr>
                <w:sz w:val="24"/>
                <w:szCs w:val="24"/>
                <w:color w:val="auto"/>
              </w:rPr>
            </w:pPr>
          </w:p>
        </w:tc>
        <w:tc>
          <w:tcPr>
            <w:tcW w:w="80" w:type="dxa"/>
            <w:vAlign w:val="bottom"/>
            <w:tcBorders>
              <w:bottom w:val="single" w:sz="8" w:color="0000EE"/>
            </w:tcBorders>
          </w:tcPr>
          <w:p>
            <w:pPr>
              <w:jc w:val="right"/>
              <w:spacing w:after="0"/>
              <w:rPr>
                <w:rFonts w:ascii="Arial" w:cs="Arial" w:eastAsia="Arial" w:hAnsi="Arial"/>
                <w:sz w:val="16"/>
                <w:szCs w:val="16"/>
                <w:b w:val="1"/>
                <w:bCs w:val="1"/>
                <w:color w:val="0000EE"/>
                <w:w w:val="89"/>
              </w:rPr>
            </w:pPr>
            <w:hyperlink w:anchor="page11">
              <w:r>
                <w:rPr>
                  <w:rFonts w:ascii="Arial" w:cs="Arial" w:eastAsia="Arial" w:hAnsi="Arial"/>
                  <w:sz w:val="16"/>
                  <w:szCs w:val="16"/>
                  <w:b w:val="1"/>
                  <w:bCs w:val="1"/>
                  <w:color w:val="0000EE"/>
                  <w:w w:val="89"/>
                </w:rPr>
                <w:t>7</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40" w:type="dxa"/>
            <w:vAlign w:val="bottom"/>
            <w:tcBorders>
              <w:bottom w:val="single" w:sz="8" w:color="0000EE"/>
            </w:tcBorders>
            <w:gridSpan w:val="7"/>
          </w:tcPr>
          <w:p>
            <w:pPr>
              <w:spacing w:after="0"/>
              <w:rPr>
                <w:rFonts w:ascii="Arial" w:cs="Arial" w:eastAsia="Arial" w:hAnsi="Arial"/>
                <w:sz w:val="16"/>
                <w:szCs w:val="16"/>
                <w:color w:val="0000EE"/>
              </w:rPr>
            </w:pPr>
            <w:hyperlink w:anchor="page15">
              <w:r>
                <w:rPr>
                  <w:rFonts w:ascii="Arial" w:cs="Arial" w:eastAsia="Arial" w:hAnsi="Arial"/>
                  <w:sz w:val="16"/>
                  <w:szCs w:val="16"/>
                  <w:color w:val="0000EE"/>
                </w:rPr>
                <w:t>Director Independence</w:t>
              </w:r>
            </w:hyperlink>
          </w:p>
        </w:tc>
        <w:tc>
          <w:tcPr>
            <w:tcW w:w="7180" w:type="dxa"/>
            <w:vAlign w:val="bottom"/>
            <w:gridSpan w:val="21"/>
          </w:tcPr>
          <w:p>
            <w:pPr>
              <w:spacing w:after="0"/>
              <w:rPr>
                <w:sz w:val="24"/>
                <w:szCs w:val="24"/>
                <w:color w:val="auto"/>
              </w:rPr>
            </w:pPr>
          </w:p>
        </w:tc>
        <w:tc>
          <w:tcPr>
            <w:tcW w:w="200" w:type="dxa"/>
            <w:vAlign w:val="bottom"/>
            <w:gridSpan w:val="2"/>
          </w:tcPr>
          <w:p>
            <w:pPr>
              <w:spacing w:after="0"/>
              <w:rPr>
                <w:sz w:val="24"/>
                <w:szCs w:val="24"/>
                <w:color w:val="auto"/>
              </w:rPr>
            </w:pPr>
          </w:p>
        </w:tc>
        <w:tc>
          <w:tcPr>
            <w:tcW w:w="80" w:type="dxa"/>
            <w:vAlign w:val="bottom"/>
            <w:tcBorders>
              <w:bottom w:val="single" w:sz="8" w:color="0000EE"/>
            </w:tcBorders>
          </w:tcPr>
          <w:p>
            <w:pPr>
              <w:jc w:val="right"/>
              <w:spacing w:after="0"/>
              <w:rPr>
                <w:rFonts w:ascii="Arial" w:cs="Arial" w:eastAsia="Arial" w:hAnsi="Arial"/>
                <w:sz w:val="10"/>
                <w:szCs w:val="10"/>
                <w:b w:val="1"/>
                <w:bCs w:val="1"/>
                <w:color w:val="0000EE"/>
                <w:w w:val="71"/>
              </w:rPr>
            </w:pPr>
            <w:hyperlink w:anchor="page15">
              <w:r>
                <w:rPr>
                  <w:rFonts w:ascii="Arial" w:cs="Arial" w:eastAsia="Arial" w:hAnsi="Arial"/>
                  <w:sz w:val="10"/>
                  <w:szCs w:val="10"/>
                  <w:b w:val="1"/>
                  <w:bCs w:val="1"/>
                  <w:color w:val="0000EE"/>
                  <w:w w:val="71"/>
                </w:rPr>
                <w:t>11</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8"/>
          </w:tcPr>
          <w:p>
            <w:pPr>
              <w:spacing w:after="0"/>
              <w:rPr>
                <w:rFonts w:ascii="Arial" w:cs="Arial" w:eastAsia="Arial" w:hAnsi="Arial"/>
                <w:sz w:val="16"/>
                <w:szCs w:val="16"/>
                <w:color w:val="0000EE"/>
              </w:rPr>
            </w:pPr>
            <w:hyperlink w:anchor="page15">
              <w:r>
                <w:rPr>
                  <w:rFonts w:ascii="Arial" w:cs="Arial" w:eastAsia="Arial" w:hAnsi="Arial"/>
                  <w:sz w:val="16"/>
                  <w:szCs w:val="16"/>
                  <w:color w:val="0000EE"/>
                </w:rPr>
                <w:t>Board Leadership Structure and Role of the Lead Independent Director</w:t>
              </w:r>
            </w:hyperlink>
          </w:p>
        </w:tc>
        <w:tc>
          <w:tcPr>
            <w:tcW w:w="280" w:type="dxa"/>
            <w:vAlign w:val="bottom"/>
            <w:gridSpan w:val="3"/>
          </w:tcPr>
          <w:p>
            <w:pPr>
              <w:jc w:val="right"/>
              <w:spacing w:after="0"/>
              <w:rPr>
                <w:rFonts w:ascii="Arial" w:cs="Arial" w:eastAsia="Arial" w:hAnsi="Arial"/>
                <w:sz w:val="16"/>
                <w:szCs w:val="16"/>
                <w:b w:val="1"/>
                <w:bCs w:val="1"/>
                <w:color w:val="0000EE"/>
              </w:rPr>
            </w:pPr>
            <w:hyperlink w:anchor="page15">
              <w:r>
                <w:rPr>
                  <w:rFonts w:ascii="Arial" w:cs="Arial" w:eastAsia="Arial" w:hAnsi="Arial"/>
                  <w:sz w:val="16"/>
                  <w:szCs w:val="16"/>
                  <w:b w:val="1"/>
                  <w:bCs w:val="1"/>
                  <w:color w:val="0000EE"/>
                </w:rPr>
                <w:t>11</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320" w:type="dxa"/>
            <w:vAlign w:val="bottom"/>
            <w:gridSpan w:val="4"/>
          </w:tcPr>
          <w:p>
            <w:pPr>
              <w:spacing w:after="0"/>
              <w:rPr>
                <w:rFonts w:ascii="Arial" w:cs="Arial" w:eastAsia="Arial" w:hAnsi="Arial"/>
                <w:sz w:val="16"/>
                <w:szCs w:val="16"/>
                <w:color w:val="0000EE"/>
                <w:w w:val="96"/>
              </w:rPr>
            </w:pPr>
            <w:hyperlink w:anchor="page16">
              <w:r>
                <w:rPr>
                  <w:rFonts w:ascii="Arial" w:cs="Arial" w:eastAsia="Arial" w:hAnsi="Arial"/>
                  <w:sz w:val="16"/>
                  <w:szCs w:val="16"/>
                  <w:color w:val="0000EE"/>
                  <w:w w:val="96"/>
                </w:rPr>
                <w:t>Board Committees</w:t>
              </w:r>
            </w:hyperlink>
          </w:p>
        </w:tc>
        <w:tc>
          <w:tcPr>
            <w:tcW w:w="3760" w:type="dxa"/>
            <w:vAlign w:val="bottom"/>
            <w:gridSpan w:val="17"/>
          </w:tcPr>
          <w:p>
            <w:pPr>
              <w:spacing w:after="0"/>
              <w:rPr>
                <w:sz w:val="24"/>
                <w:szCs w:val="24"/>
                <w:color w:val="auto"/>
              </w:rPr>
            </w:pPr>
          </w:p>
        </w:tc>
        <w:tc>
          <w:tcPr>
            <w:tcW w:w="3740" w:type="dxa"/>
            <w:vAlign w:val="bottom"/>
            <w:gridSpan w:val="7"/>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16">
              <w:r>
                <w:rPr>
                  <w:rFonts w:ascii="Arial" w:cs="Arial" w:eastAsia="Arial" w:hAnsi="Arial"/>
                  <w:sz w:val="16"/>
                  <w:szCs w:val="16"/>
                  <w:b w:val="1"/>
                  <w:bCs w:val="1"/>
                  <w:color w:val="0000EE"/>
                </w:rPr>
                <w:t>12</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0" w:type="dxa"/>
            <w:vAlign w:val="bottom"/>
            <w:gridSpan w:val="15"/>
          </w:tcPr>
          <w:p>
            <w:pPr>
              <w:spacing w:after="0"/>
              <w:rPr>
                <w:rFonts w:ascii="Arial" w:cs="Arial" w:eastAsia="Arial" w:hAnsi="Arial"/>
                <w:sz w:val="16"/>
                <w:szCs w:val="16"/>
                <w:color w:val="0000EE"/>
              </w:rPr>
            </w:pPr>
            <w:hyperlink w:anchor="page18">
              <w:r>
                <w:rPr>
                  <w:rFonts w:ascii="Arial" w:cs="Arial" w:eastAsia="Arial" w:hAnsi="Arial"/>
                  <w:sz w:val="16"/>
                  <w:szCs w:val="16"/>
                  <w:color w:val="0000EE"/>
                </w:rPr>
                <w:t>Attendance at Board and Stockholder Meetings</w:t>
              </w:r>
            </w:hyperlink>
          </w:p>
        </w:tc>
        <w:tc>
          <w:tcPr>
            <w:tcW w:w="5420" w:type="dxa"/>
            <w:vAlign w:val="bottom"/>
            <w:gridSpan w:val="13"/>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18">
              <w:r>
                <w:rPr>
                  <w:rFonts w:ascii="Arial" w:cs="Arial" w:eastAsia="Arial" w:hAnsi="Arial"/>
                  <w:sz w:val="16"/>
                  <w:szCs w:val="16"/>
                  <w:b w:val="1"/>
                  <w:bCs w:val="1"/>
                  <w:color w:val="0000EE"/>
                </w:rPr>
                <w:t>14</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8"/>
          </w:tcPr>
          <w:p>
            <w:pPr>
              <w:spacing w:after="0"/>
              <w:rPr>
                <w:rFonts w:ascii="Arial" w:cs="Arial" w:eastAsia="Arial" w:hAnsi="Arial"/>
                <w:sz w:val="16"/>
                <w:szCs w:val="16"/>
                <w:color w:val="0000EE"/>
              </w:rPr>
            </w:pPr>
            <w:hyperlink w:anchor="page18">
              <w:r>
                <w:rPr>
                  <w:rFonts w:ascii="Arial" w:cs="Arial" w:eastAsia="Arial" w:hAnsi="Arial"/>
                  <w:sz w:val="16"/>
                  <w:szCs w:val="16"/>
                  <w:color w:val="0000EE"/>
                </w:rPr>
                <w:t>Compensation Committee Interlocks and Insider Participation</w:t>
              </w:r>
            </w:hyperlink>
          </w:p>
        </w:tc>
        <w:tc>
          <w:tcPr>
            <w:tcW w:w="280" w:type="dxa"/>
            <w:vAlign w:val="bottom"/>
            <w:gridSpan w:val="3"/>
          </w:tcPr>
          <w:p>
            <w:pPr>
              <w:jc w:val="right"/>
              <w:spacing w:after="0"/>
              <w:rPr>
                <w:rFonts w:ascii="Arial" w:cs="Arial" w:eastAsia="Arial" w:hAnsi="Arial"/>
                <w:sz w:val="16"/>
                <w:szCs w:val="16"/>
                <w:b w:val="1"/>
                <w:bCs w:val="1"/>
                <w:color w:val="0000EE"/>
              </w:rPr>
            </w:pPr>
            <w:hyperlink w:anchor="page18">
              <w:r>
                <w:rPr>
                  <w:rFonts w:ascii="Arial" w:cs="Arial" w:eastAsia="Arial" w:hAnsi="Arial"/>
                  <w:sz w:val="16"/>
                  <w:szCs w:val="16"/>
                  <w:b w:val="1"/>
                  <w:bCs w:val="1"/>
                  <w:color w:val="0000EE"/>
                </w:rPr>
                <w:t>14</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280" w:type="dxa"/>
            <w:vAlign w:val="bottom"/>
            <w:gridSpan w:val="2"/>
            <w:shd w:val="clear" w:color="auto" w:fill="0000EE"/>
          </w:tcPr>
          <w:p>
            <w:pPr>
              <w:spacing w:after="0" w:line="20" w:lineRule="exact"/>
              <w:rPr>
                <w:sz w:val="1"/>
                <w:szCs w:val="1"/>
                <w:color w:val="auto"/>
              </w:rPr>
            </w:pPr>
          </w:p>
        </w:tc>
        <w:tc>
          <w:tcPr>
            <w:tcW w:w="6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40" w:type="dxa"/>
            <w:vAlign w:val="bottom"/>
            <w:gridSpan w:val="16"/>
          </w:tcPr>
          <w:p>
            <w:pPr>
              <w:spacing w:after="0"/>
              <w:rPr>
                <w:rFonts w:ascii="Arial" w:cs="Arial" w:eastAsia="Arial" w:hAnsi="Arial"/>
                <w:sz w:val="16"/>
                <w:szCs w:val="16"/>
                <w:color w:val="0000EE"/>
              </w:rPr>
            </w:pPr>
            <w:hyperlink w:anchor="page18">
              <w:r>
                <w:rPr>
                  <w:rFonts w:ascii="Arial" w:cs="Arial" w:eastAsia="Arial" w:hAnsi="Arial"/>
                  <w:sz w:val="16"/>
                  <w:szCs w:val="16"/>
                  <w:color w:val="0000EE"/>
                </w:rPr>
                <w:t>Considerations in Evaluating Director Nominees</w:t>
              </w:r>
            </w:hyperlink>
          </w:p>
        </w:tc>
        <w:tc>
          <w:tcPr>
            <w:tcW w:w="940" w:type="dxa"/>
            <w:vAlign w:val="bottom"/>
            <w:gridSpan w:val="2"/>
          </w:tcPr>
          <w:p>
            <w:pPr>
              <w:spacing w:after="0"/>
              <w:rPr>
                <w:sz w:val="24"/>
                <w:szCs w:val="24"/>
                <w:color w:val="auto"/>
              </w:rPr>
            </w:pPr>
          </w:p>
        </w:tc>
        <w:tc>
          <w:tcPr>
            <w:tcW w:w="4440" w:type="dxa"/>
            <w:vAlign w:val="bottom"/>
            <w:gridSpan w:val="10"/>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18">
              <w:r>
                <w:rPr>
                  <w:rFonts w:ascii="Arial" w:cs="Arial" w:eastAsia="Arial" w:hAnsi="Arial"/>
                  <w:sz w:val="16"/>
                  <w:szCs w:val="16"/>
                  <w:b w:val="1"/>
                  <w:bCs w:val="1"/>
                  <w:color w:val="0000EE"/>
                </w:rPr>
                <w:t>14</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280" w:type="dxa"/>
            <w:vAlign w:val="bottom"/>
            <w:gridSpan w:val="2"/>
            <w:shd w:val="clear" w:color="auto" w:fill="0000EE"/>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320" w:type="dxa"/>
            <w:vAlign w:val="bottom"/>
            <w:gridSpan w:val="4"/>
          </w:tcPr>
          <w:p>
            <w:pPr>
              <w:spacing w:after="0"/>
              <w:rPr>
                <w:rFonts w:ascii="Arial" w:cs="Arial" w:eastAsia="Arial" w:hAnsi="Arial"/>
                <w:sz w:val="16"/>
                <w:szCs w:val="16"/>
                <w:color w:val="0000EE"/>
                <w:w w:val="98"/>
              </w:rPr>
            </w:pPr>
            <w:hyperlink w:anchor="page18">
              <w:r>
                <w:rPr>
                  <w:rFonts w:ascii="Arial" w:cs="Arial" w:eastAsia="Arial" w:hAnsi="Arial"/>
                  <w:sz w:val="16"/>
                  <w:szCs w:val="16"/>
                  <w:color w:val="0000EE"/>
                  <w:w w:val="98"/>
                </w:rPr>
                <w:t>Board Evaluations</w:t>
              </w:r>
            </w:hyperlink>
          </w:p>
        </w:tc>
        <w:tc>
          <w:tcPr>
            <w:tcW w:w="2120" w:type="dxa"/>
            <w:vAlign w:val="bottom"/>
            <w:gridSpan w:val="12"/>
          </w:tcPr>
          <w:p>
            <w:pPr>
              <w:spacing w:after="0"/>
              <w:rPr>
                <w:sz w:val="24"/>
                <w:szCs w:val="24"/>
                <w:color w:val="auto"/>
              </w:rPr>
            </w:pPr>
          </w:p>
        </w:tc>
        <w:tc>
          <w:tcPr>
            <w:tcW w:w="5380" w:type="dxa"/>
            <w:vAlign w:val="bottom"/>
            <w:gridSpan w:val="12"/>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18">
              <w:r>
                <w:rPr>
                  <w:rFonts w:ascii="Arial" w:cs="Arial" w:eastAsia="Arial" w:hAnsi="Arial"/>
                  <w:sz w:val="16"/>
                  <w:szCs w:val="16"/>
                  <w:b w:val="1"/>
                  <w:bCs w:val="1"/>
                  <w:color w:val="0000EE"/>
                </w:rPr>
                <w:t>14</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40" w:type="dxa"/>
            <w:vAlign w:val="bottom"/>
            <w:gridSpan w:val="3"/>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8"/>
          </w:tcPr>
          <w:p>
            <w:pPr>
              <w:spacing w:after="0"/>
              <w:rPr>
                <w:rFonts w:ascii="Arial" w:cs="Arial" w:eastAsia="Arial" w:hAnsi="Arial"/>
                <w:sz w:val="16"/>
                <w:szCs w:val="16"/>
                <w:color w:val="0000EE"/>
              </w:rPr>
            </w:pPr>
            <w:hyperlink w:anchor="page19">
              <w:r>
                <w:rPr>
                  <w:rFonts w:ascii="Arial" w:cs="Arial" w:eastAsia="Arial" w:hAnsi="Arial"/>
                  <w:sz w:val="16"/>
                  <w:szCs w:val="16"/>
                  <w:color w:val="0000EE"/>
                </w:rPr>
                <w:t>Stockholder Recommendations and Nominations to the Board of Directors</w:t>
              </w:r>
            </w:hyperlink>
          </w:p>
        </w:tc>
        <w:tc>
          <w:tcPr>
            <w:tcW w:w="280" w:type="dxa"/>
            <w:vAlign w:val="bottom"/>
            <w:gridSpan w:val="3"/>
          </w:tcPr>
          <w:p>
            <w:pPr>
              <w:jc w:val="right"/>
              <w:spacing w:after="0"/>
              <w:rPr>
                <w:rFonts w:ascii="Arial" w:cs="Arial" w:eastAsia="Arial" w:hAnsi="Arial"/>
                <w:sz w:val="16"/>
                <w:szCs w:val="16"/>
                <w:b w:val="1"/>
                <w:bCs w:val="1"/>
                <w:color w:val="0000EE"/>
              </w:rPr>
            </w:pPr>
            <w:hyperlink w:anchor="page19">
              <w:r>
                <w:rPr>
                  <w:rFonts w:ascii="Arial" w:cs="Arial" w:eastAsia="Arial" w:hAnsi="Arial"/>
                  <w:sz w:val="16"/>
                  <w:szCs w:val="16"/>
                  <w:b w:val="1"/>
                  <w:bCs w:val="1"/>
                  <w:color w:val="0000EE"/>
                </w:rPr>
                <w:t>15</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940" w:type="dxa"/>
            <w:vAlign w:val="bottom"/>
            <w:gridSpan w:val="3"/>
            <w:shd w:val="clear" w:color="auto" w:fill="0000EE"/>
          </w:tcPr>
          <w:p>
            <w:pPr>
              <w:spacing w:after="0" w:line="20" w:lineRule="exact"/>
              <w:rPr>
                <w:sz w:val="1"/>
                <w:szCs w:val="1"/>
                <w:color w:val="auto"/>
              </w:rPr>
            </w:pPr>
          </w:p>
        </w:tc>
        <w:tc>
          <w:tcPr>
            <w:tcW w:w="460" w:type="dxa"/>
            <w:vAlign w:val="bottom"/>
            <w:gridSpan w:val="2"/>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40" w:type="dxa"/>
            <w:vAlign w:val="bottom"/>
            <w:gridSpan w:val="2"/>
            <w:shd w:val="clear" w:color="auto" w:fill="0000EE"/>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160" w:type="dxa"/>
            <w:vAlign w:val="bottom"/>
            <w:gridSpan w:val="14"/>
          </w:tcPr>
          <w:p>
            <w:pPr>
              <w:spacing w:after="0"/>
              <w:rPr>
                <w:rFonts w:ascii="Arial" w:cs="Arial" w:eastAsia="Arial" w:hAnsi="Arial"/>
                <w:sz w:val="16"/>
                <w:szCs w:val="16"/>
                <w:color w:val="0000EE"/>
              </w:rPr>
            </w:pPr>
            <w:hyperlink w:anchor="page19">
              <w:r>
                <w:rPr>
                  <w:rFonts w:ascii="Arial" w:cs="Arial" w:eastAsia="Arial" w:hAnsi="Arial"/>
                  <w:sz w:val="16"/>
                  <w:szCs w:val="16"/>
                  <w:color w:val="0000EE"/>
                </w:rPr>
                <w:t>Communications with the Board of Directors</w:t>
              </w:r>
            </w:hyperlink>
          </w:p>
        </w:tc>
        <w:tc>
          <w:tcPr>
            <w:tcW w:w="2140" w:type="dxa"/>
            <w:vAlign w:val="bottom"/>
            <w:gridSpan w:val="8"/>
          </w:tcPr>
          <w:p>
            <w:pPr>
              <w:spacing w:after="0"/>
              <w:rPr>
                <w:sz w:val="24"/>
                <w:szCs w:val="24"/>
                <w:color w:val="auto"/>
              </w:rPr>
            </w:pPr>
          </w:p>
        </w:tc>
        <w:tc>
          <w:tcPr>
            <w:tcW w:w="3520" w:type="dxa"/>
            <w:vAlign w:val="bottom"/>
            <w:gridSpan w:val="6"/>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19">
              <w:r>
                <w:rPr>
                  <w:rFonts w:ascii="Arial" w:cs="Arial" w:eastAsia="Arial" w:hAnsi="Arial"/>
                  <w:sz w:val="16"/>
                  <w:szCs w:val="16"/>
                  <w:b w:val="1"/>
                  <w:bCs w:val="1"/>
                  <w:color w:val="0000EE"/>
                </w:rPr>
                <w:t>15</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940" w:type="dxa"/>
            <w:vAlign w:val="bottom"/>
            <w:gridSpan w:val="3"/>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80" w:type="dxa"/>
            <w:vAlign w:val="bottom"/>
            <w:gridSpan w:val="3"/>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540" w:type="dxa"/>
            <w:vAlign w:val="bottom"/>
            <w:gridSpan w:val="23"/>
          </w:tcPr>
          <w:p>
            <w:pPr>
              <w:spacing w:after="0"/>
              <w:rPr>
                <w:rFonts w:ascii="Arial" w:cs="Arial" w:eastAsia="Arial" w:hAnsi="Arial"/>
                <w:sz w:val="16"/>
                <w:szCs w:val="16"/>
                <w:color w:val="0000EE"/>
              </w:rPr>
            </w:pPr>
            <w:hyperlink w:anchor="page19">
              <w:r>
                <w:rPr>
                  <w:rFonts w:ascii="Arial" w:cs="Arial" w:eastAsia="Arial" w:hAnsi="Arial"/>
                  <w:sz w:val="16"/>
                  <w:szCs w:val="16"/>
                  <w:color w:val="0000EE"/>
                </w:rPr>
                <w:t>Corporate Governance Guidelines and Code of Business Conduct and Ethics</w:t>
              </w:r>
            </w:hyperlink>
          </w:p>
        </w:tc>
        <w:tc>
          <w:tcPr>
            <w:tcW w:w="3280" w:type="dxa"/>
            <w:vAlign w:val="bottom"/>
            <w:gridSpan w:val="5"/>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19">
              <w:r>
                <w:rPr>
                  <w:rFonts w:ascii="Arial" w:cs="Arial" w:eastAsia="Arial" w:hAnsi="Arial"/>
                  <w:sz w:val="16"/>
                  <w:szCs w:val="16"/>
                  <w:b w:val="1"/>
                  <w:bCs w:val="1"/>
                  <w:color w:val="0000EE"/>
                </w:rPr>
                <w:t>15</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100" w:type="dxa"/>
            <w:vAlign w:val="bottom"/>
            <w:gridSpan w:val="4"/>
            <w:shd w:val="clear" w:color="auto" w:fill="0000EE"/>
          </w:tcPr>
          <w:p>
            <w:pPr>
              <w:spacing w:after="0" w:line="20" w:lineRule="exact"/>
              <w:rPr>
                <w:sz w:val="1"/>
                <w:szCs w:val="1"/>
                <w:color w:val="auto"/>
              </w:rPr>
            </w:pPr>
          </w:p>
        </w:tc>
        <w:tc>
          <w:tcPr>
            <w:tcW w:w="460" w:type="dxa"/>
            <w:vAlign w:val="bottom"/>
            <w:gridSpan w:val="2"/>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80" w:type="dxa"/>
            <w:vAlign w:val="bottom"/>
            <w:gridSpan w:val="3"/>
            <w:shd w:val="clear" w:color="auto" w:fill="0000EE"/>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540" w:type="dxa"/>
            <w:vAlign w:val="bottom"/>
            <w:gridSpan w:val="23"/>
          </w:tcPr>
          <w:p>
            <w:pPr>
              <w:spacing w:after="0"/>
              <w:rPr>
                <w:rFonts w:ascii="Arial" w:cs="Arial" w:eastAsia="Arial" w:hAnsi="Arial"/>
                <w:sz w:val="16"/>
                <w:szCs w:val="16"/>
                <w:color w:val="0000EE"/>
              </w:rPr>
            </w:pPr>
            <w:hyperlink w:anchor="page20">
              <w:r>
                <w:rPr>
                  <w:rFonts w:ascii="Arial" w:cs="Arial" w:eastAsia="Arial" w:hAnsi="Arial"/>
                  <w:sz w:val="16"/>
                  <w:szCs w:val="16"/>
                  <w:color w:val="0000EE"/>
                </w:rPr>
                <w:t>Role of Board in Risk Oversight Process</w:t>
              </w:r>
            </w:hyperlink>
          </w:p>
        </w:tc>
        <w:tc>
          <w:tcPr>
            <w:tcW w:w="3280" w:type="dxa"/>
            <w:vAlign w:val="bottom"/>
            <w:gridSpan w:val="5"/>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20">
              <w:r>
                <w:rPr>
                  <w:rFonts w:ascii="Arial" w:cs="Arial" w:eastAsia="Arial" w:hAnsi="Arial"/>
                  <w:sz w:val="16"/>
                  <w:szCs w:val="16"/>
                  <w:b w:val="1"/>
                  <w:bCs w:val="1"/>
                  <w:color w:val="0000EE"/>
                </w:rPr>
                <w:t>16</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00" w:type="dxa"/>
            <w:vAlign w:val="bottom"/>
            <w:gridSpan w:val="4"/>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560" w:type="dxa"/>
            <w:vAlign w:val="bottom"/>
            <w:gridSpan w:val="5"/>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8"/>
          </w:tcPr>
          <w:p>
            <w:pPr>
              <w:spacing w:after="0"/>
              <w:rPr>
                <w:rFonts w:ascii="Arial" w:cs="Arial" w:eastAsia="Arial" w:hAnsi="Arial"/>
                <w:sz w:val="16"/>
                <w:szCs w:val="16"/>
                <w:color w:val="0000EE"/>
              </w:rPr>
            </w:pPr>
            <w:hyperlink w:anchor="page20">
              <w:r>
                <w:rPr>
                  <w:rFonts w:ascii="Arial" w:cs="Arial" w:eastAsia="Arial" w:hAnsi="Arial"/>
                  <w:sz w:val="16"/>
                  <w:szCs w:val="16"/>
                  <w:color w:val="0000EE"/>
                </w:rPr>
                <w:t>Corporate Social Responsibility Highlights</w:t>
              </w:r>
            </w:hyperlink>
          </w:p>
        </w:tc>
        <w:tc>
          <w:tcPr>
            <w:tcW w:w="280" w:type="dxa"/>
            <w:vAlign w:val="bottom"/>
            <w:gridSpan w:val="3"/>
          </w:tcPr>
          <w:p>
            <w:pPr>
              <w:jc w:val="right"/>
              <w:spacing w:after="0"/>
              <w:rPr>
                <w:rFonts w:ascii="Arial" w:cs="Arial" w:eastAsia="Arial" w:hAnsi="Arial"/>
                <w:sz w:val="16"/>
                <w:szCs w:val="16"/>
                <w:b w:val="1"/>
                <w:bCs w:val="1"/>
                <w:color w:val="0000EE"/>
              </w:rPr>
            </w:pPr>
            <w:hyperlink w:anchor="page20">
              <w:r>
                <w:rPr>
                  <w:rFonts w:ascii="Arial" w:cs="Arial" w:eastAsia="Arial" w:hAnsi="Arial"/>
                  <w:sz w:val="16"/>
                  <w:szCs w:val="16"/>
                  <w:b w:val="1"/>
                  <w:bCs w:val="1"/>
                  <w:color w:val="0000EE"/>
                </w:rPr>
                <w:t>16</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20" w:type="dxa"/>
            <w:vAlign w:val="bottom"/>
            <w:gridSpan w:val="3"/>
            <w:shd w:val="clear" w:color="auto" w:fill="0000EE"/>
          </w:tcPr>
          <w:p>
            <w:pPr>
              <w:spacing w:after="0" w:line="20" w:lineRule="exact"/>
              <w:rPr>
                <w:sz w:val="1"/>
                <w:szCs w:val="1"/>
                <w:color w:val="auto"/>
              </w:rPr>
            </w:pPr>
          </w:p>
        </w:tc>
        <w:tc>
          <w:tcPr>
            <w:tcW w:w="1100" w:type="dxa"/>
            <w:vAlign w:val="bottom"/>
            <w:gridSpan w:val="4"/>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560" w:type="dxa"/>
            <w:vAlign w:val="bottom"/>
            <w:gridSpan w:val="5"/>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gridSpan w:val="8"/>
          </w:tcPr>
          <w:p>
            <w:pPr>
              <w:spacing w:after="0"/>
              <w:rPr>
                <w:rFonts w:ascii="Arial" w:cs="Arial" w:eastAsia="Arial" w:hAnsi="Arial"/>
                <w:sz w:val="16"/>
                <w:szCs w:val="16"/>
                <w:color w:val="0000EE"/>
              </w:rPr>
            </w:pPr>
            <w:hyperlink w:anchor="page23">
              <w:r>
                <w:rPr>
                  <w:rFonts w:ascii="Arial" w:cs="Arial" w:eastAsia="Arial" w:hAnsi="Arial"/>
                  <w:sz w:val="16"/>
                  <w:szCs w:val="16"/>
                  <w:color w:val="0000EE"/>
                </w:rPr>
                <w:t>Director Compensation</w:t>
              </w:r>
            </w:hyperlink>
          </w:p>
        </w:tc>
        <w:tc>
          <w:tcPr>
            <w:tcW w:w="1340" w:type="dxa"/>
            <w:vAlign w:val="bottom"/>
            <w:gridSpan w:val="5"/>
          </w:tcPr>
          <w:p>
            <w:pPr>
              <w:spacing w:after="0"/>
              <w:rPr>
                <w:sz w:val="24"/>
                <w:szCs w:val="24"/>
                <w:color w:val="auto"/>
              </w:rPr>
            </w:pPr>
          </w:p>
        </w:tc>
        <w:tc>
          <w:tcPr>
            <w:tcW w:w="5820" w:type="dxa"/>
            <w:vAlign w:val="bottom"/>
            <w:gridSpan w:val="15"/>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23">
              <w:r>
                <w:rPr>
                  <w:rFonts w:ascii="Arial" w:cs="Arial" w:eastAsia="Arial" w:hAnsi="Arial"/>
                  <w:sz w:val="16"/>
                  <w:szCs w:val="16"/>
                  <w:b w:val="1"/>
                  <w:bCs w:val="1"/>
                  <w:color w:val="0000EE"/>
                </w:rPr>
                <w:t>19</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920" w:type="dxa"/>
            <w:vAlign w:val="bottom"/>
            <w:gridSpan w:val="7"/>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560" w:type="dxa"/>
            <w:vAlign w:val="bottom"/>
            <w:gridSpan w:val="5"/>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20"/>
        </w:trPr>
        <w:tc>
          <w:tcPr>
            <w:tcW w:w="780" w:type="dxa"/>
            <w:vAlign w:val="bottom"/>
          </w:tcPr>
          <w:p>
            <w:pPr>
              <w:spacing w:after="0"/>
              <w:rPr>
                <w:sz w:val="24"/>
                <w:szCs w:val="24"/>
                <w:color w:val="auto"/>
              </w:rPr>
            </w:pPr>
          </w:p>
        </w:tc>
        <w:tc>
          <w:tcPr>
            <w:tcW w:w="4840" w:type="dxa"/>
            <w:vAlign w:val="bottom"/>
            <w:gridSpan w:val="20"/>
          </w:tcPr>
          <w:p>
            <w:pPr>
              <w:spacing w:after="0"/>
              <w:rPr>
                <w:rFonts w:ascii="Arial" w:cs="Arial" w:eastAsia="Arial" w:hAnsi="Arial"/>
                <w:sz w:val="22"/>
                <w:szCs w:val="22"/>
                <w:b w:val="1"/>
                <w:bCs w:val="1"/>
                <w:color w:val="0000EE"/>
                <w:w w:val="97"/>
              </w:rPr>
            </w:pPr>
            <w:hyperlink w:anchor="page27">
              <w:r>
                <w:rPr>
                  <w:rFonts w:ascii="Arial" w:cs="Arial" w:eastAsia="Arial" w:hAnsi="Arial"/>
                  <w:sz w:val="22"/>
                  <w:szCs w:val="22"/>
                  <w:b w:val="1"/>
                  <w:bCs w:val="1"/>
                  <w:color w:val="0000EE"/>
                  <w:w w:val="97"/>
                </w:rPr>
                <w:t>PROPOSAL NO. 1—ELECTION OF DIRECTORS</w:t>
              </w:r>
            </w:hyperlink>
          </w:p>
        </w:tc>
        <w:tc>
          <w:tcPr>
            <w:tcW w:w="4260" w:type="dxa"/>
            <w:vAlign w:val="bottom"/>
            <w:gridSpan w:val="9"/>
          </w:tcPr>
          <w:p>
            <w:pPr>
              <w:spacing w:after="0"/>
              <w:rPr>
                <w:sz w:val="24"/>
                <w:szCs w:val="24"/>
                <w:color w:val="auto"/>
              </w:rPr>
            </w:pPr>
          </w:p>
        </w:tc>
        <w:tc>
          <w:tcPr>
            <w:tcW w:w="280" w:type="dxa"/>
            <w:vAlign w:val="bottom"/>
            <w:gridSpan w:val="3"/>
          </w:tcPr>
          <w:p>
            <w:pPr>
              <w:jc w:val="right"/>
              <w:spacing w:after="0"/>
              <w:rPr>
                <w:rFonts w:ascii="Arial" w:cs="Arial" w:eastAsia="Arial" w:hAnsi="Arial"/>
                <w:sz w:val="22"/>
                <w:szCs w:val="22"/>
                <w:b w:val="1"/>
                <w:bCs w:val="1"/>
                <w:color w:val="0000EE"/>
              </w:rPr>
            </w:pPr>
            <w:hyperlink w:anchor="page27">
              <w:r>
                <w:rPr>
                  <w:rFonts w:ascii="Arial" w:cs="Arial" w:eastAsia="Arial" w:hAnsi="Arial"/>
                  <w:sz w:val="22"/>
                  <w:szCs w:val="22"/>
                  <w:b w:val="1"/>
                  <w:bCs w:val="1"/>
                  <w:color w:val="0000EE"/>
                </w:rPr>
                <w:t>23</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4"/>
        </w:trPr>
        <w:tc>
          <w:tcPr>
            <w:tcW w:w="780" w:type="dxa"/>
            <w:vAlign w:val="bottom"/>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4560" w:type="dxa"/>
            <w:vAlign w:val="bottom"/>
            <w:tcBorders>
              <w:top w:val="single" w:sz="8" w:color="0000EE"/>
            </w:tcBorders>
            <w:gridSpan w:val="19"/>
          </w:tcPr>
          <w:p>
            <w:pPr>
              <w:spacing w:after="0"/>
              <w:rPr>
                <w:rFonts w:ascii="Arial" w:cs="Arial" w:eastAsia="Arial" w:hAnsi="Arial"/>
                <w:sz w:val="16"/>
                <w:szCs w:val="16"/>
                <w:color w:val="0000EE"/>
              </w:rPr>
            </w:pPr>
            <w:hyperlink w:anchor="page27">
              <w:r>
                <w:rPr>
                  <w:rFonts w:ascii="Arial" w:cs="Arial" w:eastAsia="Arial" w:hAnsi="Arial"/>
                  <w:sz w:val="16"/>
                  <w:szCs w:val="16"/>
                  <w:color w:val="0000EE"/>
                </w:rPr>
                <w:t>Nominees</w:t>
              </w:r>
            </w:hyperlink>
          </w:p>
        </w:tc>
        <w:tc>
          <w:tcPr>
            <w:tcW w:w="4260" w:type="dxa"/>
            <w:vAlign w:val="bottom"/>
            <w:gridSpan w:val="9"/>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Borders>
              <w:top w:val="single" w:sz="8" w:color="0000EE"/>
            </w:tcBorders>
            <w:gridSpan w:val="2"/>
          </w:tcPr>
          <w:p>
            <w:pPr>
              <w:jc w:val="right"/>
              <w:spacing w:after="0"/>
              <w:rPr>
                <w:rFonts w:ascii="Arial" w:cs="Arial" w:eastAsia="Arial" w:hAnsi="Arial"/>
                <w:sz w:val="16"/>
                <w:szCs w:val="16"/>
                <w:b w:val="1"/>
                <w:bCs w:val="1"/>
                <w:color w:val="0000EE"/>
              </w:rPr>
            </w:pPr>
            <w:hyperlink w:anchor="page27">
              <w:r>
                <w:rPr>
                  <w:rFonts w:ascii="Arial" w:cs="Arial" w:eastAsia="Arial" w:hAnsi="Arial"/>
                  <w:sz w:val="16"/>
                  <w:szCs w:val="16"/>
                  <w:b w:val="1"/>
                  <w:bCs w:val="1"/>
                  <w:color w:val="0000EE"/>
                </w:rPr>
                <w:t>23</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920" w:type="dxa"/>
            <w:vAlign w:val="bottom"/>
            <w:gridSpan w:val="7"/>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2560" w:type="dxa"/>
            <w:vAlign w:val="bottom"/>
            <w:gridSpan w:val="5"/>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Borders>
              <w:right w:val="single" w:sz="8" w:color="0000EE"/>
            </w:tcBorders>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8"/>
          </w:tcPr>
          <w:p>
            <w:pPr>
              <w:spacing w:after="0"/>
              <w:rPr>
                <w:rFonts w:ascii="Arial" w:cs="Arial" w:eastAsia="Arial" w:hAnsi="Arial"/>
                <w:sz w:val="16"/>
                <w:szCs w:val="16"/>
                <w:color w:val="0000EE"/>
              </w:rPr>
            </w:pPr>
            <w:hyperlink w:anchor="page27">
              <w:r>
                <w:rPr>
                  <w:rFonts w:ascii="Arial" w:cs="Arial" w:eastAsia="Arial" w:hAnsi="Arial"/>
                  <w:sz w:val="16"/>
                  <w:szCs w:val="16"/>
                  <w:color w:val="0000EE"/>
                </w:rPr>
                <w:t>Vote Required</w:t>
              </w:r>
            </w:hyperlink>
          </w:p>
        </w:tc>
        <w:tc>
          <w:tcPr>
            <w:tcW w:w="280" w:type="dxa"/>
            <w:vAlign w:val="bottom"/>
            <w:gridSpan w:val="3"/>
          </w:tcPr>
          <w:p>
            <w:pPr>
              <w:jc w:val="right"/>
              <w:spacing w:after="0"/>
              <w:rPr>
                <w:rFonts w:ascii="Arial" w:cs="Arial" w:eastAsia="Arial" w:hAnsi="Arial"/>
                <w:sz w:val="16"/>
                <w:szCs w:val="16"/>
                <w:b w:val="1"/>
                <w:bCs w:val="1"/>
                <w:color w:val="0000EE"/>
              </w:rPr>
            </w:pPr>
            <w:hyperlink w:anchor="page27">
              <w:r>
                <w:rPr>
                  <w:rFonts w:ascii="Arial" w:cs="Arial" w:eastAsia="Arial" w:hAnsi="Arial"/>
                  <w:sz w:val="16"/>
                  <w:szCs w:val="16"/>
                  <w:b w:val="1"/>
                  <w:bCs w:val="1"/>
                  <w:color w:val="0000EE"/>
                </w:rPr>
                <w:t>23</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760" w:type="dxa"/>
            <w:vAlign w:val="bottom"/>
            <w:gridSpan w:val="2"/>
            <w:shd w:val="clear" w:color="auto" w:fill="0000EE"/>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920" w:type="dxa"/>
            <w:vAlign w:val="bottom"/>
            <w:gridSpan w:val="7"/>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2560" w:type="dxa"/>
            <w:vAlign w:val="bottom"/>
            <w:gridSpan w:val="5"/>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20"/>
        </w:trPr>
        <w:tc>
          <w:tcPr>
            <w:tcW w:w="780" w:type="dxa"/>
            <w:vAlign w:val="bottom"/>
          </w:tcPr>
          <w:p>
            <w:pPr>
              <w:spacing w:after="0"/>
              <w:rPr>
                <w:sz w:val="24"/>
                <w:szCs w:val="24"/>
                <w:color w:val="auto"/>
              </w:rPr>
            </w:pPr>
          </w:p>
        </w:tc>
        <w:tc>
          <w:tcPr>
            <w:tcW w:w="9100" w:type="dxa"/>
            <w:vAlign w:val="bottom"/>
            <w:gridSpan w:val="29"/>
          </w:tcPr>
          <w:p>
            <w:pPr>
              <w:spacing w:after="0"/>
              <w:rPr>
                <w:rFonts w:ascii="Arial" w:cs="Arial" w:eastAsia="Arial" w:hAnsi="Arial"/>
                <w:sz w:val="22"/>
                <w:szCs w:val="22"/>
                <w:b w:val="1"/>
                <w:bCs w:val="1"/>
                <w:color w:val="0000EE"/>
              </w:rPr>
            </w:pPr>
            <w:hyperlink w:anchor="page28">
              <w:r>
                <w:rPr>
                  <w:rFonts w:ascii="Arial" w:cs="Arial" w:eastAsia="Arial" w:hAnsi="Arial"/>
                  <w:sz w:val="22"/>
                  <w:szCs w:val="22"/>
                  <w:b w:val="1"/>
                  <w:bCs w:val="1"/>
                  <w:color w:val="0000EE"/>
                </w:rPr>
                <w:t>PROPOSAL NO. 2—RATIFICATION OF APPOINTMENT OF INDEPENDENT</w:t>
              </w:r>
            </w:hyperlink>
          </w:p>
        </w:tc>
        <w:tc>
          <w:tcPr>
            <w:tcW w:w="280" w:type="dxa"/>
            <w:vAlign w:val="bottom"/>
            <w:gridSpan w:val="3"/>
            <w:vMerge w:val="restart"/>
          </w:tcPr>
          <w:p>
            <w:pPr>
              <w:jc w:val="right"/>
              <w:spacing w:after="0"/>
              <w:rPr>
                <w:rFonts w:ascii="Arial" w:cs="Arial" w:eastAsia="Arial" w:hAnsi="Arial"/>
                <w:sz w:val="22"/>
                <w:szCs w:val="22"/>
                <w:b w:val="1"/>
                <w:bCs w:val="1"/>
                <w:color w:val="0000EE"/>
              </w:rPr>
            </w:pPr>
            <w:hyperlink w:anchor="page28">
              <w:r>
                <w:rPr>
                  <w:rFonts w:ascii="Arial" w:cs="Arial" w:eastAsia="Arial" w:hAnsi="Arial"/>
                  <w:sz w:val="22"/>
                  <w:szCs w:val="22"/>
                  <w:b w:val="1"/>
                  <w:bCs w:val="1"/>
                  <w:color w:val="0000EE"/>
                </w:rPr>
                <w:t>24</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780" w:type="dxa"/>
            <w:vAlign w:val="bottom"/>
          </w:tcPr>
          <w:p>
            <w:pPr>
              <w:spacing w:after="0"/>
              <w:rPr>
                <w:sz w:val="19"/>
                <w:szCs w:val="19"/>
                <w:color w:val="auto"/>
              </w:rPr>
            </w:pPr>
          </w:p>
        </w:tc>
        <w:tc>
          <w:tcPr>
            <w:tcW w:w="7500" w:type="dxa"/>
            <w:vAlign w:val="bottom"/>
            <w:tcBorders>
              <w:top w:val="single" w:sz="8" w:color="0000EE"/>
            </w:tcBorders>
            <w:gridSpan w:val="26"/>
          </w:tcPr>
          <w:p>
            <w:pPr>
              <w:spacing w:after="0" w:line="223" w:lineRule="exact"/>
              <w:rPr>
                <w:rFonts w:ascii="Arial" w:cs="Arial" w:eastAsia="Arial" w:hAnsi="Arial"/>
                <w:sz w:val="22"/>
                <w:szCs w:val="22"/>
                <w:b w:val="1"/>
                <w:bCs w:val="1"/>
                <w:color w:val="0000EE"/>
              </w:rPr>
            </w:pPr>
            <w:hyperlink w:anchor="page28">
              <w:r>
                <w:rPr>
                  <w:rFonts w:ascii="Arial" w:cs="Arial" w:eastAsia="Arial" w:hAnsi="Arial"/>
                  <w:sz w:val="22"/>
                  <w:szCs w:val="22"/>
                  <w:b w:val="1"/>
                  <w:bCs w:val="1"/>
                  <w:color w:val="0000EE"/>
                </w:rPr>
                <w:t>REGISTERED PUBLIC ACCOUNTING FIRM</w:t>
              </w:r>
            </w:hyperlink>
          </w:p>
        </w:tc>
        <w:tc>
          <w:tcPr>
            <w:tcW w:w="76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280" w:type="dxa"/>
            <w:vAlign w:val="bottom"/>
            <w:gridSpan w:val="3"/>
            <w:vMerge w:val="continue"/>
          </w:tcPr>
          <w:p>
            <w:pPr>
              <w:spacing w:after="0"/>
              <w:rPr>
                <w:sz w:val="19"/>
                <w:szCs w:val="19"/>
                <w:color w:val="auto"/>
              </w:rPr>
            </w:pPr>
          </w:p>
        </w:tc>
        <w:tc>
          <w:tcPr>
            <w:tcW w:w="6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760" w:type="dxa"/>
            <w:vAlign w:val="bottom"/>
            <w:gridSpan w:val="2"/>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920" w:type="dxa"/>
            <w:vAlign w:val="bottom"/>
            <w:gridSpan w:val="7"/>
            <w:shd w:val="clear" w:color="auto" w:fill="0000EE"/>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3320" w:type="dxa"/>
            <w:vAlign w:val="bottom"/>
            <w:gridSpan w:val="6"/>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4660" w:type="dxa"/>
            <w:vAlign w:val="bottom"/>
            <w:gridSpan w:val="20"/>
          </w:tcPr>
          <w:p>
            <w:pPr>
              <w:spacing w:after="0"/>
              <w:rPr>
                <w:rFonts w:ascii="Arial" w:cs="Arial" w:eastAsia="Arial" w:hAnsi="Arial"/>
                <w:sz w:val="16"/>
                <w:szCs w:val="16"/>
                <w:color w:val="0000EE"/>
              </w:rPr>
            </w:pPr>
            <w:hyperlink w:anchor="page28">
              <w:r>
                <w:rPr>
                  <w:rFonts w:ascii="Arial" w:cs="Arial" w:eastAsia="Arial" w:hAnsi="Arial"/>
                  <w:sz w:val="16"/>
                  <w:szCs w:val="16"/>
                  <w:color w:val="0000EE"/>
                </w:rPr>
                <w:t>Fees Paid to the Independent Registered Public Accounting Firm</w:t>
              </w:r>
            </w:hyperlink>
          </w:p>
        </w:tc>
        <w:tc>
          <w:tcPr>
            <w:tcW w:w="4160" w:type="dxa"/>
            <w:vAlign w:val="bottom"/>
            <w:gridSpan w:val="8"/>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28">
              <w:r>
                <w:rPr>
                  <w:rFonts w:ascii="Arial" w:cs="Arial" w:eastAsia="Arial" w:hAnsi="Arial"/>
                  <w:sz w:val="16"/>
                  <w:szCs w:val="16"/>
                  <w:b w:val="1"/>
                  <w:bCs w:val="1"/>
                  <w:color w:val="0000EE"/>
                </w:rPr>
                <w:t>24</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760" w:type="dxa"/>
            <w:vAlign w:val="bottom"/>
            <w:gridSpan w:val="2"/>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80" w:type="dxa"/>
            <w:vAlign w:val="bottom"/>
            <w:gridSpan w:val="10"/>
            <w:shd w:val="clear" w:color="auto" w:fill="0000EE"/>
          </w:tcPr>
          <w:p>
            <w:pPr>
              <w:spacing w:after="0" w:line="20" w:lineRule="exact"/>
              <w:rPr>
                <w:sz w:val="1"/>
                <w:szCs w:val="1"/>
                <w:color w:val="auto"/>
              </w:rPr>
            </w:pPr>
          </w:p>
        </w:tc>
        <w:tc>
          <w:tcPr>
            <w:tcW w:w="3320" w:type="dxa"/>
            <w:vAlign w:val="bottom"/>
            <w:gridSpan w:val="6"/>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Borders>
              <w:right w:val="single" w:sz="8" w:color="0000EE"/>
            </w:tcBorders>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4660" w:type="dxa"/>
            <w:vAlign w:val="bottom"/>
            <w:gridSpan w:val="20"/>
          </w:tcPr>
          <w:p>
            <w:pPr>
              <w:spacing w:after="0"/>
              <w:rPr>
                <w:rFonts w:ascii="Arial" w:cs="Arial" w:eastAsia="Arial" w:hAnsi="Arial"/>
                <w:sz w:val="16"/>
                <w:szCs w:val="16"/>
                <w:color w:val="0000EE"/>
              </w:rPr>
            </w:pPr>
            <w:hyperlink w:anchor="page29">
              <w:r>
                <w:rPr>
                  <w:rFonts w:ascii="Arial" w:cs="Arial" w:eastAsia="Arial" w:hAnsi="Arial"/>
                  <w:sz w:val="16"/>
                  <w:szCs w:val="16"/>
                  <w:color w:val="0000EE"/>
                </w:rPr>
                <w:t>Auditor Independence</w:t>
              </w:r>
            </w:hyperlink>
          </w:p>
        </w:tc>
        <w:tc>
          <w:tcPr>
            <w:tcW w:w="4160" w:type="dxa"/>
            <w:vAlign w:val="bottom"/>
            <w:gridSpan w:val="8"/>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29">
              <w:r>
                <w:rPr>
                  <w:rFonts w:ascii="Arial" w:cs="Arial" w:eastAsia="Arial" w:hAnsi="Arial"/>
                  <w:sz w:val="16"/>
                  <w:szCs w:val="16"/>
                  <w:b w:val="1"/>
                  <w:bCs w:val="1"/>
                  <w:color w:val="0000EE"/>
                </w:rPr>
                <w:t>25</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760" w:type="dxa"/>
            <w:vAlign w:val="bottom"/>
            <w:gridSpan w:val="2"/>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52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0" w:type="dxa"/>
            <w:vAlign w:val="bottom"/>
            <w:gridSpan w:val="16"/>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8"/>
          </w:tcPr>
          <w:p>
            <w:pPr>
              <w:spacing w:after="0"/>
              <w:rPr>
                <w:rFonts w:ascii="Arial" w:cs="Arial" w:eastAsia="Arial" w:hAnsi="Arial"/>
                <w:sz w:val="16"/>
                <w:szCs w:val="16"/>
                <w:color w:val="0000EE"/>
              </w:rPr>
            </w:pPr>
            <w:hyperlink w:anchor="page29">
              <w:r>
                <w:rPr>
                  <w:rFonts w:ascii="Arial" w:cs="Arial" w:eastAsia="Arial" w:hAnsi="Arial"/>
                  <w:sz w:val="16"/>
                  <w:szCs w:val="16"/>
                  <w:color w:val="0000EE"/>
                </w:rPr>
                <w:t>Audit Committee Policy on Pre-Approval of Audit and Permissible Non-Audit Services of Independent Registered Public</w:t>
              </w:r>
            </w:hyperlink>
          </w:p>
        </w:tc>
        <w:tc>
          <w:tcPr>
            <w:tcW w:w="280" w:type="dxa"/>
            <w:vAlign w:val="bottom"/>
            <w:gridSpan w:val="3"/>
            <w:vMerge w:val="restart"/>
          </w:tcPr>
          <w:p>
            <w:pPr>
              <w:jc w:val="right"/>
              <w:spacing w:after="0"/>
              <w:rPr>
                <w:rFonts w:ascii="Arial" w:cs="Arial" w:eastAsia="Arial" w:hAnsi="Arial"/>
                <w:sz w:val="16"/>
                <w:szCs w:val="16"/>
                <w:b w:val="1"/>
                <w:bCs w:val="1"/>
                <w:color w:val="0000EE"/>
              </w:rPr>
            </w:pPr>
            <w:hyperlink w:anchor="page29">
              <w:r>
                <w:rPr>
                  <w:rFonts w:ascii="Arial" w:cs="Arial" w:eastAsia="Arial" w:hAnsi="Arial"/>
                  <w:sz w:val="16"/>
                  <w:szCs w:val="16"/>
                  <w:b w:val="1"/>
                  <w:bCs w:val="1"/>
                  <w:color w:val="0000EE"/>
                </w:rPr>
                <w:t>25</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7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260" w:type="dxa"/>
            <w:vAlign w:val="bottom"/>
            <w:tcBorders>
              <w:top w:val="single" w:sz="8" w:color="0000EE"/>
            </w:tcBorders>
          </w:tcPr>
          <w:p>
            <w:pPr>
              <w:spacing w:after="0"/>
              <w:rPr>
                <w:sz w:val="14"/>
                <w:szCs w:val="14"/>
                <w:color w:val="auto"/>
              </w:rPr>
            </w:pPr>
          </w:p>
        </w:tc>
        <w:tc>
          <w:tcPr>
            <w:tcW w:w="1180" w:type="dxa"/>
            <w:vAlign w:val="bottom"/>
            <w:tcBorders>
              <w:top w:val="single" w:sz="8" w:color="0000EE"/>
            </w:tcBorders>
            <w:gridSpan w:val="4"/>
          </w:tcPr>
          <w:p>
            <w:pPr>
              <w:spacing w:after="0" w:line="169" w:lineRule="exact"/>
              <w:rPr>
                <w:rFonts w:ascii="Arial" w:cs="Arial" w:eastAsia="Arial" w:hAnsi="Arial"/>
                <w:sz w:val="16"/>
                <w:szCs w:val="16"/>
                <w:color w:val="0000EE"/>
              </w:rPr>
            </w:pPr>
            <w:hyperlink w:anchor="page29">
              <w:r>
                <w:rPr>
                  <w:rFonts w:ascii="Arial" w:cs="Arial" w:eastAsia="Arial" w:hAnsi="Arial"/>
                  <w:sz w:val="16"/>
                  <w:szCs w:val="16"/>
                  <w:color w:val="0000EE"/>
                </w:rPr>
                <w:t>Accounting Firm</w:t>
              </w:r>
            </w:hyperlink>
          </w:p>
        </w:tc>
        <w:tc>
          <w:tcPr>
            <w:tcW w:w="7100" w:type="dxa"/>
            <w:vAlign w:val="bottom"/>
            <w:tcBorders>
              <w:top w:val="single" w:sz="8" w:color="0000EE"/>
            </w:tcBorders>
            <w:gridSpan w:val="22"/>
          </w:tcPr>
          <w:p>
            <w:pPr>
              <w:spacing w:after="0"/>
              <w:rPr>
                <w:sz w:val="14"/>
                <w:szCs w:val="14"/>
                <w:color w:val="auto"/>
              </w:rPr>
            </w:pPr>
          </w:p>
        </w:tc>
        <w:tc>
          <w:tcPr>
            <w:tcW w:w="280" w:type="dxa"/>
            <w:vAlign w:val="bottom"/>
          </w:tcPr>
          <w:p>
            <w:pPr>
              <w:spacing w:after="0"/>
              <w:rPr>
                <w:sz w:val="14"/>
                <w:szCs w:val="14"/>
                <w:color w:val="auto"/>
              </w:rPr>
            </w:pPr>
          </w:p>
        </w:tc>
        <w:tc>
          <w:tcPr>
            <w:tcW w:w="28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60" w:type="dxa"/>
            <w:vAlign w:val="bottom"/>
            <w:gridSpan w:val="2"/>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66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0" w:type="dxa"/>
            <w:vAlign w:val="bottom"/>
            <w:gridSpan w:val="16"/>
          </w:tcPr>
          <w:p>
            <w:pPr>
              <w:spacing w:after="0" w:line="20" w:lineRule="exact"/>
              <w:rPr>
                <w:sz w:val="1"/>
                <w:szCs w:val="1"/>
                <w:color w:val="auto"/>
              </w:rPr>
            </w:pPr>
          </w:p>
        </w:tc>
        <w:tc>
          <w:tcPr>
            <w:tcW w:w="840" w:type="dxa"/>
            <w:vAlign w:val="bottom"/>
            <w:gridSpan w:val="2"/>
          </w:tcPr>
          <w:p>
            <w:pPr>
              <w:spacing w:after="0" w:line="20" w:lineRule="exact"/>
              <w:rPr>
                <w:sz w:val="1"/>
                <w:szCs w:val="1"/>
                <w:color w:val="auto"/>
              </w:rPr>
            </w:pPr>
          </w:p>
        </w:tc>
        <w:tc>
          <w:tcPr>
            <w:tcW w:w="200" w:type="dxa"/>
            <w:vAlign w:val="bottom"/>
            <w:tcBorders>
              <w:right w:val="single" w:sz="8" w:color="0000EE"/>
            </w:tcBorders>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8"/>
          </w:tcPr>
          <w:p>
            <w:pPr>
              <w:spacing w:after="0"/>
              <w:rPr>
                <w:rFonts w:ascii="Arial" w:cs="Arial" w:eastAsia="Arial" w:hAnsi="Arial"/>
                <w:sz w:val="16"/>
                <w:szCs w:val="16"/>
                <w:color w:val="0000EE"/>
              </w:rPr>
            </w:pPr>
            <w:hyperlink w:anchor="page29">
              <w:r>
                <w:rPr>
                  <w:rFonts w:ascii="Arial" w:cs="Arial" w:eastAsia="Arial" w:hAnsi="Arial"/>
                  <w:sz w:val="16"/>
                  <w:szCs w:val="16"/>
                  <w:color w:val="0000EE"/>
                </w:rPr>
                <w:t>Vote Required</w:t>
              </w:r>
            </w:hyperlink>
          </w:p>
        </w:tc>
        <w:tc>
          <w:tcPr>
            <w:tcW w:w="280" w:type="dxa"/>
            <w:vAlign w:val="bottom"/>
            <w:gridSpan w:val="3"/>
          </w:tcPr>
          <w:p>
            <w:pPr>
              <w:jc w:val="right"/>
              <w:spacing w:after="0"/>
              <w:rPr>
                <w:rFonts w:ascii="Arial" w:cs="Arial" w:eastAsia="Arial" w:hAnsi="Arial"/>
                <w:sz w:val="16"/>
                <w:szCs w:val="16"/>
                <w:b w:val="1"/>
                <w:bCs w:val="1"/>
                <w:color w:val="0000EE"/>
              </w:rPr>
            </w:pPr>
            <w:hyperlink w:anchor="page29">
              <w:r>
                <w:rPr>
                  <w:rFonts w:ascii="Arial" w:cs="Arial" w:eastAsia="Arial" w:hAnsi="Arial"/>
                  <w:sz w:val="16"/>
                  <w:szCs w:val="16"/>
                  <w:b w:val="1"/>
                  <w:bCs w:val="1"/>
                  <w:color w:val="0000EE"/>
                </w:rPr>
                <w:t>25</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20" w:type="dxa"/>
            <w:vAlign w:val="bottom"/>
            <w:gridSpan w:val="3"/>
            <w:shd w:val="clear" w:color="auto" w:fill="0000EE"/>
          </w:tcPr>
          <w:p>
            <w:pPr>
              <w:spacing w:after="0" w:line="20" w:lineRule="exact"/>
              <w:rPr>
                <w:sz w:val="1"/>
                <w:szCs w:val="1"/>
                <w:color w:val="auto"/>
              </w:rPr>
            </w:pPr>
          </w:p>
        </w:tc>
        <w:tc>
          <w:tcPr>
            <w:tcW w:w="1080" w:type="dxa"/>
            <w:vAlign w:val="bottom"/>
            <w:gridSpan w:val="6"/>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0" w:type="dxa"/>
            <w:vAlign w:val="bottom"/>
            <w:gridSpan w:val="16"/>
          </w:tcPr>
          <w:p>
            <w:pPr>
              <w:spacing w:after="0" w:line="20" w:lineRule="exact"/>
              <w:rPr>
                <w:sz w:val="1"/>
                <w:szCs w:val="1"/>
                <w:color w:val="auto"/>
              </w:rPr>
            </w:pPr>
          </w:p>
        </w:tc>
        <w:tc>
          <w:tcPr>
            <w:tcW w:w="840" w:type="dxa"/>
            <w:vAlign w:val="bottom"/>
            <w:gridSpan w:val="2"/>
          </w:tcPr>
          <w:p>
            <w:pPr>
              <w:spacing w:after="0" w:line="20" w:lineRule="exact"/>
              <w:rPr>
                <w:sz w:val="1"/>
                <w:szCs w:val="1"/>
                <w:color w:val="auto"/>
              </w:rPr>
            </w:pPr>
          </w:p>
        </w:tc>
        <w:tc>
          <w:tcPr>
            <w:tcW w:w="200" w:type="dxa"/>
            <w:vAlign w:val="bottom"/>
            <w:tcBorders>
              <w:right w:val="single" w:sz="8" w:color="0000EE"/>
            </w:tcBorders>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180" w:type="dxa"/>
            <w:vAlign w:val="bottom"/>
            <w:gridSpan w:val="10"/>
          </w:tcPr>
          <w:p>
            <w:pPr>
              <w:spacing w:after="0"/>
              <w:rPr>
                <w:rFonts w:ascii="Arial" w:cs="Arial" w:eastAsia="Arial" w:hAnsi="Arial"/>
                <w:sz w:val="16"/>
                <w:szCs w:val="16"/>
                <w:color w:val="0000EE"/>
              </w:rPr>
            </w:pPr>
            <w:hyperlink w:anchor="page30">
              <w:r>
                <w:rPr>
                  <w:rFonts w:ascii="Arial" w:cs="Arial" w:eastAsia="Arial" w:hAnsi="Arial"/>
                  <w:sz w:val="16"/>
                  <w:szCs w:val="16"/>
                  <w:color w:val="0000EE"/>
                </w:rPr>
                <w:t>Report of the Audit Committee</w:t>
              </w:r>
            </w:hyperlink>
          </w:p>
        </w:tc>
        <w:tc>
          <w:tcPr>
            <w:tcW w:w="6640" w:type="dxa"/>
            <w:vAlign w:val="bottom"/>
            <w:gridSpan w:val="18"/>
          </w:tcPr>
          <w:p>
            <w:pPr>
              <w:spacing w:after="0"/>
              <w:rPr>
                <w:sz w:val="24"/>
                <w:szCs w:val="24"/>
                <w:color w:val="auto"/>
              </w:rPr>
            </w:pPr>
          </w:p>
        </w:tc>
        <w:tc>
          <w:tcPr>
            <w:tcW w:w="280" w:type="dxa"/>
            <w:vAlign w:val="bottom"/>
            <w:gridSpan w:val="3"/>
          </w:tcPr>
          <w:p>
            <w:pPr>
              <w:jc w:val="right"/>
              <w:spacing w:after="0"/>
              <w:rPr>
                <w:rFonts w:ascii="Arial" w:cs="Arial" w:eastAsia="Arial" w:hAnsi="Arial"/>
                <w:sz w:val="16"/>
                <w:szCs w:val="16"/>
                <w:b w:val="1"/>
                <w:bCs w:val="1"/>
                <w:color w:val="0000EE"/>
              </w:rPr>
            </w:pPr>
            <w:hyperlink w:anchor="page30">
              <w:r>
                <w:rPr>
                  <w:rFonts w:ascii="Arial" w:cs="Arial" w:eastAsia="Arial" w:hAnsi="Arial"/>
                  <w:sz w:val="16"/>
                  <w:szCs w:val="16"/>
                  <w:b w:val="1"/>
                  <w:bCs w:val="1"/>
                  <w:color w:val="0000EE"/>
                </w:rPr>
                <w:t>26</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20" w:type="dxa"/>
            <w:vAlign w:val="bottom"/>
            <w:gridSpan w:val="3"/>
            <w:shd w:val="clear" w:color="auto" w:fill="0000EE"/>
          </w:tcPr>
          <w:p>
            <w:pPr>
              <w:spacing w:after="0" w:line="20" w:lineRule="exact"/>
              <w:rPr>
                <w:sz w:val="1"/>
                <w:szCs w:val="1"/>
                <w:color w:val="auto"/>
              </w:rPr>
            </w:pPr>
          </w:p>
        </w:tc>
        <w:tc>
          <w:tcPr>
            <w:tcW w:w="1080" w:type="dxa"/>
            <w:vAlign w:val="bottom"/>
            <w:gridSpan w:val="6"/>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5800" w:type="dxa"/>
            <w:vAlign w:val="bottom"/>
            <w:gridSpan w:val="16"/>
          </w:tcPr>
          <w:p>
            <w:pPr>
              <w:spacing w:after="0" w:line="20" w:lineRule="exact"/>
              <w:rPr>
                <w:sz w:val="1"/>
                <w:szCs w:val="1"/>
                <w:color w:val="auto"/>
              </w:rPr>
            </w:pPr>
          </w:p>
        </w:tc>
        <w:tc>
          <w:tcPr>
            <w:tcW w:w="8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20"/>
        </w:trPr>
        <w:tc>
          <w:tcPr>
            <w:tcW w:w="780" w:type="dxa"/>
            <w:vAlign w:val="bottom"/>
          </w:tcPr>
          <w:p>
            <w:pPr>
              <w:spacing w:after="0"/>
              <w:rPr>
                <w:sz w:val="24"/>
                <w:szCs w:val="24"/>
                <w:color w:val="auto"/>
              </w:rPr>
            </w:pPr>
          </w:p>
        </w:tc>
        <w:tc>
          <w:tcPr>
            <w:tcW w:w="9100" w:type="dxa"/>
            <w:vAlign w:val="bottom"/>
            <w:gridSpan w:val="29"/>
          </w:tcPr>
          <w:p>
            <w:pPr>
              <w:spacing w:after="0"/>
              <w:rPr>
                <w:rFonts w:ascii="Arial" w:cs="Arial" w:eastAsia="Arial" w:hAnsi="Arial"/>
                <w:sz w:val="22"/>
                <w:szCs w:val="22"/>
                <w:b w:val="1"/>
                <w:bCs w:val="1"/>
                <w:color w:val="0000EE"/>
              </w:rPr>
            </w:pPr>
            <w:hyperlink w:anchor="page31">
              <w:r>
                <w:rPr>
                  <w:rFonts w:ascii="Arial" w:cs="Arial" w:eastAsia="Arial" w:hAnsi="Arial"/>
                  <w:sz w:val="22"/>
                  <w:szCs w:val="22"/>
                  <w:b w:val="1"/>
                  <w:bCs w:val="1"/>
                  <w:color w:val="0000EE"/>
                </w:rPr>
                <w:t>PROPOSAL NO. 3—ADVISORY VOTE ON THE COMPENSATION OF OUR NAMED</w:t>
              </w:r>
            </w:hyperlink>
          </w:p>
        </w:tc>
        <w:tc>
          <w:tcPr>
            <w:tcW w:w="280" w:type="dxa"/>
            <w:vAlign w:val="bottom"/>
            <w:gridSpan w:val="3"/>
            <w:vMerge w:val="restart"/>
          </w:tcPr>
          <w:p>
            <w:pPr>
              <w:jc w:val="right"/>
              <w:spacing w:after="0"/>
              <w:rPr>
                <w:rFonts w:ascii="Arial" w:cs="Arial" w:eastAsia="Arial" w:hAnsi="Arial"/>
                <w:sz w:val="22"/>
                <w:szCs w:val="22"/>
                <w:b w:val="1"/>
                <w:bCs w:val="1"/>
                <w:color w:val="0000EE"/>
              </w:rPr>
            </w:pPr>
            <w:hyperlink w:anchor="page31">
              <w:r>
                <w:rPr>
                  <w:rFonts w:ascii="Arial" w:cs="Arial" w:eastAsia="Arial" w:hAnsi="Arial"/>
                  <w:sz w:val="22"/>
                  <w:szCs w:val="22"/>
                  <w:b w:val="1"/>
                  <w:bCs w:val="1"/>
                  <w:color w:val="0000EE"/>
                </w:rPr>
                <w:t>27</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780" w:type="dxa"/>
            <w:vAlign w:val="bottom"/>
          </w:tcPr>
          <w:p>
            <w:pPr>
              <w:spacing w:after="0"/>
              <w:rPr>
                <w:sz w:val="19"/>
                <w:szCs w:val="19"/>
                <w:color w:val="auto"/>
              </w:rPr>
            </w:pPr>
          </w:p>
        </w:tc>
        <w:tc>
          <w:tcPr>
            <w:tcW w:w="8260" w:type="dxa"/>
            <w:vAlign w:val="bottom"/>
            <w:tcBorders>
              <w:top w:val="single" w:sz="8" w:color="0000EE"/>
            </w:tcBorders>
            <w:gridSpan w:val="27"/>
          </w:tcPr>
          <w:p>
            <w:pPr>
              <w:spacing w:after="0" w:line="223" w:lineRule="exact"/>
              <w:rPr>
                <w:rFonts w:ascii="Arial" w:cs="Arial" w:eastAsia="Arial" w:hAnsi="Arial"/>
                <w:sz w:val="22"/>
                <w:szCs w:val="22"/>
                <w:b w:val="1"/>
                <w:bCs w:val="1"/>
                <w:color w:val="0000EE"/>
              </w:rPr>
            </w:pPr>
            <w:hyperlink w:anchor="page31">
              <w:r>
                <w:rPr>
                  <w:rFonts w:ascii="Arial" w:cs="Arial" w:eastAsia="Arial" w:hAnsi="Arial"/>
                  <w:sz w:val="22"/>
                  <w:szCs w:val="22"/>
                  <w:b w:val="1"/>
                  <w:bCs w:val="1"/>
                  <w:color w:val="0000EE"/>
                </w:rPr>
                <w:t>EXECUTIVE OFFICERS</w:t>
              </w:r>
            </w:hyperlink>
          </w:p>
        </w:tc>
        <w:tc>
          <w:tcPr>
            <w:tcW w:w="840" w:type="dxa"/>
            <w:vAlign w:val="bottom"/>
            <w:gridSpan w:val="2"/>
          </w:tcPr>
          <w:p>
            <w:pPr>
              <w:spacing w:after="0"/>
              <w:rPr>
                <w:sz w:val="19"/>
                <w:szCs w:val="19"/>
                <w:color w:val="auto"/>
              </w:rPr>
            </w:pPr>
          </w:p>
        </w:tc>
        <w:tc>
          <w:tcPr>
            <w:tcW w:w="280" w:type="dxa"/>
            <w:vAlign w:val="bottom"/>
            <w:gridSpan w:val="3"/>
            <w:vMerge w:val="continue"/>
          </w:tcPr>
          <w:p>
            <w:pPr>
              <w:spacing w:after="0"/>
              <w:rPr>
                <w:sz w:val="19"/>
                <w:szCs w:val="19"/>
                <w:color w:val="auto"/>
              </w:rPr>
            </w:pPr>
          </w:p>
        </w:tc>
        <w:tc>
          <w:tcPr>
            <w:tcW w:w="6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4"/>
        </w:trPr>
        <w:tc>
          <w:tcPr>
            <w:tcW w:w="780" w:type="dxa"/>
            <w:vAlign w:val="bottom"/>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2100" w:type="dxa"/>
            <w:vAlign w:val="bottom"/>
            <w:tcBorders>
              <w:top w:val="single" w:sz="8" w:color="0000EE"/>
            </w:tcBorders>
            <w:gridSpan w:val="9"/>
          </w:tcPr>
          <w:p>
            <w:pPr>
              <w:spacing w:after="0"/>
              <w:rPr>
                <w:rFonts w:ascii="Arial" w:cs="Arial" w:eastAsia="Arial" w:hAnsi="Arial"/>
                <w:sz w:val="16"/>
                <w:szCs w:val="16"/>
                <w:color w:val="0000EE"/>
              </w:rPr>
            </w:pPr>
            <w:hyperlink w:anchor="page31">
              <w:r>
                <w:rPr>
                  <w:rFonts w:ascii="Arial" w:cs="Arial" w:eastAsia="Arial" w:hAnsi="Arial"/>
                  <w:sz w:val="16"/>
                  <w:szCs w:val="16"/>
                  <w:color w:val="0000EE"/>
                </w:rPr>
                <w:t>Vote Required</w:t>
              </w:r>
            </w:hyperlink>
          </w:p>
        </w:tc>
        <w:tc>
          <w:tcPr>
            <w:tcW w:w="6720" w:type="dxa"/>
            <w:vAlign w:val="bottom"/>
            <w:gridSpan w:val="19"/>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Borders>
              <w:top w:val="single" w:sz="8" w:color="0000EE"/>
            </w:tcBorders>
            <w:gridSpan w:val="2"/>
          </w:tcPr>
          <w:p>
            <w:pPr>
              <w:jc w:val="right"/>
              <w:spacing w:after="0"/>
              <w:rPr>
                <w:rFonts w:ascii="Arial" w:cs="Arial" w:eastAsia="Arial" w:hAnsi="Arial"/>
                <w:sz w:val="16"/>
                <w:szCs w:val="16"/>
                <w:b w:val="1"/>
                <w:bCs w:val="1"/>
                <w:color w:val="0000EE"/>
              </w:rPr>
            </w:pPr>
            <w:hyperlink w:anchor="page31">
              <w:r>
                <w:rPr>
                  <w:rFonts w:ascii="Arial" w:cs="Arial" w:eastAsia="Arial" w:hAnsi="Arial"/>
                  <w:sz w:val="16"/>
                  <w:szCs w:val="16"/>
                  <w:b w:val="1"/>
                  <w:bCs w:val="1"/>
                  <w:color w:val="0000EE"/>
                </w:rPr>
                <w:t>27</w:t>
              </w:r>
            </w:hyperlink>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78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60" w:type="dxa"/>
            <w:vAlign w:val="bottom"/>
            <w:tcBorders>
              <w:top w:val="single" w:sz="8" w:color="0000EE"/>
              <w:bottom w:val="single" w:sz="8" w:color="auto"/>
            </w:tcBorders>
          </w:tcPr>
          <w:p>
            <w:pPr>
              <w:spacing w:after="0"/>
              <w:rPr>
                <w:sz w:val="24"/>
                <w:szCs w:val="24"/>
                <w:color w:val="auto"/>
              </w:rPr>
            </w:pPr>
          </w:p>
        </w:tc>
        <w:tc>
          <w:tcPr>
            <w:tcW w:w="460" w:type="dxa"/>
            <w:vAlign w:val="bottom"/>
            <w:tcBorders>
              <w:top w:val="single" w:sz="8" w:color="0000EE"/>
              <w:bottom w:val="single" w:sz="8" w:color="auto"/>
            </w:tcBorders>
          </w:tcPr>
          <w:p>
            <w:pPr>
              <w:spacing w:after="0"/>
              <w:rPr>
                <w:sz w:val="24"/>
                <w:szCs w:val="24"/>
                <w:color w:val="auto"/>
              </w:rPr>
            </w:pPr>
          </w:p>
        </w:tc>
        <w:tc>
          <w:tcPr>
            <w:tcW w:w="300" w:type="dxa"/>
            <w:vAlign w:val="bottom"/>
            <w:tcBorders>
              <w:top w:val="single" w:sz="8" w:color="0000EE"/>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4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top w:val="single" w:sz="8" w:color="0000EE"/>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63" w:right="439" w:bottom="1440" w:gutter="0" w:footer="0" w:header="0"/>
        </w:sectPr>
      </w:pPr>
    </w:p>
    <w:bookmarkStart w:id="3" w:name="page4"/>
    <w:bookmarkEnd w:id="3"/>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TABLE OF CONTENTS (continued)</w:t>
      </w:r>
    </w:p>
    <w:p>
      <w:pPr>
        <w:spacing w:after="0" w:line="200" w:lineRule="exact"/>
        <w:rPr>
          <w:sz w:val="20"/>
          <w:szCs w:val="20"/>
          <w:color w:val="auto"/>
        </w:rPr>
      </w:pPr>
    </w:p>
    <w:p>
      <w:pPr>
        <w:spacing w:after="0" w:line="383"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7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0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140" w:type="dxa"/>
            <w:vAlign w:val="bottom"/>
            <w:gridSpan w:val="4"/>
          </w:tcPr>
          <w:p>
            <w:pPr>
              <w:jc w:val="right"/>
              <w:ind w:right="780"/>
              <w:spacing w:after="0"/>
              <w:rPr>
                <w:sz w:val="20"/>
                <w:szCs w:val="20"/>
                <w:color w:val="auto"/>
              </w:rPr>
            </w:pPr>
            <w:r>
              <w:rPr>
                <w:rFonts w:ascii="Arial" w:cs="Arial" w:eastAsia="Arial" w:hAnsi="Arial"/>
                <w:sz w:val="14"/>
                <w:szCs w:val="14"/>
                <w:b w:val="1"/>
                <w:bCs w:val="1"/>
                <w:color w:val="auto"/>
              </w:rPr>
              <w:t>Page</w:t>
            </w:r>
          </w:p>
        </w:tc>
      </w:tr>
      <w:tr>
        <w:trPr>
          <w:trHeight w:val="69"/>
        </w:trPr>
        <w:tc>
          <w:tcPr>
            <w:tcW w:w="780" w:type="dxa"/>
            <w:vAlign w:val="bottom"/>
          </w:tcPr>
          <w:p>
            <w:pPr>
              <w:spacing w:after="0"/>
              <w:rPr>
                <w:sz w:val="6"/>
                <w:szCs w:val="6"/>
                <w:color w:val="auto"/>
              </w:rPr>
            </w:pPr>
          </w:p>
        </w:tc>
        <w:tc>
          <w:tcPr>
            <w:tcW w:w="280" w:type="dxa"/>
            <w:vAlign w:val="bottom"/>
          </w:tcPr>
          <w:p>
            <w:pPr>
              <w:spacing w:after="0"/>
              <w:rPr>
                <w:sz w:val="6"/>
                <w:szCs w:val="6"/>
                <w:color w:val="auto"/>
              </w:rPr>
            </w:pPr>
          </w:p>
        </w:tc>
        <w:tc>
          <w:tcPr>
            <w:tcW w:w="1040" w:type="dxa"/>
            <w:vAlign w:val="bottom"/>
          </w:tcPr>
          <w:p>
            <w:pPr>
              <w:spacing w:after="0"/>
              <w:rPr>
                <w:sz w:val="6"/>
                <w:szCs w:val="6"/>
                <w:color w:val="auto"/>
              </w:rPr>
            </w:pPr>
          </w:p>
        </w:tc>
        <w:tc>
          <w:tcPr>
            <w:tcW w:w="60" w:type="dxa"/>
            <w:vAlign w:val="bottom"/>
          </w:tcPr>
          <w:p>
            <w:pPr>
              <w:spacing w:after="0"/>
              <w:rPr>
                <w:sz w:val="6"/>
                <w:szCs w:val="6"/>
                <w:color w:val="auto"/>
              </w:rPr>
            </w:pPr>
          </w:p>
        </w:tc>
        <w:tc>
          <w:tcPr>
            <w:tcW w:w="220" w:type="dxa"/>
            <w:vAlign w:val="bottom"/>
          </w:tcPr>
          <w:p>
            <w:pPr>
              <w:spacing w:after="0"/>
              <w:rPr>
                <w:sz w:val="6"/>
                <w:szCs w:val="6"/>
                <w:color w:val="auto"/>
              </w:rPr>
            </w:pPr>
          </w:p>
        </w:tc>
        <w:tc>
          <w:tcPr>
            <w:tcW w:w="120" w:type="dxa"/>
            <w:vAlign w:val="bottom"/>
          </w:tcPr>
          <w:p>
            <w:pPr>
              <w:spacing w:after="0"/>
              <w:rPr>
                <w:sz w:val="6"/>
                <w:szCs w:val="6"/>
                <w:color w:val="auto"/>
              </w:rPr>
            </w:pPr>
          </w:p>
        </w:tc>
        <w:tc>
          <w:tcPr>
            <w:tcW w:w="12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0" w:type="dxa"/>
            <w:vAlign w:val="bottom"/>
          </w:tcPr>
          <w:p>
            <w:pPr>
              <w:spacing w:after="0"/>
              <w:rPr>
                <w:sz w:val="6"/>
                <w:szCs w:val="6"/>
                <w:color w:val="auto"/>
              </w:rPr>
            </w:pPr>
          </w:p>
        </w:tc>
        <w:tc>
          <w:tcPr>
            <w:tcW w:w="14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160" w:type="dxa"/>
            <w:vAlign w:val="bottom"/>
          </w:tcPr>
          <w:p>
            <w:pPr>
              <w:spacing w:after="0"/>
              <w:rPr>
                <w:sz w:val="6"/>
                <w:szCs w:val="6"/>
                <w:color w:val="auto"/>
              </w:rPr>
            </w:pPr>
          </w:p>
        </w:tc>
        <w:tc>
          <w:tcPr>
            <w:tcW w:w="60" w:type="dxa"/>
            <w:vAlign w:val="bottom"/>
          </w:tcPr>
          <w:p>
            <w:pPr>
              <w:spacing w:after="0"/>
              <w:rPr>
                <w:sz w:val="6"/>
                <w:szCs w:val="6"/>
                <w:color w:val="auto"/>
              </w:rPr>
            </w:pPr>
          </w:p>
        </w:tc>
        <w:tc>
          <w:tcPr>
            <w:tcW w:w="16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14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40" w:type="dxa"/>
            <w:vAlign w:val="bottom"/>
          </w:tcPr>
          <w:p>
            <w:pPr>
              <w:spacing w:after="0"/>
              <w:rPr>
                <w:sz w:val="6"/>
                <w:szCs w:val="6"/>
                <w:color w:val="auto"/>
              </w:rPr>
            </w:pPr>
          </w:p>
        </w:tc>
        <w:tc>
          <w:tcPr>
            <w:tcW w:w="300" w:type="dxa"/>
            <w:vAlign w:val="bottom"/>
          </w:tcPr>
          <w:p>
            <w:pPr>
              <w:spacing w:after="0"/>
              <w:rPr>
                <w:sz w:val="6"/>
                <w:szCs w:val="6"/>
                <w:color w:val="auto"/>
              </w:rPr>
            </w:pPr>
          </w:p>
        </w:tc>
        <w:tc>
          <w:tcPr>
            <w:tcW w:w="60" w:type="dxa"/>
            <w:vAlign w:val="bottom"/>
          </w:tcPr>
          <w:p>
            <w:pPr>
              <w:spacing w:after="0"/>
              <w:rPr>
                <w:sz w:val="6"/>
                <w:szCs w:val="6"/>
                <w:color w:val="auto"/>
              </w:rPr>
            </w:pPr>
          </w:p>
        </w:tc>
        <w:tc>
          <w:tcPr>
            <w:tcW w:w="80" w:type="dxa"/>
            <w:vAlign w:val="bottom"/>
          </w:tcPr>
          <w:p>
            <w:pPr>
              <w:spacing w:after="0"/>
              <w:rPr>
                <w:sz w:val="6"/>
                <w:szCs w:val="6"/>
                <w:color w:val="auto"/>
              </w:rPr>
            </w:pPr>
          </w:p>
        </w:tc>
        <w:tc>
          <w:tcPr>
            <w:tcW w:w="380" w:type="dxa"/>
            <w:vAlign w:val="bottom"/>
          </w:tcPr>
          <w:p>
            <w:pPr>
              <w:spacing w:after="0"/>
              <w:rPr>
                <w:sz w:val="6"/>
                <w:szCs w:val="6"/>
                <w:color w:val="auto"/>
              </w:rPr>
            </w:pPr>
          </w:p>
        </w:tc>
        <w:tc>
          <w:tcPr>
            <w:tcW w:w="920" w:type="dxa"/>
            <w:vAlign w:val="bottom"/>
          </w:tcPr>
          <w:p>
            <w:pPr>
              <w:spacing w:after="0"/>
              <w:rPr>
                <w:sz w:val="6"/>
                <w:szCs w:val="6"/>
                <w:color w:val="auto"/>
              </w:rPr>
            </w:pPr>
          </w:p>
        </w:tc>
        <w:tc>
          <w:tcPr>
            <w:tcW w:w="2000" w:type="dxa"/>
            <w:vAlign w:val="bottom"/>
          </w:tcPr>
          <w:p>
            <w:pPr>
              <w:spacing w:after="0"/>
              <w:rPr>
                <w:sz w:val="6"/>
                <w:szCs w:val="6"/>
                <w:color w:val="auto"/>
              </w:rPr>
            </w:pPr>
          </w:p>
        </w:tc>
        <w:tc>
          <w:tcPr>
            <w:tcW w:w="640" w:type="dxa"/>
            <w:vAlign w:val="bottom"/>
          </w:tcPr>
          <w:p>
            <w:pPr>
              <w:spacing w:after="0"/>
              <w:rPr>
                <w:sz w:val="6"/>
                <w:szCs w:val="6"/>
                <w:color w:val="auto"/>
              </w:rPr>
            </w:pPr>
          </w:p>
        </w:tc>
        <w:tc>
          <w:tcPr>
            <w:tcW w:w="700" w:type="dxa"/>
            <w:vAlign w:val="bottom"/>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180" w:type="dxa"/>
            <w:vAlign w:val="bottom"/>
            <w:tcBorders>
              <w:bottom w:val="single" w:sz="8" w:color="auto"/>
            </w:tcBorders>
          </w:tcPr>
          <w:p>
            <w:pPr>
              <w:spacing w:after="0"/>
              <w:rPr>
                <w:sz w:val="6"/>
                <w:szCs w:val="6"/>
                <w:color w:val="auto"/>
              </w:rPr>
            </w:pPr>
          </w:p>
        </w:tc>
        <w:tc>
          <w:tcPr>
            <w:tcW w:w="800" w:type="dxa"/>
            <w:vAlign w:val="bottom"/>
          </w:tcPr>
          <w:p>
            <w:pPr>
              <w:spacing w:after="0"/>
              <w:rPr>
                <w:sz w:val="6"/>
                <w:szCs w:val="6"/>
                <w:color w:val="auto"/>
              </w:rPr>
            </w:pPr>
          </w:p>
        </w:tc>
      </w:tr>
      <w:tr>
        <w:trPr>
          <w:trHeight w:val="439"/>
        </w:trPr>
        <w:tc>
          <w:tcPr>
            <w:tcW w:w="780" w:type="dxa"/>
            <w:vAlign w:val="bottom"/>
          </w:tcPr>
          <w:p>
            <w:pPr>
              <w:spacing w:after="0"/>
              <w:rPr>
                <w:sz w:val="24"/>
                <w:szCs w:val="24"/>
                <w:color w:val="auto"/>
              </w:rPr>
            </w:pPr>
          </w:p>
        </w:tc>
        <w:tc>
          <w:tcPr>
            <w:tcW w:w="9100" w:type="dxa"/>
            <w:vAlign w:val="bottom"/>
            <w:gridSpan w:val="28"/>
          </w:tcPr>
          <w:p>
            <w:pPr>
              <w:spacing w:after="0"/>
              <w:rPr>
                <w:rFonts w:ascii="Arial" w:cs="Arial" w:eastAsia="Arial" w:hAnsi="Arial"/>
                <w:sz w:val="22"/>
                <w:szCs w:val="22"/>
                <w:b w:val="1"/>
                <w:bCs w:val="1"/>
                <w:color w:val="0000EE"/>
              </w:rPr>
            </w:pPr>
            <w:hyperlink w:anchor="page32">
              <w:r>
                <w:rPr>
                  <w:rFonts w:ascii="Arial" w:cs="Arial" w:eastAsia="Arial" w:hAnsi="Arial"/>
                  <w:sz w:val="22"/>
                  <w:szCs w:val="22"/>
                  <w:b w:val="1"/>
                  <w:bCs w:val="1"/>
                  <w:color w:val="0000EE"/>
                </w:rPr>
                <w:t>EXECUTIVE OFFICERS</w:t>
              </w:r>
            </w:hyperlink>
          </w:p>
        </w:tc>
        <w:tc>
          <w:tcPr>
            <w:tcW w:w="340" w:type="dxa"/>
            <w:vAlign w:val="bottom"/>
            <w:gridSpan w:val="3"/>
          </w:tcPr>
          <w:p>
            <w:pPr>
              <w:jc w:val="right"/>
              <w:spacing w:after="0"/>
              <w:rPr>
                <w:rFonts w:ascii="Arial" w:cs="Arial" w:eastAsia="Arial" w:hAnsi="Arial"/>
                <w:sz w:val="22"/>
                <w:szCs w:val="22"/>
                <w:b w:val="1"/>
                <w:bCs w:val="1"/>
                <w:color w:val="0000EE"/>
              </w:rPr>
            </w:pPr>
            <w:hyperlink w:anchor="page32">
              <w:r>
                <w:rPr>
                  <w:rFonts w:ascii="Arial" w:cs="Arial" w:eastAsia="Arial" w:hAnsi="Arial"/>
                  <w:sz w:val="22"/>
                  <w:szCs w:val="22"/>
                  <w:b w:val="1"/>
                  <w:bCs w:val="1"/>
                  <w:color w:val="0000EE"/>
                </w:rPr>
                <w:t>28</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right w:val="single" w:sz="8" w:color="0000EE"/>
            </w:tcBorders>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533"/>
        </w:trPr>
        <w:tc>
          <w:tcPr>
            <w:tcW w:w="780" w:type="dxa"/>
            <w:vAlign w:val="bottom"/>
          </w:tcPr>
          <w:p>
            <w:pPr>
              <w:spacing w:after="0"/>
              <w:rPr>
                <w:sz w:val="24"/>
                <w:szCs w:val="24"/>
                <w:color w:val="auto"/>
              </w:rPr>
            </w:pPr>
          </w:p>
        </w:tc>
        <w:tc>
          <w:tcPr>
            <w:tcW w:w="2980" w:type="dxa"/>
            <w:vAlign w:val="bottom"/>
            <w:gridSpan w:val="14"/>
          </w:tcPr>
          <w:p>
            <w:pPr>
              <w:spacing w:after="0"/>
              <w:rPr>
                <w:rFonts w:ascii="Arial" w:cs="Arial" w:eastAsia="Arial" w:hAnsi="Arial"/>
                <w:sz w:val="22"/>
                <w:szCs w:val="22"/>
                <w:b w:val="1"/>
                <w:bCs w:val="1"/>
                <w:color w:val="0000EE"/>
                <w:w w:val="94"/>
              </w:rPr>
            </w:pPr>
            <w:hyperlink w:anchor="page33">
              <w:r>
                <w:rPr>
                  <w:rFonts w:ascii="Arial" w:cs="Arial" w:eastAsia="Arial" w:hAnsi="Arial"/>
                  <w:sz w:val="22"/>
                  <w:szCs w:val="22"/>
                  <w:b w:val="1"/>
                  <w:bCs w:val="1"/>
                  <w:color w:val="0000EE"/>
                  <w:w w:val="94"/>
                </w:rPr>
                <w:t>EXECUTIVE COMPENSATION</w:t>
              </w:r>
            </w:hyperlink>
          </w:p>
        </w:tc>
        <w:tc>
          <w:tcPr>
            <w:tcW w:w="6120" w:type="dxa"/>
            <w:vAlign w:val="bottom"/>
            <w:gridSpan w:val="14"/>
          </w:tcPr>
          <w:p>
            <w:pPr>
              <w:spacing w:after="0"/>
              <w:rPr>
                <w:sz w:val="24"/>
                <w:szCs w:val="24"/>
                <w:color w:val="auto"/>
              </w:rPr>
            </w:pPr>
          </w:p>
        </w:tc>
        <w:tc>
          <w:tcPr>
            <w:tcW w:w="340" w:type="dxa"/>
            <w:vAlign w:val="bottom"/>
            <w:gridSpan w:val="3"/>
          </w:tcPr>
          <w:p>
            <w:pPr>
              <w:jc w:val="right"/>
              <w:spacing w:after="0"/>
              <w:rPr>
                <w:rFonts w:ascii="Arial" w:cs="Arial" w:eastAsia="Arial" w:hAnsi="Arial"/>
                <w:sz w:val="22"/>
                <w:szCs w:val="22"/>
                <w:b w:val="1"/>
                <w:bCs w:val="1"/>
                <w:color w:val="0000EE"/>
              </w:rPr>
            </w:pPr>
            <w:hyperlink w:anchor="page33">
              <w:r>
                <w:rPr>
                  <w:rFonts w:ascii="Arial" w:cs="Arial" w:eastAsia="Arial" w:hAnsi="Arial"/>
                  <w:sz w:val="22"/>
                  <w:szCs w:val="22"/>
                  <w:b w:val="1"/>
                  <w:bCs w:val="1"/>
                  <w:color w:val="0000EE"/>
                </w:rPr>
                <w:t>29</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260" w:type="dxa"/>
            <w:vAlign w:val="bottom"/>
            <w:gridSpan w:val="2"/>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right w:val="single" w:sz="8" w:color="0000EE"/>
            </w:tcBorders>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45"/>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840" w:type="dxa"/>
            <w:vAlign w:val="bottom"/>
            <w:tcBorders>
              <w:bottom w:val="single" w:sz="8" w:color="0000EE"/>
            </w:tcBorders>
            <w:gridSpan w:val="14"/>
          </w:tcPr>
          <w:p>
            <w:pPr>
              <w:spacing w:after="0"/>
              <w:rPr>
                <w:rFonts w:ascii="Arial" w:cs="Arial" w:eastAsia="Arial" w:hAnsi="Arial"/>
                <w:sz w:val="16"/>
                <w:szCs w:val="16"/>
                <w:color w:val="0000EE"/>
              </w:rPr>
            </w:pPr>
            <w:hyperlink w:anchor="page33">
              <w:r>
                <w:rPr>
                  <w:rFonts w:ascii="Arial" w:cs="Arial" w:eastAsia="Arial" w:hAnsi="Arial"/>
                  <w:sz w:val="16"/>
                  <w:szCs w:val="16"/>
                  <w:color w:val="0000EE"/>
                </w:rPr>
                <w:t>Compensation Discussion and Analysis</w:t>
              </w:r>
            </w:hyperlink>
          </w:p>
        </w:tc>
        <w:tc>
          <w:tcPr>
            <w:tcW w:w="5980" w:type="dxa"/>
            <w:vAlign w:val="bottom"/>
            <w:gridSpan w:val="13"/>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bottom w:val="single" w:sz="8" w:color="0000EE"/>
            </w:tcBorders>
          </w:tcPr>
          <w:p>
            <w:pPr>
              <w:jc w:val="right"/>
              <w:spacing w:after="0"/>
              <w:rPr>
                <w:rFonts w:ascii="Arial" w:cs="Arial" w:eastAsia="Arial" w:hAnsi="Arial"/>
                <w:sz w:val="16"/>
                <w:szCs w:val="16"/>
                <w:b w:val="1"/>
                <w:bCs w:val="1"/>
                <w:color w:val="0000EE"/>
                <w:w w:val="89"/>
              </w:rPr>
            </w:pPr>
            <w:hyperlink w:anchor="page33">
              <w:r>
                <w:rPr>
                  <w:rFonts w:ascii="Arial" w:cs="Arial" w:eastAsia="Arial" w:hAnsi="Arial"/>
                  <w:sz w:val="16"/>
                  <w:szCs w:val="16"/>
                  <w:b w:val="1"/>
                  <w:bCs w:val="1"/>
                  <w:color w:val="0000EE"/>
                  <w:w w:val="89"/>
                </w:rPr>
                <w:t>29</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440" w:type="dxa"/>
            <w:vAlign w:val="bottom"/>
            <w:tcBorders>
              <w:bottom w:val="single" w:sz="8" w:color="0000EE"/>
            </w:tcBorders>
            <w:gridSpan w:val="4"/>
          </w:tcPr>
          <w:p>
            <w:pPr>
              <w:spacing w:after="0"/>
              <w:rPr>
                <w:rFonts w:ascii="Arial" w:cs="Arial" w:eastAsia="Arial" w:hAnsi="Arial"/>
                <w:sz w:val="16"/>
                <w:szCs w:val="16"/>
                <w:color w:val="0000EE"/>
                <w:w w:val="99"/>
              </w:rPr>
            </w:pPr>
            <w:hyperlink w:anchor="page33">
              <w:r>
                <w:rPr>
                  <w:rFonts w:ascii="Arial" w:cs="Arial" w:eastAsia="Arial" w:hAnsi="Arial"/>
                  <w:sz w:val="16"/>
                  <w:szCs w:val="16"/>
                  <w:color w:val="0000EE"/>
                  <w:w w:val="99"/>
                </w:rPr>
                <w:t>Executive Summary</w:t>
              </w:r>
            </w:hyperlink>
          </w:p>
        </w:tc>
        <w:tc>
          <w:tcPr>
            <w:tcW w:w="7380" w:type="dxa"/>
            <w:vAlign w:val="bottom"/>
            <w:gridSpan w:val="23"/>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bottom w:val="single" w:sz="8" w:color="0000EE"/>
            </w:tcBorders>
          </w:tcPr>
          <w:p>
            <w:pPr>
              <w:jc w:val="right"/>
              <w:spacing w:after="0"/>
              <w:rPr>
                <w:rFonts w:ascii="Arial" w:cs="Arial" w:eastAsia="Arial" w:hAnsi="Arial"/>
                <w:sz w:val="16"/>
                <w:szCs w:val="16"/>
                <w:b w:val="1"/>
                <w:bCs w:val="1"/>
                <w:color w:val="0000EE"/>
                <w:w w:val="89"/>
              </w:rPr>
            </w:pPr>
            <w:hyperlink w:anchor="page33">
              <w:r>
                <w:rPr>
                  <w:rFonts w:ascii="Arial" w:cs="Arial" w:eastAsia="Arial" w:hAnsi="Arial"/>
                  <w:sz w:val="16"/>
                  <w:szCs w:val="16"/>
                  <w:b w:val="1"/>
                  <w:bCs w:val="1"/>
                  <w:color w:val="0000EE"/>
                  <w:w w:val="89"/>
                </w:rPr>
                <w:t>29</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7"/>
          </w:tcPr>
          <w:p>
            <w:pPr>
              <w:spacing w:after="0"/>
              <w:rPr>
                <w:rFonts w:ascii="Arial" w:cs="Arial" w:eastAsia="Arial" w:hAnsi="Arial"/>
                <w:sz w:val="16"/>
                <w:szCs w:val="16"/>
                <w:color w:val="0000EE"/>
              </w:rPr>
            </w:pPr>
            <w:hyperlink w:anchor="page35">
              <w:r>
                <w:rPr>
                  <w:rFonts w:ascii="Arial" w:cs="Arial" w:eastAsia="Arial" w:hAnsi="Arial"/>
                  <w:sz w:val="16"/>
                  <w:szCs w:val="16"/>
                  <w:color w:val="0000EE"/>
                </w:rPr>
                <w:t>Executive Compensation Philosophy and Objectives</w:t>
              </w:r>
            </w:hyperlink>
          </w:p>
        </w:tc>
        <w:tc>
          <w:tcPr>
            <w:tcW w:w="340" w:type="dxa"/>
            <w:vAlign w:val="bottom"/>
            <w:gridSpan w:val="3"/>
          </w:tcPr>
          <w:p>
            <w:pPr>
              <w:jc w:val="right"/>
              <w:spacing w:after="0"/>
              <w:rPr>
                <w:rFonts w:ascii="Arial" w:cs="Arial" w:eastAsia="Arial" w:hAnsi="Arial"/>
                <w:sz w:val="16"/>
                <w:szCs w:val="16"/>
                <w:b w:val="1"/>
                <w:bCs w:val="1"/>
                <w:color w:val="0000EE"/>
              </w:rPr>
            </w:pPr>
            <w:hyperlink w:anchor="page35">
              <w:r>
                <w:rPr>
                  <w:rFonts w:ascii="Arial" w:cs="Arial" w:eastAsia="Arial" w:hAnsi="Arial"/>
                  <w:sz w:val="16"/>
                  <w:szCs w:val="16"/>
                  <w:b w:val="1"/>
                  <w:bCs w:val="1"/>
                  <w:color w:val="0000EE"/>
                </w:rPr>
                <w:t>31</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740" w:type="dxa"/>
            <w:vAlign w:val="bottom"/>
            <w:tcBorders>
              <w:top w:val="single" w:sz="8" w:color="0000EE"/>
            </w:tcBorders>
            <w:gridSpan w:val="19"/>
          </w:tcPr>
          <w:p>
            <w:pPr>
              <w:spacing w:after="0"/>
              <w:rPr>
                <w:rFonts w:ascii="Arial" w:cs="Arial" w:eastAsia="Arial" w:hAnsi="Arial"/>
                <w:sz w:val="16"/>
                <w:szCs w:val="16"/>
                <w:color w:val="0000EE"/>
              </w:rPr>
            </w:pPr>
            <w:hyperlink w:anchor="page36">
              <w:r>
                <w:rPr>
                  <w:rFonts w:ascii="Arial" w:cs="Arial" w:eastAsia="Arial" w:hAnsi="Arial"/>
                  <w:sz w:val="16"/>
                  <w:szCs w:val="16"/>
                  <w:color w:val="0000EE"/>
                </w:rPr>
                <w:t>Compensation-Setting Process</w:t>
              </w:r>
            </w:hyperlink>
          </w:p>
        </w:tc>
        <w:tc>
          <w:tcPr>
            <w:tcW w:w="5080" w:type="dxa"/>
            <w:vAlign w:val="bottom"/>
            <w:gridSpan w:val="8"/>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top w:val="single" w:sz="8" w:color="0000EE"/>
            </w:tcBorders>
          </w:tcPr>
          <w:p>
            <w:pPr>
              <w:jc w:val="right"/>
              <w:spacing w:after="0"/>
              <w:rPr>
                <w:rFonts w:ascii="Arial" w:cs="Arial" w:eastAsia="Arial" w:hAnsi="Arial"/>
                <w:sz w:val="16"/>
                <w:szCs w:val="16"/>
                <w:b w:val="1"/>
                <w:bCs w:val="1"/>
                <w:color w:val="0000EE"/>
                <w:w w:val="89"/>
              </w:rPr>
            </w:pPr>
            <w:hyperlink w:anchor="page36">
              <w:r>
                <w:rPr>
                  <w:rFonts w:ascii="Arial" w:cs="Arial" w:eastAsia="Arial" w:hAnsi="Arial"/>
                  <w:sz w:val="16"/>
                  <w:szCs w:val="16"/>
                  <w:b w:val="1"/>
                  <w:bCs w:val="1"/>
                  <w:color w:val="0000EE"/>
                  <w:w w:val="89"/>
                </w:rPr>
                <w:t>32</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220" w:type="dxa"/>
            <w:vAlign w:val="bottom"/>
            <w:tcBorders>
              <w:top w:val="single" w:sz="8" w:color="0000EE"/>
            </w:tcBorders>
            <w:gridSpan w:val="9"/>
          </w:tcPr>
          <w:p>
            <w:pPr>
              <w:spacing w:after="0"/>
              <w:rPr>
                <w:rFonts w:ascii="Arial" w:cs="Arial" w:eastAsia="Arial" w:hAnsi="Arial"/>
                <w:sz w:val="16"/>
                <w:szCs w:val="16"/>
                <w:color w:val="0000EE"/>
              </w:rPr>
            </w:pPr>
            <w:hyperlink w:anchor="page40">
              <w:r>
                <w:rPr>
                  <w:rFonts w:ascii="Arial" w:cs="Arial" w:eastAsia="Arial" w:hAnsi="Arial"/>
                  <w:sz w:val="16"/>
                  <w:szCs w:val="16"/>
                  <w:color w:val="0000EE"/>
                </w:rPr>
                <w:t>Compensation Elements</w:t>
              </w:r>
            </w:hyperlink>
          </w:p>
        </w:tc>
        <w:tc>
          <w:tcPr>
            <w:tcW w:w="6600" w:type="dxa"/>
            <w:vAlign w:val="bottom"/>
            <w:gridSpan w:val="18"/>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top w:val="single" w:sz="8" w:color="0000EE"/>
            </w:tcBorders>
          </w:tcPr>
          <w:p>
            <w:pPr>
              <w:jc w:val="right"/>
              <w:spacing w:after="0"/>
              <w:rPr>
                <w:rFonts w:ascii="Arial" w:cs="Arial" w:eastAsia="Arial" w:hAnsi="Arial"/>
                <w:sz w:val="16"/>
                <w:szCs w:val="16"/>
                <w:b w:val="1"/>
                <w:bCs w:val="1"/>
                <w:color w:val="0000EE"/>
                <w:w w:val="89"/>
              </w:rPr>
            </w:pPr>
            <w:hyperlink w:anchor="page40">
              <w:r>
                <w:rPr>
                  <w:rFonts w:ascii="Arial" w:cs="Arial" w:eastAsia="Arial" w:hAnsi="Arial"/>
                  <w:sz w:val="16"/>
                  <w:szCs w:val="16"/>
                  <w:b w:val="1"/>
                  <w:bCs w:val="1"/>
                  <w:color w:val="0000EE"/>
                  <w:w w:val="89"/>
                </w:rPr>
                <w:t>36</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6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960" w:type="dxa"/>
            <w:vAlign w:val="bottom"/>
            <w:tcBorders>
              <w:bottom w:val="single" w:sz="8" w:color="0000EE"/>
            </w:tcBorders>
            <w:gridSpan w:val="7"/>
          </w:tcPr>
          <w:p>
            <w:pPr>
              <w:spacing w:after="0"/>
              <w:rPr>
                <w:rFonts w:ascii="Arial" w:cs="Arial" w:eastAsia="Arial" w:hAnsi="Arial"/>
                <w:sz w:val="16"/>
                <w:szCs w:val="16"/>
                <w:color w:val="0000EE"/>
              </w:rPr>
            </w:pPr>
            <w:hyperlink w:anchor="page46">
              <w:r>
                <w:rPr>
                  <w:rFonts w:ascii="Arial" w:cs="Arial" w:eastAsia="Arial" w:hAnsi="Arial"/>
                  <w:sz w:val="16"/>
                  <w:szCs w:val="16"/>
                  <w:color w:val="0000EE"/>
                </w:rPr>
                <w:t>Employment Arrangements</w:t>
              </w:r>
            </w:hyperlink>
          </w:p>
        </w:tc>
        <w:tc>
          <w:tcPr>
            <w:tcW w:w="6860" w:type="dxa"/>
            <w:vAlign w:val="bottom"/>
            <w:gridSpan w:val="20"/>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bottom w:val="single" w:sz="8" w:color="0000EE"/>
            </w:tcBorders>
          </w:tcPr>
          <w:p>
            <w:pPr>
              <w:jc w:val="right"/>
              <w:spacing w:after="0"/>
              <w:rPr>
                <w:rFonts w:ascii="Arial" w:cs="Arial" w:eastAsia="Arial" w:hAnsi="Arial"/>
                <w:sz w:val="16"/>
                <w:szCs w:val="16"/>
                <w:b w:val="1"/>
                <w:bCs w:val="1"/>
                <w:color w:val="0000EE"/>
                <w:w w:val="89"/>
              </w:rPr>
            </w:pPr>
            <w:hyperlink w:anchor="page46">
              <w:r>
                <w:rPr>
                  <w:rFonts w:ascii="Arial" w:cs="Arial" w:eastAsia="Arial" w:hAnsi="Arial"/>
                  <w:sz w:val="16"/>
                  <w:szCs w:val="16"/>
                  <w:b w:val="1"/>
                  <w:bCs w:val="1"/>
                  <w:color w:val="0000EE"/>
                  <w:w w:val="89"/>
                </w:rPr>
                <w:t>42</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7"/>
          </w:tcPr>
          <w:p>
            <w:pPr>
              <w:spacing w:after="0"/>
              <w:rPr>
                <w:rFonts w:ascii="Arial" w:cs="Arial" w:eastAsia="Arial" w:hAnsi="Arial"/>
                <w:sz w:val="16"/>
                <w:szCs w:val="16"/>
                <w:color w:val="0000EE"/>
              </w:rPr>
            </w:pPr>
            <w:hyperlink w:anchor="page47">
              <w:r>
                <w:rPr>
                  <w:rFonts w:ascii="Arial" w:cs="Arial" w:eastAsia="Arial" w:hAnsi="Arial"/>
                  <w:sz w:val="16"/>
                  <w:szCs w:val="16"/>
                  <w:color w:val="0000EE"/>
                </w:rPr>
                <w:t>Post-Employment Compensation</w:t>
              </w:r>
            </w:hyperlink>
          </w:p>
        </w:tc>
        <w:tc>
          <w:tcPr>
            <w:tcW w:w="340" w:type="dxa"/>
            <w:vAlign w:val="bottom"/>
            <w:gridSpan w:val="3"/>
          </w:tcPr>
          <w:p>
            <w:pPr>
              <w:jc w:val="right"/>
              <w:spacing w:after="0"/>
              <w:rPr>
                <w:rFonts w:ascii="Arial" w:cs="Arial" w:eastAsia="Arial" w:hAnsi="Arial"/>
                <w:sz w:val="16"/>
                <w:szCs w:val="16"/>
                <w:b w:val="1"/>
                <w:bCs w:val="1"/>
                <w:color w:val="0000EE"/>
              </w:rPr>
            </w:pPr>
            <w:hyperlink w:anchor="page47">
              <w:r>
                <w:rPr>
                  <w:rFonts w:ascii="Arial" w:cs="Arial" w:eastAsia="Arial" w:hAnsi="Arial"/>
                  <w:sz w:val="16"/>
                  <w:szCs w:val="16"/>
                  <w:b w:val="1"/>
                  <w:bCs w:val="1"/>
                  <w:color w:val="0000EE"/>
                </w:rPr>
                <w:t>43</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760" w:type="dxa"/>
            <w:vAlign w:val="bottom"/>
            <w:gridSpan w:val="5"/>
            <w:shd w:val="clear" w:color="auto" w:fill="0000EE"/>
          </w:tcPr>
          <w:p>
            <w:pPr>
              <w:spacing w:after="0" w:line="20" w:lineRule="exact"/>
              <w:rPr>
                <w:sz w:val="1"/>
                <w:szCs w:val="1"/>
                <w:color w:val="auto"/>
              </w:rPr>
            </w:pPr>
          </w:p>
        </w:tc>
        <w:tc>
          <w:tcPr>
            <w:tcW w:w="160" w:type="dxa"/>
            <w:vAlign w:val="bottom"/>
            <w:tcBorders>
              <w:left w:val="single" w:sz="8" w:color="0000EE"/>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7"/>
          </w:tcPr>
          <w:p>
            <w:pPr>
              <w:spacing w:after="0"/>
              <w:rPr>
                <w:rFonts w:ascii="Arial" w:cs="Arial" w:eastAsia="Arial" w:hAnsi="Arial"/>
                <w:sz w:val="16"/>
                <w:szCs w:val="16"/>
                <w:color w:val="0000EE"/>
              </w:rPr>
            </w:pPr>
            <w:hyperlink w:anchor="page47">
              <w:r>
                <w:rPr>
                  <w:rFonts w:ascii="Arial" w:cs="Arial" w:eastAsia="Arial" w:hAnsi="Arial"/>
                  <w:sz w:val="16"/>
                  <w:szCs w:val="16"/>
                  <w:color w:val="0000EE"/>
                </w:rPr>
                <w:t>Hedging and Pledging Prohibitions</w:t>
              </w:r>
            </w:hyperlink>
          </w:p>
        </w:tc>
        <w:tc>
          <w:tcPr>
            <w:tcW w:w="340" w:type="dxa"/>
            <w:vAlign w:val="bottom"/>
            <w:gridSpan w:val="3"/>
          </w:tcPr>
          <w:p>
            <w:pPr>
              <w:jc w:val="right"/>
              <w:spacing w:after="0"/>
              <w:rPr>
                <w:rFonts w:ascii="Arial" w:cs="Arial" w:eastAsia="Arial" w:hAnsi="Arial"/>
                <w:sz w:val="16"/>
                <w:szCs w:val="16"/>
                <w:b w:val="1"/>
                <w:bCs w:val="1"/>
                <w:color w:val="0000EE"/>
              </w:rPr>
            </w:pPr>
            <w:hyperlink w:anchor="page47">
              <w:r>
                <w:rPr>
                  <w:rFonts w:ascii="Arial" w:cs="Arial" w:eastAsia="Arial" w:hAnsi="Arial"/>
                  <w:sz w:val="16"/>
                  <w:szCs w:val="16"/>
                  <w:b w:val="1"/>
                  <w:bCs w:val="1"/>
                  <w:color w:val="0000EE"/>
                </w:rPr>
                <w:t>43</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760" w:type="dxa"/>
            <w:vAlign w:val="bottom"/>
            <w:gridSpan w:val="5"/>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540" w:type="dxa"/>
            <w:vAlign w:val="bottom"/>
            <w:tcBorders>
              <w:bottom w:val="single" w:sz="8" w:color="0000EE"/>
            </w:tcBorders>
            <w:gridSpan w:val="12"/>
          </w:tcPr>
          <w:p>
            <w:pPr>
              <w:spacing w:after="0"/>
              <w:rPr>
                <w:rFonts w:ascii="Arial" w:cs="Arial" w:eastAsia="Arial" w:hAnsi="Arial"/>
                <w:sz w:val="16"/>
                <w:szCs w:val="16"/>
                <w:color w:val="0000EE"/>
                <w:w w:val="99"/>
              </w:rPr>
            </w:pPr>
            <w:hyperlink w:anchor="page47">
              <w:r>
                <w:rPr>
                  <w:rFonts w:ascii="Arial" w:cs="Arial" w:eastAsia="Arial" w:hAnsi="Arial"/>
                  <w:sz w:val="16"/>
                  <w:szCs w:val="16"/>
                  <w:color w:val="0000EE"/>
                  <w:w w:val="99"/>
                </w:rPr>
                <w:t>Tax and Accounting Considerations</w:t>
              </w:r>
            </w:hyperlink>
          </w:p>
        </w:tc>
        <w:tc>
          <w:tcPr>
            <w:tcW w:w="6280" w:type="dxa"/>
            <w:vAlign w:val="bottom"/>
            <w:gridSpan w:val="15"/>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bottom w:val="single" w:sz="8" w:color="0000EE"/>
            </w:tcBorders>
          </w:tcPr>
          <w:p>
            <w:pPr>
              <w:jc w:val="right"/>
              <w:spacing w:after="0"/>
              <w:rPr>
                <w:rFonts w:ascii="Arial" w:cs="Arial" w:eastAsia="Arial" w:hAnsi="Arial"/>
                <w:sz w:val="16"/>
                <w:szCs w:val="16"/>
                <w:b w:val="1"/>
                <w:bCs w:val="1"/>
                <w:color w:val="0000EE"/>
                <w:w w:val="89"/>
              </w:rPr>
            </w:pPr>
            <w:hyperlink w:anchor="page47">
              <w:r>
                <w:rPr>
                  <w:rFonts w:ascii="Arial" w:cs="Arial" w:eastAsia="Arial" w:hAnsi="Arial"/>
                  <w:sz w:val="16"/>
                  <w:szCs w:val="16"/>
                  <w:b w:val="1"/>
                  <w:bCs w:val="1"/>
                  <w:color w:val="0000EE"/>
                  <w:w w:val="89"/>
                </w:rPr>
                <w:t>43</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7"/>
          </w:tcPr>
          <w:p>
            <w:pPr>
              <w:spacing w:after="0"/>
              <w:rPr>
                <w:rFonts w:ascii="Arial" w:cs="Arial" w:eastAsia="Arial" w:hAnsi="Arial"/>
                <w:sz w:val="16"/>
                <w:szCs w:val="16"/>
                <w:color w:val="0000EE"/>
              </w:rPr>
            </w:pPr>
            <w:hyperlink w:anchor="page50">
              <w:r>
                <w:rPr>
                  <w:rFonts w:ascii="Arial" w:cs="Arial" w:eastAsia="Arial" w:hAnsi="Arial"/>
                  <w:sz w:val="16"/>
                  <w:szCs w:val="16"/>
                  <w:color w:val="0000EE"/>
                </w:rPr>
                <w:t>Report of the Compensation Committee</w:t>
              </w:r>
            </w:hyperlink>
          </w:p>
        </w:tc>
        <w:tc>
          <w:tcPr>
            <w:tcW w:w="340" w:type="dxa"/>
            <w:vAlign w:val="bottom"/>
            <w:gridSpan w:val="3"/>
          </w:tcPr>
          <w:p>
            <w:pPr>
              <w:jc w:val="right"/>
              <w:spacing w:after="0"/>
              <w:rPr>
                <w:rFonts w:ascii="Arial" w:cs="Arial" w:eastAsia="Arial" w:hAnsi="Arial"/>
                <w:sz w:val="16"/>
                <w:szCs w:val="16"/>
                <w:b w:val="1"/>
                <w:bCs w:val="1"/>
                <w:color w:val="0000EE"/>
              </w:rPr>
            </w:pPr>
            <w:hyperlink w:anchor="page50">
              <w:r>
                <w:rPr>
                  <w:rFonts w:ascii="Arial" w:cs="Arial" w:eastAsia="Arial" w:hAnsi="Arial"/>
                  <w:sz w:val="16"/>
                  <w:szCs w:val="16"/>
                  <w:b w:val="1"/>
                  <w:bCs w:val="1"/>
                  <w:color w:val="0000EE"/>
                </w:rPr>
                <w:t>46</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840" w:type="dxa"/>
            <w:vAlign w:val="bottom"/>
            <w:tcBorders>
              <w:top w:val="single" w:sz="8" w:color="0000EE"/>
            </w:tcBorders>
            <w:gridSpan w:val="14"/>
          </w:tcPr>
          <w:p>
            <w:pPr>
              <w:spacing w:after="0"/>
              <w:rPr>
                <w:rFonts w:ascii="Arial" w:cs="Arial" w:eastAsia="Arial" w:hAnsi="Arial"/>
                <w:sz w:val="16"/>
                <w:szCs w:val="16"/>
                <w:color w:val="0000EE"/>
              </w:rPr>
            </w:pPr>
            <w:hyperlink w:anchor="page51">
              <w:r>
                <w:rPr>
                  <w:rFonts w:ascii="Arial" w:cs="Arial" w:eastAsia="Arial" w:hAnsi="Arial"/>
                  <w:sz w:val="16"/>
                  <w:szCs w:val="16"/>
                  <w:color w:val="0000EE"/>
                </w:rPr>
                <w:t>Compensation Risk Assessment</w:t>
              </w:r>
            </w:hyperlink>
          </w:p>
        </w:tc>
        <w:tc>
          <w:tcPr>
            <w:tcW w:w="5980" w:type="dxa"/>
            <w:vAlign w:val="bottom"/>
            <w:gridSpan w:val="13"/>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top w:val="single" w:sz="8" w:color="0000EE"/>
            </w:tcBorders>
          </w:tcPr>
          <w:p>
            <w:pPr>
              <w:jc w:val="right"/>
              <w:spacing w:after="0"/>
              <w:rPr>
                <w:rFonts w:ascii="Arial" w:cs="Arial" w:eastAsia="Arial" w:hAnsi="Arial"/>
                <w:sz w:val="16"/>
                <w:szCs w:val="16"/>
                <w:b w:val="1"/>
                <w:bCs w:val="1"/>
                <w:color w:val="0000EE"/>
                <w:w w:val="89"/>
              </w:rPr>
            </w:pPr>
            <w:hyperlink w:anchor="page51">
              <w:r>
                <w:rPr>
                  <w:rFonts w:ascii="Arial" w:cs="Arial" w:eastAsia="Arial" w:hAnsi="Arial"/>
                  <w:sz w:val="16"/>
                  <w:szCs w:val="16"/>
                  <w:b w:val="1"/>
                  <w:bCs w:val="1"/>
                  <w:color w:val="0000EE"/>
                  <w:w w:val="89"/>
                </w:rPr>
                <w:t>47</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760" w:type="dxa"/>
            <w:vAlign w:val="bottom"/>
            <w:gridSpan w:val="5"/>
            <w:shd w:val="clear" w:color="auto" w:fill="0000EE"/>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700" w:type="dxa"/>
            <w:vAlign w:val="bottom"/>
            <w:tcBorders>
              <w:bottom w:val="single" w:sz="8" w:color="0000EE"/>
            </w:tcBorders>
            <w:gridSpan w:val="18"/>
          </w:tcPr>
          <w:p>
            <w:pPr>
              <w:spacing w:after="0"/>
              <w:rPr>
                <w:rFonts w:ascii="Arial" w:cs="Arial" w:eastAsia="Arial" w:hAnsi="Arial"/>
                <w:sz w:val="16"/>
                <w:szCs w:val="16"/>
                <w:color w:val="0000EE"/>
                <w:w w:val="99"/>
              </w:rPr>
            </w:pPr>
            <w:hyperlink w:anchor="page52">
              <w:r>
                <w:rPr>
                  <w:rFonts w:ascii="Arial" w:cs="Arial" w:eastAsia="Arial" w:hAnsi="Arial"/>
                  <w:sz w:val="16"/>
                  <w:szCs w:val="16"/>
                  <w:color w:val="0000EE"/>
                  <w:w w:val="99"/>
                </w:rPr>
                <w:t>Summary Compensation Table for Fiscal Year 2021</w:t>
              </w:r>
            </w:hyperlink>
          </w:p>
        </w:tc>
        <w:tc>
          <w:tcPr>
            <w:tcW w:w="5120" w:type="dxa"/>
            <w:vAlign w:val="bottom"/>
            <w:gridSpan w:val="9"/>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bottom w:val="single" w:sz="8" w:color="0000EE"/>
            </w:tcBorders>
          </w:tcPr>
          <w:p>
            <w:pPr>
              <w:jc w:val="right"/>
              <w:spacing w:after="0"/>
              <w:rPr>
                <w:rFonts w:ascii="Arial" w:cs="Arial" w:eastAsia="Arial" w:hAnsi="Arial"/>
                <w:sz w:val="16"/>
                <w:szCs w:val="16"/>
                <w:b w:val="1"/>
                <w:bCs w:val="1"/>
                <w:color w:val="0000EE"/>
                <w:w w:val="89"/>
              </w:rPr>
            </w:pPr>
            <w:hyperlink w:anchor="page52">
              <w:r>
                <w:rPr>
                  <w:rFonts w:ascii="Arial" w:cs="Arial" w:eastAsia="Arial" w:hAnsi="Arial"/>
                  <w:sz w:val="16"/>
                  <w:szCs w:val="16"/>
                  <w:b w:val="1"/>
                  <w:bCs w:val="1"/>
                  <w:color w:val="0000EE"/>
                  <w:w w:val="89"/>
                </w:rPr>
                <w:t>48</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7"/>
          </w:tcPr>
          <w:p>
            <w:pPr>
              <w:spacing w:after="0"/>
              <w:rPr>
                <w:rFonts w:ascii="Arial" w:cs="Arial" w:eastAsia="Arial" w:hAnsi="Arial"/>
                <w:sz w:val="16"/>
                <w:szCs w:val="16"/>
                <w:color w:val="0000EE"/>
              </w:rPr>
            </w:pPr>
            <w:hyperlink w:anchor="page53">
              <w:r>
                <w:rPr>
                  <w:rFonts w:ascii="Arial" w:cs="Arial" w:eastAsia="Arial" w:hAnsi="Arial"/>
                  <w:sz w:val="16"/>
                  <w:szCs w:val="16"/>
                  <w:color w:val="0000EE"/>
                </w:rPr>
                <w:t>Grants of Plan-Based Awards in 2021</w:t>
              </w:r>
            </w:hyperlink>
          </w:p>
        </w:tc>
        <w:tc>
          <w:tcPr>
            <w:tcW w:w="340" w:type="dxa"/>
            <w:vAlign w:val="bottom"/>
            <w:gridSpan w:val="3"/>
          </w:tcPr>
          <w:p>
            <w:pPr>
              <w:jc w:val="right"/>
              <w:spacing w:after="0"/>
              <w:rPr>
                <w:rFonts w:ascii="Arial" w:cs="Arial" w:eastAsia="Arial" w:hAnsi="Arial"/>
                <w:sz w:val="16"/>
                <w:szCs w:val="16"/>
                <w:b w:val="1"/>
                <w:bCs w:val="1"/>
                <w:color w:val="0000EE"/>
              </w:rPr>
            </w:pPr>
            <w:hyperlink w:anchor="page53">
              <w:r>
                <w:rPr>
                  <w:rFonts w:ascii="Arial" w:cs="Arial" w:eastAsia="Arial" w:hAnsi="Arial"/>
                  <w:sz w:val="16"/>
                  <w:szCs w:val="16"/>
                  <w:b w:val="1"/>
                  <w:bCs w:val="1"/>
                  <w:color w:val="0000EE"/>
                </w:rPr>
                <w:t>49</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1140" w:type="dxa"/>
            <w:vAlign w:val="bottom"/>
            <w:gridSpan w:val="8"/>
            <w:shd w:val="clear" w:color="auto" w:fill="0000EE"/>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7"/>
          </w:tcPr>
          <w:p>
            <w:pPr>
              <w:spacing w:after="0"/>
              <w:rPr>
                <w:rFonts w:ascii="Arial" w:cs="Arial" w:eastAsia="Arial" w:hAnsi="Arial"/>
                <w:sz w:val="16"/>
                <w:szCs w:val="16"/>
                <w:color w:val="0000EE"/>
              </w:rPr>
            </w:pPr>
            <w:hyperlink w:anchor="page54">
              <w:r>
                <w:rPr>
                  <w:rFonts w:ascii="Arial" w:cs="Arial" w:eastAsia="Arial" w:hAnsi="Arial"/>
                  <w:sz w:val="16"/>
                  <w:szCs w:val="16"/>
                  <w:color w:val="0000EE"/>
                </w:rPr>
                <w:t>Outstanding Equity Awards at 2021 Year-End</w:t>
              </w:r>
            </w:hyperlink>
          </w:p>
        </w:tc>
        <w:tc>
          <w:tcPr>
            <w:tcW w:w="340" w:type="dxa"/>
            <w:vAlign w:val="bottom"/>
            <w:gridSpan w:val="3"/>
          </w:tcPr>
          <w:p>
            <w:pPr>
              <w:jc w:val="right"/>
              <w:spacing w:after="0"/>
              <w:rPr>
                <w:rFonts w:ascii="Arial" w:cs="Arial" w:eastAsia="Arial" w:hAnsi="Arial"/>
                <w:sz w:val="16"/>
                <w:szCs w:val="16"/>
                <w:b w:val="1"/>
                <w:bCs w:val="1"/>
                <w:color w:val="0000EE"/>
              </w:rPr>
            </w:pPr>
            <w:hyperlink w:anchor="page54">
              <w:r>
                <w:rPr>
                  <w:rFonts w:ascii="Arial" w:cs="Arial" w:eastAsia="Arial" w:hAnsi="Arial"/>
                  <w:sz w:val="16"/>
                  <w:szCs w:val="16"/>
                  <w:b w:val="1"/>
                  <w:bCs w:val="1"/>
                  <w:color w:val="0000EE"/>
                </w:rPr>
                <w:t>50</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320" w:type="dxa"/>
            <w:vAlign w:val="bottom"/>
            <w:tcBorders>
              <w:top w:val="single" w:sz="8" w:color="0000EE"/>
              <w:bottom w:val="single" w:sz="8" w:color="0000EE"/>
            </w:tcBorders>
            <w:gridSpan w:val="3"/>
          </w:tcPr>
          <w:p>
            <w:pPr>
              <w:spacing w:after="0"/>
              <w:rPr>
                <w:rFonts w:ascii="Arial" w:cs="Arial" w:eastAsia="Arial" w:hAnsi="Arial"/>
                <w:sz w:val="16"/>
                <w:szCs w:val="16"/>
                <w:color w:val="0000EE"/>
              </w:rPr>
            </w:pPr>
            <w:hyperlink w:anchor="page55">
              <w:r>
                <w:rPr>
                  <w:rFonts w:ascii="Arial" w:cs="Arial" w:eastAsia="Arial" w:hAnsi="Arial"/>
                  <w:sz w:val="16"/>
                  <w:szCs w:val="16"/>
                  <w:color w:val="0000EE"/>
                </w:rPr>
                <w:t>Co-Founder Grant</w:t>
              </w:r>
            </w:hyperlink>
          </w:p>
        </w:tc>
        <w:tc>
          <w:tcPr>
            <w:tcW w:w="1920" w:type="dxa"/>
            <w:vAlign w:val="bottom"/>
            <w:tcBorders>
              <w:top w:val="single" w:sz="8" w:color="0000EE"/>
            </w:tcBorders>
            <w:gridSpan w:val="13"/>
          </w:tcPr>
          <w:p>
            <w:pPr>
              <w:spacing w:after="0"/>
              <w:rPr>
                <w:sz w:val="24"/>
                <w:szCs w:val="24"/>
                <w:color w:val="auto"/>
              </w:rPr>
            </w:pPr>
          </w:p>
        </w:tc>
        <w:tc>
          <w:tcPr>
            <w:tcW w:w="5580" w:type="dxa"/>
            <w:vAlign w:val="bottom"/>
            <w:gridSpan w:val="11"/>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top w:val="single" w:sz="8" w:color="0000EE"/>
              <w:bottom w:val="single" w:sz="8" w:color="0000EE"/>
            </w:tcBorders>
          </w:tcPr>
          <w:p>
            <w:pPr>
              <w:jc w:val="right"/>
              <w:spacing w:after="0"/>
              <w:rPr>
                <w:rFonts w:ascii="Arial" w:cs="Arial" w:eastAsia="Arial" w:hAnsi="Arial"/>
                <w:sz w:val="16"/>
                <w:szCs w:val="16"/>
                <w:b w:val="1"/>
                <w:bCs w:val="1"/>
                <w:color w:val="0000EE"/>
                <w:w w:val="89"/>
              </w:rPr>
            </w:pPr>
            <w:hyperlink w:anchor="page55">
              <w:r>
                <w:rPr>
                  <w:rFonts w:ascii="Arial" w:cs="Arial" w:eastAsia="Arial" w:hAnsi="Arial"/>
                  <w:sz w:val="16"/>
                  <w:szCs w:val="16"/>
                  <w:b w:val="1"/>
                  <w:bCs w:val="1"/>
                  <w:color w:val="0000EE"/>
                  <w:w w:val="89"/>
                </w:rPr>
                <w:t>51</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7"/>
          </w:tcPr>
          <w:p>
            <w:pPr>
              <w:spacing w:after="0"/>
              <w:rPr>
                <w:rFonts w:ascii="Arial" w:cs="Arial" w:eastAsia="Arial" w:hAnsi="Arial"/>
                <w:sz w:val="16"/>
                <w:szCs w:val="16"/>
                <w:color w:val="0000EE"/>
              </w:rPr>
            </w:pPr>
            <w:hyperlink w:anchor="page56">
              <w:r>
                <w:rPr>
                  <w:rFonts w:ascii="Arial" w:cs="Arial" w:eastAsia="Arial" w:hAnsi="Arial"/>
                  <w:sz w:val="16"/>
                  <w:szCs w:val="16"/>
                  <w:color w:val="0000EE"/>
                </w:rPr>
                <w:t>Option Exercises and Stock Vested in 2021</w:t>
              </w:r>
            </w:hyperlink>
          </w:p>
        </w:tc>
        <w:tc>
          <w:tcPr>
            <w:tcW w:w="340" w:type="dxa"/>
            <w:vAlign w:val="bottom"/>
            <w:gridSpan w:val="3"/>
          </w:tcPr>
          <w:p>
            <w:pPr>
              <w:jc w:val="right"/>
              <w:spacing w:after="0"/>
              <w:rPr>
                <w:rFonts w:ascii="Arial" w:cs="Arial" w:eastAsia="Arial" w:hAnsi="Arial"/>
                <w:sz w:val="16"/>
                <w:szCs w:val="16"/>
                <w:b w:val="1"/>
                <w:bCs w:val="1"/>
                <w:color w:val="0000EE"/>
              </w:rPr>
            </w:pPr>
            <w:hyperlink w:anchor="page56">
              <w:r>
                <w:rPr>
                  <w:rFonts w:ascii="Arial" w:cs="Arial" w:eastAsia="Arial" w:hAnsi="Arial"/>
                  <w:sz w:val="16"/>
                  <w:szCs w:val="16"/>
                  <w:b w:val="1"/>
                  <w:bCs w:val="1"/>
                  <w:color w:val="0000EE"/>
                </w:rPr>
                <w:t>52</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460" w:type="dxa"/>
            <w:vAlign w:val="bottom"/>
            <w:gridSpan w:val="3"/>
            <w:shd w:val="clear" w:color="auto" w:fill="0000EE"/>
          </w:tcPr>
          <w:p>
            <w:pPr>
              <w:spacing w:after="0" w:line="20" w:lineRule="exact"/>
              <w:rPr>
                <w:sz w:val="1"/>
                <w:szCs w:val="1"/>
                <w:color w:val="auto"/>
              </w:rPr>
            </w:pPr>
          </w:p>
        </w:tc>
        <w:tc>
          <w:tcPr>
            <w:tcW w:w="1540" w:type="dxa"/>
            <w:vAlign w:val="bottom"/>
            <w:gridSpan w:val="10"/>
            <w:shd w:val="clear" w:color="auto" w:fill="0000EE"/>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4040" w:type="dxa"/>
            <w:vAlign w:val="bottom"/>
            <w:tcBorders>
              <w:bottom w:val="single" w:sz="8" w:color="0000EE"/>
            </w:tcBorders>
            <w:gridSpan w:val="20"/>
          </w:tcPr>
          <w:p>
            <w:pPr>
              <w:spacing w:after="0"/>
              <w:rPr>
                <w:rFonts w:ascii="Arial" w:cs="Arial" w:eastAsia="Arial" w:hAnsi="Arial"/>
                <w:sz w:val="16"/>
                <w:szCs w:val="16"/>
                <w:color w:val="0000EE"/>
              </w:rPr>
            </w:pPr>
            <w:hyperlink w:anchor="page56">
              <w:r>
                <w:rPr>
                  <w:rFonts w:ascii="Arial" w:cs="Arial" w:eastAsia="Arial" w:hAnsi="Arial"/>
                  <w:sz w:val="16"/>
                  <w:szCs w:val="16"/>
                  <w:color w:val="0000EE"/>
                </w:rPr>
                <w:t>Potential Payments on Termination or Change in Control</w:t>
              </w:r>
            </w:hyperlink>
          </w:p>
        </w:tc>
        <w:tc>
          <w:tcPr>
            <w:tcW w:w="4780" w:type="dxa"/>
            <w:vAlign w:val="bottom"/>
            <w:gridSpan w:val="7"/>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bottom w:val="single" w:sz="8" w:color="0000EE"/>
            </w:tcBorders>
          </w:tcPr>
          <w:p>
            <w:pPr>
              <w:jc w:val="right"/>
              <w:spacing w:after="0"/>
              <w:rPr>
                <w:rFonts w:ascii="Arial" w:cs="Arial" w:eastAsia="Arial" w:hAnsi="Arial"/>
                <w:sz w:val="16"/>
                <w:szCs w:val="16"/>
                <w:b w:val="1"/>
                <w:bCs w:val="1"/>
                <w:color w:val="0000EE"/>
                <w:w w:val="89"/>
              </w:rPr>
            </w:pPr>
            <w:hyperlink w:anchor="page56">
              <w:r>
                <w:rPr>
                  <w:rFonts w:ascii="Arial" w:cs="Arial" w:eastAsia="Arial" w:hAnsi="Arial"/>
                  <w:sz w:val="16"/>
                  <w:szCs w:val="16"/>
                  <w:b w:val="1"/>
                  <w:bCs w:val="1"/>
                  <w:color w:val="0000EE"/>
                  <w:w w:val="89"/>
                </w:rPr>
                <w:t>52</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100" w:type="dxa"/>
            <w:vAlign w:val="bottom"/>
            <w:tcBorders>
              <w:bottom w:val="single" w:sz="8" w:color="0000EE"/>
            </w:tcBorders>
            <w:gridSpan w:val="2"/>
          </w:tcPr>
          <w:p>
            <w:pPr>
              <w:spacing w:after="0"/>
              <w:rPr>
                <w:rFonts w:ascii="Arial" w:cs="Arial" w:eastAsia="Arial" w:hAnsi="Arial"/>
                <w:sz w:val="16"/>
                <w:szCs w:val="16"/>
                <w:color w:val="0000EE"/>
                <w:w w:val="99"/>
              </w:rPr>
            </w:pPr>
            <w:hyperlink w:anchor="page59">
              <w:r>
                <w:rPr>
                  <w:rFonts w:ascii="Arial" w:cs="Arial" w:eastAsia="Arial" w:hAnsi="Arial"/>
                  <w:sz w:val="16"/>
                  <w:szCs w:val="16"/>
                  <w:color w:val="0000EE"/>
                  <w:w w:val="99"/>
                </w:rPr>
                <w:t>CEO Pay Ratio</w:t>
              </w:r>
            </w:hyperlink>
          </w:p>
        </w:tc>
        <w:tc>
          <w:tcPr>
            <w:tcW w:w="7720" w:type="dxa"/>
            <w:vAlign w:val="bottom"/>
            <w:gridSpan w:val="25"/>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bottom w:val="single" w:sz="8" w:color="0000EE"/>
            </w:tcBorders>
          </w:tcPr>
          <w:p>
            <w:pPr>
              <w:jc w:val="right"/>
              <w:spacing w:after="0"/>
              <w:rPr>
                <w:rFonts w:ascii="Arial" w:cs="Arial" w:eastAsia="Arial" w:hAnsi="Arial"/>
                <w:sz w:val="16"/>
                <w:szCs w:val="16"/>
                <w:b w:val="1"/>
                <w:bCs w:val="1"/>
                <w:color w:val="0000EE"/>
                <w:w w:val="89"/>
              </w:rPr>
            </w:pPr>
            <w:hyperlink w:anchor="page59">
              <w:r>
                <w:rPr>
                  <w:rFonts w:ascii="Arial" w:cs="Arial" w:eastAsia="Arial" w:hAnsi="Arial"/>
                  <w:sz w:val="16"/>
                  <w:szCs w:val="16"/>
                  <w:b w:val="1"/>
                  <w:bCs w:val="1"/>
                  <w:color w:val="0000EE"/>
                  <w:w w:val="89"/>
                </w:rPr>
                <w:t>55</w:t>
              </w:r>
            </w:hyperlink>
          </w:p>
        </w:tc>
        <w:tc>
          <w:tcPr>
            <w:tcW w:w="800" w:type="dxa"/>
            <w:vAlign w:val="bottom"/>
          </w:tcPr>
          <w:p>
            <w:pPr>
              <w:spacing w:after="0"/>
              <w:rPr>
                <w:sz w:val="24"/>
                <w:szCs w:val="24"/>
                <w:color w:val="auto"/>
              </w:rPr>
            </w:pPr>
          </w:p>
        </w:tc>
      </w:tr>
      <w:tr>
        <w:trPr>
          <w:trHeight w:val="520"/>
        </w:trPr>
        <w:tc>
          <w:tcPr>
            <w:tcW w:w="780" w:type="dxa"/>
            <w:vAlign w:val="bottom"/>
          </w:tcPr>
          <w:p>
            <w:pPr>
              <w:spacing w:after="0"/>
              <w:rPr>
                <w:sz w:val="24"/>
                <w:szCs w:val="24"/>
                <w:color w:val="auto"/>
              </w:rPr>
            </w:pPr>
          </w:p>
        </w:tc>
        <w:tc>
          <w:tcPr>
            <w:tcW w:w="4840" w:type="dxa"/>
            <w:vAlign w:val="bottom"/>
            <w:gridSpan w:val="24"/>
          </w:tcPr>
          <w:p>
            <w:pPr>
              <w:spacing w:after="0"/>
              <w:rPr>
                <w:rFonts w:ascii="Arial" w:cs="Arial" w:eastAsia="Arial" w:hAnsi="Arial"/>
                <w:sz w:val="22"/>
                <w:szCs w:val="22"/>
                <w:b w:val="1"/>
                <w:bCs w:val="1"/>
                <w:color w:val="0000EE"/>
                <w:w w:val="97"/>
              </w:rPr>
            </w:pPr>
            <w:hyperlink w:anchor="page60">
              <w:r>
                <w:rPr>
                  <w:rFonts w:ascii="Arial" w:cs="Arial" w:eastAsia="Arial" w:hAnsi="Arial"/>
                  <w:sz w:val="22"/>
                  <w:szCs w:val="22"/>
                  <w:b w:val="1"/>
                  <w:bCs w:val="1"/>
                  <w:color w:val="0000EE"/>
                  <w:w w:val="97"/>
                </w:rPr>
                <w:t>EQUITY COMPENSATION PLAN INFORMATION</w:t>
              </w:r>
            </w:hyperlink>
          </w:p>
        </w:tc>
        <w:tc>
          <w:tcPr>
            <w:tcW w:w="4260" w:type="dxa"/>
            <w:vAlign w:val="bottom"/>
            <w:gridSpan w:val="4"/>
          </w:tcPr>
          <w:p>
            <w:pPr>
              <w:spacing w:after="0"/>
              <w:rPr>
                <w:sz w:val="24"/>
                <w:szCs w:val="24"/>
                <w:color w:val="auto"/>
              </w:rPr>
            </w:pPr>
          </w:p>
        </w:tc>
        <w:tc>
          <w:tcPr>
            <w:tcW w:w="340" w:type="dxa"/>
            <w:vAlign w:val="bottom"/>
            <w:gridSpan w:val="3"/>
          </w:tcPr>
          <w:p>
            <w:pPr>
              <w:jc w:val="right"/>
              <w:spacing w:after="0"/>
              <w:rPr>
                <w:rFonts w:ascii="Arial" w:cs="Arial" w:eastAsia="Arial" w:hAnsi="Arial"/>
                <w:sz w:val="22"/>
                <w:szCs w:val="22"/>
                <w:b w:val="1"/>
                <w:bCs w:val="1"/>
                <w:color w:val="0000EE"/>
              </w:rPr>
            </w:pPr>
            <w:hyperlink w:anchor="page60">
              <w:r>
                <w:rPr>
                  <w:rFonts w:ascii="Arial" w:cs="Arial" w:eastAsia="Arial" w:hAnsi="Arial"/>
                  <w:sz w:val="22"/>
                  <w:szCs w:val="22"/>
                  <w:b w:val="1"/>
                  <w:bCs w:val="1"/>
                  <w:color w:val="0000EE"/>
                </w:rPr>
                <w:t>56</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1320" w:type="dxa"/>
            <w:vAlign w:val="bottom"/>
            <w:gridSpan w:val="2"/>
            <w:shd w:val="clear" w:color="auto" w:fill="0000EE"/>
          </w:tcPr>
          <w:p>
            <w:pPr>
              <w:spacing w:after="0" w:line="20" w:lineRule="exact"/>
              <w:rPr>
                <w:sz w:val="1"/>
                <w:szCs w:val="1"/>
                <w:color w:val="auto"/>
              </w:rPr>
            </w:pPr>
          </w:p>
        </w:tc>
        <w:tc>
          <w:tcPr>
            <w:tcW w:w="520" w:type="dxa"/>
            <w:vAlign w:val="bottom"/>
            <w:gridSpan w:val="4"/>
            <w:shd w:val="clear" w:color="auto" w:fill="0000EE"/>
          </w:tcPr>
          <w:p>
            <w:pPr>
              <w:spacing w:after="0" w:line="20" w:lineRule="exact"/>
              <w:rPr>
                <w:sz w:val="1"/>
                <w:szCs w:val="1"/>
                <w:color w:val="auto"/>
              </w:rPr>
            </w:pPr>
          </w:p>
        </w:tc>
        <w:tc>
          <w:tcPr>
            <w:tcW w:w="1920" w:type="dxa"/>
            <w:vAlign w:val="bottom"/>
            <w:gridSpan w:val="12"/>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right w:val="single" w:sz="8" w:color="0000EE"/>
            </w:tcBorders>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533"/>
        </w:trPr>
        <w:tc>
          <w:tcPr>
            <w:tcW w:w="780" w:type="dxa"/>
            <w:vAlign w:val="bottom"/>
          </w:tcPr>
          <w:p>
            <w:pPr>
              <w:spacing w:after="0"/>
              <w:rPr>
                <w:sz w:val="24"/>
                <w:szCs w:val="24"/>
                <w:color w:val="auto"/>
              </w:rPr>
            </w:pPr>
          </w:p>
        </w:tc>
        <w:tc>
          <w:tcPr>
            <w:tcW w:w="9100" w:type="dxa"/>
            <w:vAlign w:val="bottom"/>
            <w:gridSpan w:val="28"/>
          </w:tcPr>
          <w:p>
            <w:pPr>
              <w:spacing w:after="0"/>
              <w:rPr>
                <w:rFonts w:ascii="Arial" w:cs="Arial" w:eastAsia="Arial" w:hAnsi="Arial"/>
                <w:sz w:val="22"/>
                <w:szCs w:val="22"/>
                <w:b w:val="1"/>
                <w:bCs w:val="1"/>
                <w:color w:val="0000EE"/>
              </w:rPr>
            </w:pPr>
            <w:hyperlink w:anchor="page61">
              <w:r>
                <w:rPr>
                  <w:rFonts w:ascii="Arial" w:cs="Arial" w:eastAsia="Arial" w:hAnsi="Arial"/>
                  <w:sz w:val="22"/>
                  <w:szCs w:val="22"/>
                  <w:b w:val="1"/>
                  <w:bCs w:val="1"/>
                  <w:color w:val="0000EE"/>
                </w:rPr>
                <w:t>SECURITY OWNERSHIP OF CERTAIN BENEFICIAL OWNERS AND MANAGEMENT</w:t>
              </w:r>
            </w:hyperlink>
          </w:p>
        </w:tc>
        <w:tc>
          <w:tcPr>
            <w:tcW w:w="340" w:type="dxa"/>
            <w:vAlign w:val="bottom"/>
            <w:gridSpan w:val="3"/>
          </w:tcPr>
          <w:p>
            <w:pPr>
              <w:jc w:val="right"/>
              <w:spacing w:after="0"/>
              <w:rPr>
                <w:rFonts w:ascii="Arial" w:cs="Arial" w:eastAsia="Arial" w:hAnsi="Arial"/>
                <w:sz w:val="22"/>
                <w:szCs w:val="22"/>
                <w:b w:val="1"/>
                <w:bCs w:val="1"/>
                <w:color w:val="0000EE"/>
              </w:rPr>
            </w:pPr>
            <w:hyperlink w:anchor="page61">
              <w:r>
                <w:rPr>
                  <w:rFonts w:ascii="Arial" w:cs="Arial" w:eastAsia="Arial" w:hAnsi="Arial"/>
                  <w:sz w:val="22"/>
                  <w:szCs w:val="22"/>
                  <w:b w:val="1"/>
                  <w:bCs w:val="1"/>
                  <w:color w:val="0000EE"/>
                </w:rPr>
                <w:t>57</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1320" w:type="dxa"/>
            <w:vAlign w:val="bottom"/>
            <w:gridSpan w:val="2"/>
            <w:shd w:val="clear" w:color="auto" w:fill="0000EE"/>
          </w:tcPr>
          <w:p>
            <w:pPr>
              <w:spacing w:after="0" w:line="20" w:lineRule="exact"/>
              <w:rPr>
                <w:sz w:val="1"/>
                <w:szCs w:val="1"/>
                <w:color w:val="auto"/>
              </w:rPr>
            </w:pPr>
          </w:p>
        </w:tc>
        <w:tc>
          <w:tcPr>
            <w:tcW w:w="520" w:type="dxa"/>
            <w:vAlign w:val="bottom"/>
            <w:gridSpan w:val="4"/>
            <w:shd w:val="clear" w:color="auto" w:fill="0000EE"/>
          </w:tcPr>
          <w:p>
            <w:pPr>
              <w:spacing w:after="0" w:line="20" w:lineRule="exact"/>
              <w:rPr>
                <w:sz w:val="1"/>
                <w:szCs w:val="1"/>
                <w:color w:val="auto"/>
              </w:rPr>
            </w:pPr>
          </w:p>
        </w:tc>
        <w:tc>
          <w:tcPr>
            <w:tcW w:w="1920" w:type="dxa"/>
            <w:vAlign w:val="bottom"/>
            <w:gridSpan w:val="12"/>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300" w:type="dxa"/>
            <w:vAlign w:val="bottom"/>
            <w:gridSpan w:val="2"/>
            <w:shd w:val="clear" w:color="auto" w:fill="0000EE"/>
          </w:tcPr>
          <w:p>
            <w:pPr>
              <w:spacing w:after="0" w:line="20" w:lineRule="exact"/>
              <w:rPr>
                <w:sz w:val="1"/>
                <w:szCs w:val="1"/>
                <w:color w:val="auto"/>
              </w:rPr>
            </w:pPr>
          </w:p>
        </w:tc>
        <w:tc>
          <w:tcPr>
            <w:tcW w:w="2000" w:type="dxa"/>
            <w:vAlign w:val="bottom"/>
            <w:shd w:val="clear" w:color="auto" w:fill="0000EE"/>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right w:val="single" w:sz="8" w:color="0000EE"/>
            </w:tcBorders>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534"/>
        </w:trPr>
        <w:tc>
          <w:tcPr>
            <w:tcW w:w="780" w:type="dxa"/>
            <w:vAlign w:val="bottom"/>
          </w:tcPr>
          <w:p>
            <w:pPr>
              <w:spacing w:after="0"/>
              <w:rPr>
                <w:sz w:val="24"/>
                <w:szCs w:val="24"/>
                <w:color w:val="auto"/>
              </w:rPr>
            </w:pPr>
          </w:p>
        </w:tc>
        <w:tc>
          <w:tcPr>
            <w:tcW w:w="8400" w:type="dxa"/>
            <w:vAlign w:val="bottom"/>
            <w:gridSpan w:val="27"/>
          </w:tcPr>
          <w:p>
            <w:pPr>
              <w:spacing w:after="0"/>
              <w:rPr>
                <w:rFonts w:ascii="Arial" w:cs="Arial" w:eastAsia="Arial" w:hAnsi="Arial"/>
                <w:sz w:val="22"/>
                <w:szCs w:val="22"/>
                <w:b w:val="1"/>
                <w:bCs w:val="1"/>
                <w:color w:val="0000EE"/>
              </w:rPr>
            </w:pPr>
            <w:hyperlink w:anchor="page63">
              <w:r>
                <w:rPr>
                  <w:rFonts w:ascii="Arial" w:cs="Arial" w:eastAsia="Arial" w:hAnsi="Arial"/>
                  <w:sz w:val="22"/>
                  <w:szCs w:val="22"/>
                  <w:b w:val="1"/>
                  <w:bCs w:val="1"/>
                  <w:color w:val="0000EE"/>
                </w:rPr>
                <w:t>CERTAIN RELATIONSHIPS, RELATED PARTY AND OTHER TRANSACTIONS</w:t>
              </w:r>
            </w:hyperlink>
          </w:p>
        </w:tc>
        <w:tc>
          <w:tcPr>
            <w:tcW w:w="700" w:type="dxa"/>
            <w:vAlign w:val="bottom"/>
          </w:tcPr>
          <w:p>
            <w:pPr>
              <w:spacing w:after="0"/>
              <w:rPr>
                <w:sz w:val="24"/>
                <w:szCs w:val="24"/>
                <w:color w:val="auto"/>
              </w:rPr>
            </w:pPr>
          </w:p>
        </w:tc>
        <w:tc>
          <w:tcPr>
            <w:tcW w:w="340" w:type="dxa"/>
            <w:vAlign w:val="bottom"/>
            <w:gridSpan w:val="3"/>
          </w:tcPr>
          <w:p>
            <w:pPr>
              <w:jc w:val="right"/>
              <w:spacing w:after="0"/>
              <w:rPr>
                <w:rFonts w:ascii="Arial" w:cs="Arial" w:eastAsia="Arial" w:hAnsi="Arial"/>
                <w:sz w:val="22"/>
                <w:szCs w:val="22"/>
                <w:b w:val="1"/>
                <w:bCs w:val="1"/>
                <w:color w:val="0000EE"/>
              </w:rPr>
            </w:pPr>
            <w:hyperlink w:anchor="page63">
              <w:r>
                <w:rPr>
                  <w:rFonts w:ascii="Arial" w:cs="Arial" w:eastAsia="Arial" w:hAnsi="Arial"/>
                  <w:sz w:val="22"/>
                  <w:szCs w:val="22"/>
                  <w:b w:val="1"/>
                  <w:bCs w:val="1"/>
                  <w:color w:val="0000EE"/>
                </w:rPr>
                <w:t>59</w:t>
              </w:r>
            </w:hyperlink>
          </w:p>
        </w:tc>
        <w:tc>
          <w:tcPr>
            <w:tcW w:w="800" w:type="dxa"/>
            <w:vAlign w:val="bottom"/>
          </w:tcPr>
          <w:p>
            <w:pPr>
              <w:spacing w:after="0"/>
              <w:rPr>
                <w:sz w:val="24"/>
                <w:szCs w:val="24"/>
                <w:color w:val="auto"/>
              </w:rPr>
            </w:pPr>
          </w:p>
        </w:tc>
      </w:tr>
      <w:tr>
        <w:trPr>
          <w:trHeight w:val="344"/>
        </w:trPr>
        <w:tc>
          <w:tcPr>
            <w:tcW w:w="780" w:type="dxa"/>
            <w:vAlign w:val="bottom"/>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7480" w:type="dxa"/>
            <w:vAlign w:val="bottom"/>
            <w:tcBorders>
              <w:top w:val="single" w:sz="8" w:color="0000EE"/>
            </w:tcBorders>
            <w:gridSpan w:val="25"/>
          </w:tcPr>
          <w:p>
            <w:pPr>
              <w:spacing w:after="0"/>
              <w:rPr>
                <w:rFonts w:ascii="Arial" w:cs="Arial" w:eastAsia="Arial" w:hAnsi="Arial"/>
                <w:sz w:val="16"/>
                <w:szCs w:val="16"/>
                <w:color w:val="0000EE"/>
              </w:rPr>
            </w:pPr>
            <w:hyperlink w:anchor="page63">
              <w:r>
                <w:rPr>
                  <w:rFonts w:ascii="Arial" w:cs="Arial" w:eastAsia="Arial" w:hAnsi="Arial"/>
                  <w:sz w:val="16"/>
                  <w:szCs w:val="16"/>
                  <w:color w:val="0000EE"/>
                </w:rPr>
                <w:t>Policies and Procedures for Related Person Transactions</w:t>
              </w:r>
            </w:hyperlink>
          </w:p>
        </w:tc>
        <w:tc>
          <w:tcPr>
            <w:tcW w:w="1340" w:type="dxa"/>
            <w:vAlign w:val="bottom"/>
            <w:gridSpan w:val="2"/>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top w:val="single" w:sz="8" w:color="0000EE"/>
            </w:tcBorders>
          </w:tcPr>
          <w:p>
            <w:pPr>
              <w:jc w:val="right"/>
              <w:spacing w:after="0"/>
              <w:rPr>
                <w:rFonts w:ascii="Arial" w:cs="Arial" w:eastAsia="Arial" w:hAnsi="Arial"/>
                <w:sz w:val="16"/>
                <w:szCs w:val="16"/>
                <w:b w:val="1"/>
                <w:bCs w:val="1"/>
                <w:color w:val="0000EE"/>
                <w:w w:val="89"/>
              </w:rPr>
            </w:pPr>
            <w:hyperlink w:anchor="page63">
              <w:r>
                <w:rPr>
                  <w:rFonts w:ascii="Arial" w:cs="Arial" w:eastAsia="Arial" w:hAnsi="Arial"/>
                  <w:sz w:val="16"/>
                  <w:szCs w:val="16"/>
                  <w:b w:val="1"/>
                  <w:bCs w:val="1"/>
                  <w:color w:val="0000EE"/>
                  <w:w w:val="89"/>
                </w:rPr>
                <w:t>59</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gridSpan w:val="4"/>
            <w:shd w:val="clear" w:color="auto" w:fill="0000EE"/>
          </w:tcPr>
          <w:p>
            <w:pPr>
              <w:spacing w:after="0" w:line="20" w:lineRule="exact"/>
              <w:rPr>
                <w:sz w:val="1"/>
                <w:szCs w:val="1"/>
                <w:color w:val="auto"/>
              </w:rPr>
            </w:pPr>
          </w:p>
        </w:tc>
        <w:tc>
          <w:tcPr>
            <w:tcW w:w="1920" w:type="dxa"/>
            <w:vAlign w:val="bottom"/>
            <w:gridSpan w:val="12"/>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334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520"/>
        </w:trPr>
        <w:tc>
          <w:tcPr>
            <w:tcW w:w="780" w:type="dxa"/>
            <w:vAlign w:val="bottom"/>
          </w:tcPr>
          <w:p>
            <w:pPr>
              <w:spacing w:after="0"/>
              <w:rPr>
                <w:sz w:val="24"/>
                <w:szCs w:val="24"/>
                <w:color w:val="auto"/>
              </w:rPr>
            </w:pPr>
          </w:p>
        </w:tc>
        <w:tc>
          <w:tcPr>
            <w:tcW w:w="9100" w:type="dxa"/>
            <w:vAlign w:val="bottom"/>
            <w:gridSpan w:val="28"/>
          </w:tcPr>
          <w:p>
            <w:pPr>
              <w:spacing w:after="0"/>
              <w:rPr>
                <w:rFonts w:ascii="Arial" w:cs="Arial" w:eastAsia="Arial" w:hAnsi="Arial"/>
                <w:sz w:val="22"/>
                <w:szCs w:val="22"/>
                <w:b w:val="1"/>
                <w:bCs w:val="1"/>
                <w:color w:val="0000EE"/>
              </w:rPr>
            </w:pPr>
            <w:hyperlink w:anchor="page64">
              <w:r>
                <w:rPr>
                  <w:rFonts w:ascii="Arial" w:cs="Arial" w:eastAsia="Arial" w:hAnsi="Arial"/>
                  <w:sz w:val="22"/>
                  <w:szCs w:val="22"/>
                  <w:b w:val="1"/>
                  <w:bCs w:val="1"/>
                  <w:color w:val="0000EE"/>
                </w:rPr>
                <w:t>OTHER MATTERS</w:t>
              </w:r>
            </w:hyperlink>
          </w:p>
        </w:tc>
        <w:tc>
          <w:tcPr>
            <w:tcW w:w="340" w:type="dxa"/>
            <w:vAlign w:val="bottom"/>
            <w:gridSpan w:val="3"/>
          </w:tcPr>
          <w:p>
            <w:pPr>
              <w:jc w:val="right"/>
              <w:spacing w:after="0"/>
              <w:rPr>
                <w:rFonts w:ascii="Arial" w:cs="Arial" w:eastAsia="Arial" w:hAnsi="Arial"/>
                <w:sz w:val="22"/>
                <w:szCs w:val="22"/>
                <w:b w:val="1"/>
                <w:bCs w:val="1"/>
                <w:color w:val="0000EE"/>
              </w:rPr>
            </w:pPr>
            <w:hyperlink w:anchor="page64">
              <w:r>
                <w:rPr>
                  <w:rFonts w:ascii="Arial" w:cs="Arial" w:eastAsia="Arial" w:hAnsi="Arial"/>
                  <w:sz w:val="22"/>
                  <w:szCs w:val="22"/>
                  <w:b w:val="1"/>
                  <w:bCs w:val="1"/>
                  <w:color w:val="0000EE"/>
                </w:rPr>
                <w:t>60</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gridSpan w:val="4"/>
            <w:shd w:val="clear" w:color="auto" w:fill="0000EE"/>
          </w:tcPr>
          <w:p>
            <w:pPr>
              <w:spacing w:after="0" w:line="20" w:lineRule="exact"/>
              <w:rPr>
                <w:sz w:val="1"/>
                <w:szCs w:val="1"/>
                <w:color w:val="auto"/>
              </w:rPr>
            </w:pPr>
          </w:p>
        </w:tc>
        <w:tc>
          <w:tcPr>
            <w:tcW w:w="1920" w:type="dxa"/>
            <w:vAlign w:val="bottom"/>
            <w:gridSpan w:val="12"/>
          </w:tcPr>
          <w:p>
            <w:pPr>
              <w:spacing w:after="0" w:line="20" w:lineRule="exact"/>
              <w:rPr>
                <w:sz w:val="1"/>
                <w:szCs w:val="1"/>
                <w:color w:val="auto"/>
              </w:rPr>
            </w:pPr>
          </w:p>
        </w:tc>
        <w:tc>
          <w:tcPr>
            <w:tcW w:w="700" w:type="dxa"/>
            <w:vAlign w:val="bottom"/>
            <w:gridSpan w:val="5"/>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334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right w:val="single" w:sz="8" w:color="0000EE"/>
            </w:tcBorders>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45"/>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4180" w:type="dxa"/>
            <w:vAlign w:val="bottom"/>
            <w:tcBorders>
              <w:bottom w:val="single" w:sz="8" w:color="0000EE"/>
            </w:tcBorders>
            <w:gridSpan w:val="22"/>
          </w:tcPr>
          <w:p>
            <w:pPr>
              <w:spacing w:after="0"/>
              <w:rPr>
                <w:rFonts w:ascii="Arial" w:cs="Arial" w:eastAsia="Arial" w:hAnsi="Arial"/>
                <w:sz w:val="16"/>
                <w:szCs w:val="16"/>
                <w:color w:val="0000EE"/>
              </w:rPr>
            </w:pPr>
            <w:hyperlink w:anchor="page64">
              <w:r>
                <w:rPr>
                  <w:rFonts w:ascii="Arial" w:cs="Arial" w:eastAsia="Arial" w:hAnsi="Arial"/>
                  <w:sz w:val="16"/>
                  <w:szCs w:val="16"/>
                  <w:color w:val="0000EE"/>
                </w:rPr>
                <w:t>Section 16(a) Beneficial Ownership Reporting Compliance</w:t>
              </w:r>
            </w:hyperlink>
          </w:p>
        </w:tc>
        <w:tc>
          <w:tcPr>
            <w:tcW w:w="4640" w:type="dxa"/>
            <w:vAlign w:val="bottom"/>
            <w:gridSpan w:val="5"/>
          </w:tcPr>
          <w:p>
            <w:pPr>
              <w:spacing w:after="0"/>
              <w:rPr>
                <w:sz w:val="24"/>
                <w:szCs w:val="24"/>
                <w:color w:val="auto"/>
              </w:rPr>
            </w:pPr>
          </w:p>
        </w:tc>
        <w:tc>
          <w:tcPr>
            <w:tcW w:w="160" w:type="dxa"/>
            <w:vAlign w:val="bottom"/>
            <w:gridSpan w:val="2"/>
          </w:tcPr>
          <w:p>
            <w:pPr>
              <w:spacing w:after="0"/>
              <w:rPr>
                <w:sz w:val="24"/>
                <w:szCs w:val="24"/>
                <w:color w:val="auto"/>
              </w:rPr>
            </w:pPr>
          </w:p>
        </w:tc>
        <w:tc>
          <w:tcPr>
            <w:tcW w:w="180" w:type="dxa"/>
            <w:vAlign w:val="bottom"/>
            <w:tcBorders>
              <w:bottom w:val="single" w:sz="8" w:color="0000EE"/>
            </w:tcBorders>
          </w:tcPr>
          <w:p>
            <w:pPr>
              <w:jc w:val="right"/>
              <w:spacing w:after="0"/>
              <w:rPr>
                <w:rFonts w:ascii="Arial" w:cs="Arial" w:eastAsia="Arial" w:hAnsi="Arial"/>
                <w:sz w:val="16"/>
                <w:szCs w:val="16"/>
                <w:b w:val="1"/>
                <w:bCs w:val="1"/>
                <w:color w:val="0000EE"/>
                <w:w w:val="89"/>
              </w:rPr>
            </w:pPr>
            <w:hyperlink w:anchor="page64">
              <w:r>
                <w:rPr>
                  <w:rFonts w:ascii="Arial" w:cs="Arial" w:eastAsia="Arial" w:hAnsi="Arial"/>
                  <w:sz w:val="16"/>
                  <w:szCs w:val="16"/>
                  <w:b w:val="1"/>
                  <w:bCs w:val="1"/>
                  <w:color w:val="0000EE"/>
                  <w:w w:val="89"/>
                </w:rPr>
                <w:t>60</w:t>
              </w:r>
            </w:hyperlink>
          </w:p>
        </w:tc>
        <w:tc>
          <w:tcPr>
            <w:tcW w:w="800" w:type="dxa"/>
            <w:vAlign w:val="bottom"/>
          </w:tcPr>
          <w:p>
            <w:pPr>
              <w:spacing w:after="0"/>
              <w:rPr>
                <w:sz w:val="24"/>
                <w:szCs w:val="24"/>
                <w:color w:val="auto"/>
              </w:rPr>
            </w:pPr>
          </w:p>
        </w:tc>
      </w:tr>
      <w:tr>
        <w:trPr>
          <w:trHeight w:val="331"/>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7"/>
          </w:tcPr>
          <w:p>
            <w:pPr>
              <w:spacing w:after="0"/>
              <w:rPr>
                <w:rFonts w:ascii="Arial" w:cs="Arial" w:eastAsia="Arial" w:hAnsi="Arial"/>
                <w:sz w:val="16"/>
                <w:szCs w:val="16"/>
                <w:color w:val="0000EE"/>
              </w:rPr>
            </w:pPr>
            <w:hyperlink w:anchor="page64">
              <w:r>
                <w:rPr>
                  <w:rFonts w:ascii="Arial" w:cs="Arial" w:eastAsia="Arial" w:hAnsi="Arial"/>
                  <w:sz w:val="16"/>
                  <w:szCs w:val="16"/>
                  <w:color w:val="0000EE"/>
                </w:rPr>
                <w:t>Fiscal Year 2021 Annual Report and SEC Filings</w:t>
              </w:r>
            </w:hyperlink>
          </w:p>
        </w:tc>
        <w:tc>
          <w:tcPr>
            <w:tcW w:w="340" w:type="dxa"/>
            <w:vAlign w:val="bottom"/>
            <w:gridSpan w:val="3"/>
          </w:tcPr>
          <w:p>
            <w:pPr>
              <w:jc w:val="right"/>
              <w:spacing w:after="0"/>
              <w:rPr>
                <w:rFonts w:ascii="Arial" w:cs="Arial" w:eastAsia="Arial" w:hAnsi="Arial"/>
                <w:sz w:val="16"/>
                <w:szCs w:val="16"/>
                <w:b w:val="1"/>
                <w:bCs w:val="1"/>
                <w:color w:val="0000EE"/>
              </w:rPr>
            </w:pPr>
            <w:hyperlink w:anchor="page64">
              <w:r>
                <w:rPr>
                  <w:rFonts w:ascii="Arial" w:cs="Arial" w:eastAsia="Arial" w:hAnsi="Arial"/>
                  <w:sz w:val="16"/>
                  <w:szCs w:val="16"/>
                  <w:b w:val="1"/>
                  <w:bCs w:val="1"/>
                  <w:color w:val="0000EE"/>
                </w:rPr>
                <w:t>60</w:t>
              </w:r>
            </w:hyperlink>
          </w:p>
        </w:tc>
        <w:tc>
          <w:tcPr>
            <w:tcW w:w="800" w:type="dxa"/>
            <w:vAlign w:val="bottom"/>
          </w:tcPr>
          <w:p>
            <w:pPr>
              <w:spacing w:after="0"/>
              <w:rPr>
                <w:sz w:val="24"/>
                <w:szCs w:val="24"/>
                <w:color w:val="auto"/>
              </w:rPr>
            </w:pPr>
          </w:p>
        </w:tc>
      </w:tr>
      <w:tr>
        <w:trPr>
          <w:trHeight w:val="20"/>
        </w:trPr>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2440" w:type="dxa"/>
            <w:vAlign w:val="bottom"/>
            <w:gridSpan w:val="16"/>
            <w:shd w:val="clear" w:color="auto" w:fill="0000EE"/>
          </w:tcPr>
          <w:p>
            <w:pPr>
              <w:spacing w:after="0" w:line="20" w:lineRule="exact"/>
              <w:rPr>
                <w:sz w:val="1"/>
                <w:szCs w:val="1"/>
                <w:color w:val="auto"/>
              </w:rPr>
            </w:pPr>
          </w:p>
        </w:tc>
        <w:tc>
          <w:tcPr>
            <w:tcW w:w="2000" w:type="dxa"/>
            <w:vAlign w:val="bottom"/>
            <w:gridSpan w:val="7"/>
          </w:tcPr>
          <w:p>
            <w:pPr>
              <w:spacing w:after="0" w:line="20" w:lineRule="exact"/>
              <w:rPr>
                <w:sz w:val="1"/>
                <w:szCs w:val="1"/>
                <w:color w:val="auto"/>
              </w:rPr>
            </w:pPr>
          </w:p>
        </w:tc>
        <w:tc>
          <w:tcPr>
            <w:tcW w:w="334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520"/>
        </w:trPr>
        <w:tc>
          <w:tcPr>
            <w:tcW w:w="780" w:type="dxa"/>
            <w:vAlign w:val="bottom"/>
          </w:tcPr>
          <w:p>
            <w:pPr>
              <w:spacing w:after="0"/>
              <w:rPr>
                <w:sz w:val="24"/>
                <w:szCs w:val="24"/>
                <w:color w:val="auto"/>
              </w:rPr>
            </w:pPr>
          </w:p>
        </w:tc>
        <w:tc>
          <w:tcPr>
            <w:tcW w:w="9100" w:type="dxa"/>
            <w:vAlign w:val="bottom"/>
            <w:gridSpan w:val="28"/>
          </w:tcPr>
          <w:p>
            <w:pPr>
              <w:spacing w:after="0"/>
              <w:rPr>
                <w:rFonts w:ascii="Arial" w:cs="Arial" w:eastAsia="Arial" w:hAnsi="Arial"/>
                <w:sz w:val="22"/>
                <w:szCs w:val="22"/>
                <w:b w:val="1"/>
                <w:bCs w:val="1"/>
                <w:color w:val="0000EE"/>
              </w:rPr>
            </w:pPr>
            <w:hyperlink w:anchor="page65">
              <w:r>
                <w:rPr>
                  <w:rFonts w:ascii="Arial" w:cs="Arial" w:eastAsia="Arial" w:hAnsi="Arial"/>
                  <w:sz w:val="22"/>
                  <w:szCs w:val="22"/>
                  <w:b w:val="1"/>
                  <w:bCs w:val="1"/>
                  <w:color w:val="0000EE"/>
                </w:rPr>
                <w:t>APPENDIX A</w:t>
              </w:r>
            </w:hyperlink>
          </w:p>
        </w:tc>
        <w:tc>
          <w:tcPr>
            <w:tcW w:w="1140" w:type="dxa"/>
            <w:vAlign w:val="bottom"/>
            <w:gridSpan w:val="4"/>
          </w:tcPr>
          <w:p>
            <w:pPr>
              <w:jc w:val="right"/>
              <w:ind w:right="780"/>
              <w:spacing w:after="0"/>
              <w:rPr>
                <w:rFonts w:ascii="Arial" w:cs="Arial" w:eastAsia="Arial" w:hAnsi="Arial"/>
                <w:sz w:val="22"/>
                <w:szCs w:val="22"/>
                <w:b w:val="1"/>
                <w:bCs w:val="1"/>
                <w:color w:val="0000EE"/>
                <w:w w:val="95"/>
              </w:rPr>
            </w:pPr>
            <w:hyperlink w:anchor="page65">
              <w:r>
                <w:rPr>
                  <w:rFonts w:ascii="Arial" w:cs="Arial" w:eastAsia="Arial" w:hAnsi="Arial"/>
                  <w:sz w:val="22"/>
                  <w:szCs w:val="22"/>
                  <w:b w:val="1"/>
                  <w:bCs w:val="1"/>
                  <w:color w:val="0000EE"/>
                  <w:w w:val="95"/>
                </w:rPr>
                <w:t>A-1</w:t>
              </w:r>
            </w:hyperlink>
          </w:p>
        </w:tc>
      </w:tr>
      <w:tr>
        <w:trPr>
          <w:trHeight w:val="20"/>
        </w:trPr>
        <w:tc>
          <w:tcPr>
            <w:tcW w:w="780" w:type="dxa"/>
            <w:vAlign w:val="bottom"/>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4440" w:type="dxa"/>
            <w:vAlign w:val="bottom"/>
            <w:gridSpan w:val="23"/>
          </w:tcPr>
          <w:p>
            <w:pPr>
              <w:spacing w:after="0" w:line="20" w:lineRule="exact"/>
              <w:rPr>
                <w:sz w:val="1"/>
                <w:szCs w:val="1"/>
                <w:color w:val="auto"/>
              </w:rPr>
            </w:pPr>
          </w:p>
        </w:tc>
        <w:tc>
          <w:tcPr>
            <w:tcW w:w="3340" w:type="dxa"/>
            <w:vAlign w:val="bottom"/>
            <w:gridSpan w:val="3"/>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60" w:type="dxa"/>
            <w:vAlign w:val="bottom"/>
            <w:gridSpan w:val="2"/>
            <w:shd w:val="clear" w:color="auto" w:fill="0000EE"/>
          </w:tcPr>
          <w:p>
            <w:pPr>
              <w:spacing w:after="0" w:line="20" w:lineRule="exact"/>
              <w:rPr>
                <w:sz w:val="1"/>
                <w:szCs w:val="1"/>
                <w:color w:val="auto"/>
              </w:rPr>
            </w:pPr>
          </w:p>
        </w:tc>
        <w:tc>
          <w:tcPr>
            <w:tcW w:w="800" w:type="dxa"/>
            <w:vAlign w:val="bottom"/>
            <w:tcBorders>
              <w:left w:val="single" w:sz="8" w:color="0000EE"/>
            </w:tcBorders>
          </w:tcPr>
          <w:p>
            <w:pPr>
              <w:spacing w:after="0" w:line="20" w:lineRule="exact"/>
              <w:rPr>
                <w:sz w:val="1"/>
                <w:szCs w:val="1"/>
                <w:color w:val="auto"/>
              </w:rPr>
            </w:pPr>
          </w:p>
        </w:tc>
      </w:tr>
      <w:tr>
        <w:trPr>
          <w:trHeight w:val="345"/>
        </w:trPr>
        <w:tc>
          <w:tcPr>
            <w:tcW w:w="7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820" w:type="dxa"/>
            <w:vAlign w:val="bottom"/>
            <w:gridSpan w:val="27"/>
          </w:tcPr>
          <w:p>
            <w:pPr>
              <w:spacing w:after="0"/>
              <w:rPr>
                <w:rFonts w:ascii="Arial" w:cs="Arial" w:eastAsia="Arial" w:hAnsi="Arial"/>
                <w:sz w:val="16"/>
                <w:szCs w:val="16"/>
                <w:color w:val="0000EE"/>
              </w:rPr>
            </w:pPr>
            <w:hyperlink w:anchor="page65">
              <w:r>
                <w:rPr>
                  <w:rFonts w:ascii="Arial" w:cs="Arial" w:eastAsia="Arial" w:hAnsi="Arial"/>
                  <w:sz w:val="16"/>
                  <w:szCs w:val="16"/>
                  <w:color w:val="0000EE"/>
                </w:rPr>
                <w:t>Reconciliation of GAAP financial measures to non-GAAP financial measures</w:t>
              </w:r>
            </w:hyperlink>
          </w:p>
        </w:tc>
        <w:tc>
          <w:tcPr>
            <w:tcW w:w="80" w:type="dxa"/>
            <w:vAlign w:val="bottom"/>
          </w:tcPr>
          <w:p>
            <w:pPr>
              <w:spacing w:after="0"/>
              <w:rPr>
                <w:sz w:val="24"/>
                <w:szCs w:val="24"/>
                <w:color w:val="auto"/>
              </w:rPr>
            </w:pPr>
          </w:p>
        </w:tc>
        <w:tc>
          <w:tcPr>
            <w:tcW w:w="1060" w:type="dxa"/>
            <w:vAlign w:val="bottom"/>
            <w:gridSpan w:val="3"/>
          </w:tcPr>
          <w:p>
            <w:pPr>
              <w:jc w:val="right"/>
              <w:ind w:right="800"/>
              <w:spacing w:after="0"/>
              <w:rPr>
                <w:rFonts w:ascii="Arial" w:cs="Arial" w:eastAsia="Arial" w:hAnsi="Arial"/>
                <w:sz w:val="16"/>
                <w:szCs w:val="16"/>
                <w:b w:val="1"/>
                <w:bCs w:val="1"/>
                <w:color w:val="0000EE"/>
                <w:w w:val="92"/>
              </w:rPr>
            </w:pPr>
            <w:hyperlink w:anchor="page65">
              <w:r>
                <w:rPr>
                  <w:rFonts w:ascii="Arial" w:cs="Arial" w:eastAsia="Arial" w:hAnsi="Arial"/>
                  <w:sz w:val="16"/>
                  <w:szCs w:val="16"/>
                  <w:b w:val="1"/>
                  <w:bCs w:val="1"/>
                  <w:color w:val="0000EE"/>
                  <w:w w:val="92"/>
                </w:rPr>
                <w:t>A-1</w:t>
              </w:r>
            </w:hyperlink>
          </w:p>
        </w:tc>
      </w:tr>
      <w:tr>
        <w:trPr>
          <w:trHeight w:val="298"/>
        </w:trPr>
        <w:tc>
          <w:tcPr>
            <w:tcW w:w="78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40" w:type="dxa"/>
            <w:vAlign w:val="bottom"/>
            <w:tcBorders>
              <w:top w:val="single" w:sz="8" w:color="0000EE"/>
              <w:bottom w:val="single" w:sz="8" w:color="auto"/>
            </w:tcBorders>
          </w:tcPr>
          <w:p>
            <w:pPr>
              <w:spacing w:after="0"/>
              <w:rPr>
                <w:sz w:val="24"/>
                <w:szCs w:val="24"/>
                <w:color w:val="auto"/>
              </w:rPr>
            </w:pPr>
          </w:p>
        </w:tc>
        <w:tc>
          <w:tcPr>
            <w:tcW w:w="60" w:type="dxa"/>
            <w:vAlign w:val="bottom"/>
            <w:tcBorders>
              <w:top w:val="single" w:sz="8" w:color="0000EE"/>
              <w:bottom w:val="single" w:sz="8" w:color="auto"/>
            </w:tcBorders>
          </w:tcPr>
          <w:p>
            <w:pPr>
              <w:spacing w:after="0"/>
              <w:rPr>
                <w:sz w:val="24"/>
                <w:szCs w:val="24"/>
                <w:color w:val="auto"/>
              </w:rPr>
            </w:pPr>
          </w:p>
        </w:tc>
        <w:tc>
          <w:tcPr>
            <w:tcW w:w="220" w:type="dxa"/>
            <w:vAlign w:val="bottom"/>
            <w:tcBorders>
              <w:top w:val="single" w:sz="8" w:color="0000EE"/>
              <w:bottom w:val="single" w:sz="8" w:color="auto"/>
            </w:tcBorders>
          </w:tcPr>
          <w:p>
            <w:pPr>
              <w:spacing w:after="0"/>
              <w:rPr>
                <w:sz w:val="24"/>
                <w:szCs w:val="24"/>
                <w:color w:val="auto"/>
              </w:rPr>
            </w:pPr>
          </w:p>
        </w:tc>
        <w:tc>
          <w:tcPr>
            <w:tcW w:w="120" w:type="dxa"/>
            <w:vAlign w:val="bottom"/>
            <w:tcBorders>
              <w:top w:val="single" w:sz="8" w:color="0000EE"/>
              <w:bottom w:val="single" w:sz="8" w:color="auto"/>
            </w:tcBorders>
          </w:tcPr>
          <w:p>
            <w:pPr>
              <w:spacing w:after="0"/>
              <w:rPr>
                <w:sz w:val="24"/>
                <w:szCs w:val="24"/>
                <w:color w:val="auto"/>
              </w:rPr>
            </w:pPr>
          </w:p>
        </w:tc>
        <w:tc>
          <w:tcPr>
            <w:tcW w:w="120" w:type="dxa"/>
            <w:vAlign w:val="bottom"/>
            <w:tcBorders>
              <w:top w:val="single" w:sz="8" w:color="0000EE"/>
              <w:bottom w:val="single" w:sz="8" w:color="auto"/>
            </w:tcBorders>
          </w:tcPr>
          <w:p>
            <w:pPr>
              <w:spacing w:after="0"/>
              <w:rPr>
                <w:sz w:val="24"/>
                <w:szCs w:val="24"/>
                <w:color w:val="auto"/>
              </w:rPr>
            </w:pPr>
          </w:p>
        </w:tc>
        <w:tc>
          <w:tcPr>
            <w:tcW w:w="200" w:type="dxa"/>
            <w:vAlign w:val="bottom"/>
            <w:tcBorders>
              <w:top w:val="single" w:sz="8" w:color="0000EE"/>
              <w:bottom w:val="single" w:sz="8" w:color="auto"/>
            </w:tcBorders>
          </w:tcPr>
          <w:p>
            <w:pPr>
              <w:spacing w:after="0"/>
              <w:rPr>
                <w:sz w:val="24"/>
                <w:szCs w:val="24"/>
                <w:color w:val="auto"/>
              </w:rPr>
            </w:pPr>
          </w:p>
        </w:tc>
        <w:tc>
          <w:tcPr>
            <w:tcW w:w="200" w:type="dxa"/>
            <w:vAlign w:val="bottom"/>
            <w:tcBorders>
              <w:top w:val="single" w:sz="8" w:color="0000EE"/>
              <w:bottom w:val="single" w:sz="8" w:color="auto"/>
            </w:tcBorders>
          </w:tcPr>
          <w:p>
            <w:pPr>
              <w:spacing w:after="0"/>
              <w:rPr>
                <w:sz w:val="24"/>
                <w:szCs w:val="24"/>
                <w:color w:val="auto"/>
              </w:rPr>
            </w:pPr>
          </w:p>
        </w:tc>
        <w:tc>
          <w:tcPr>
            <w:tcW w:w="140" w:type="dxa"/>
            <w:vAlign w:val="bottom"/>
            <w:tcBorders>
              <w:top w:val="single" w:sz="8" w:color="0000EE"/>
              <w:bottom w:val="single" w:sz="8" w:color="auto"/>
            </w:tcBorders>
          </w:tcPr>
          <w:p>
            <w:pPr>
              <w:spacing w:after="0"/>
              <w:rPr>
                <w:sz w:val="24"/>
                <w:szCs w:val="24"/>
                <w:color w:val="auto"/>
              </w:rPr>
            </w:pPr>
          </w:p>
        </w:tc>
        <w:tc>
          <w:tcPr>
            <w:tcW w:w="120" w:type="dxa"/>
            <w:vAlign w:val="bottom"/>
            <w:tcBorders>
              <w:top w:val="single" w:sz="8" w:color="0000EE"/>
              <w:bottom w:val="single" w:sz="8" w:color="auto"/>
            </w:tcBorders>
          </w:tcPr>
          <w:p>
            <w:pPr>
              <w:spacing w:after="0"/>
              <w:rPr>
                <w:sz w:val="24"/>
                <w:szCs w:val="24"/>
                <w:color w:val="auto"/>
              </w:rPr>
            </w:pPr>
          </w:p>
        </w:tc>
        <w:tc>
          <w:tcPr>
            <w:tcW w:w="100" w:type="dxa"/>
            <w:vAlign w:val="bottom"/>
            <w:tcBorders>
              <w:top w:val="single" w:sz="8" w:color="0000EE"/>
              <w:bottom w:val="single" w:sz="8" w:color="auto"/>
            </w:tcBorders>
          </w:tcPr>
          <w:p>
            <w:pPr>
              <w:spacing w:after="0"/>
              <w:rPr>
                <w:sz w:val="24"/>
                <w:szCs w:val="24"/>
                <w:color w:val="auto"/>
              </w:rPr>
            </w:pPr>
          </w:p>
        </w:tc>
        <w:tc>
          <w:tcPr>
            <w:tcW w:w="160" w:type="dxa"/>
            <w:vAlign w:val="bottom"/>
            <w:tcBorders>
              <w:top w:val="single" w:sz="8" w:color="0000EE"/>
              <w:bottom w:val="single" w:sz="8" w:color="auto"/>
            </w:tcBorders>
          </w:tcPr>
          <w:p>
            <w:pPr>
              <w:spacing w:after="0"/>
              <w:rPr>
                <w:sz w:val="24"/>
                <w:szCs w:val="24"/>
                <w:color w:val="auto"/>
              </w:rPr>
            </w:pPr>
          </w:p>
        </w:tc>
        <w:tc>
          <w:tcPr>
            <w:tcW w:w="60" w:type="dxa"/>
            <w:vAlign w:val="bottom"/>
            <w:tcBorders>
              <w:top w:val="single" w:sz="8" w:color="0000EE"/>
              <w:bottom w:val="single" w:sz="8" w:color="auto"/>
            </w:tcBorders>
          </w:tcPr>
          <w:p>
            <w:pPr>
              <w:spacing w:after="0"/>
              <w:rPr>
                <w:sz w:val="24"/>
                <w:szCs w:val="24"/>
                <w:color w:val="auto"/>
              </w:rPr>
            </w:pPr>
          </w:p>
        </w:tc>
        <w:tc>
          <w:tcPr>
            <w:tcW w:w="160" w:type="dxa"/>
            <w:vAlign w:val="bottom"/>
            <w:tcBorders>
              <w:top w:val="single" w:sz="8" w:color="0000EE"/>
              <w:bottom w:val="single" w:sz="8" w:color="auto"/>
            </w:tcBorders>
          </w:tcPr>
          <w:p>
            <w:pPr>
              <w:spacing w:after="0"/>
              <w:rPr>
                <w:sz w:val="24"/>
                <w:szCs w:val="24"/>
                <w:color w:val="auto"/>
              </w:rPr>
            </w:pPr>
          </w:p>
        </w:tc>
        <w:tc>
          <w:tcPr>
            <w:tcW w:w="140" w:type="dxa"/>
            <w:vAlign w:val="bottom"/>
            <w:tcBorders>
              <w:top w:val="single" w:sz="8" w:color="0000EE"/>
              <w:bottom w:val="single" w:sz="8" w:color="auto"/>
            </w:tcBorders>
          </w:tcPr>
          <w:p>
            <w:pPr>
              <w:spacing w:after="0"/>
              <w:rPr>
                <w:sz w:val="24"/>
                <w:szCs w:val="24"/>
                <w:color w:val="auto"/>
              </w:rPr>
            </w:pPr>
          </w:p>
        </w:tc>
        <w:tc>
          <w:tcPr>
            <w:tcW w:w="260" w:type="dxa"/>
            <w:vAlign w:val="bottom"/>
            <w:tcBorders>
              <w:top w:val="single" w:sz="8" w:color="0000EE"/>
              <w:bottom w:val="single" w:sz="8" w:color="auto"/>
            </w:tcBorders>
          </w:tcPr>
          <w:p>
            <w:pPr>
              <w:spacing w:after="0"/>
              <w:rPr>
                <w:sz w:val="24"/>
                <w:szCs w:val="24"/>
                <w:color w:val="auto"/>
              </w:rPr>
            </w:pPr>
          </w:p>
        </w:tc>
        <w:tc>
          <w:tcPr>
            <w:tcW w:w="140" w:type="dxa"/>
            <w:vAlign w:val="bottom"/>
            <w:tcBorders>
              <w:top w:val="single" w:sz="8" w:color="0000EE"/>
              <w:bottom w:val="single" w:sz="8" w:color="auto"/>
            </w:tcBorders>
          </w:tcPr>
          <w:p>
            <w:pPr>
              <w:spacing w:after="0"/>
              <w:rPr>
                <w:sz w:val="24"/>
                <w:szCs w:val="24"/>
                <w:color w:val="auto"/>
              </w:rPr>
            </w:pPr>
          </w:p>
        </w:tc>
        <w:tc>
          <w:tcPr>
            <w:tcW w:w="240" w:type="dxa"/>
            <w:vAlign w:val="bottom"/>
            <w:tcBorders>
              <w:top w:val="single" w:sz="8" w:color="0000EE"/>
              <w:bottom w:val="single" w:sz="8" w:color="auto"/>
            </w:tcBorders>
          </w:tcPr>
          <w:p>
            <w:pPr>
              <w:spacing w:after="0"/>
              <w:rPr>
                <w:sz w:val="24"/>
                <w:szCs w:val="24"/>
                <w:color w:val="auto"/>
              </w:rPr>
            </w:pPr>
          </w:p>
        </w:tc>
        <w:tc>
          <w:tcPr>
            <w:tcW w:w="220" w:type="dxa"/>
            <w:vAlign w:val="bottom"/>
            <w:tcBorders>
              <w:top w:val="single" w:sz="8" w:color="0000EE"/>
              <w:bottom w:val="single" w:sz="8" w:color="auto"/>
            </w:tcBorders>
          </w:tcPr>
          <w:p>
            <w:pPr>
              <w:spacing w:after="0"/>
              <w:rPr>
                <w:sz w:val="24"/>
                <w:szCs w:val="24"/>
                <w:color w:val="auto"/>
              </w:rPr>
            </w:pPr>
          </w:p>
        </w:tc>
        <w:tc>
          <w:tcPr>
            <w:tcW w:w="40" w:type="dxa"/>
            <w:vAlign w:val="bottom"/>
            <w:tcBorders>
              <w:top w:val="single" w:sz="8" w:color="0000EE"/>
              <w:bottom w:val="single" w:sz="8" w:color="auto"/>
            </w:tcBorders>
          </w:tcPr>
          <w:p>
            <w:pPr>
              <w:spacing w:after="0"/>
              <w:rPr>
                <w:sz w:val="24"/>
                <w:szCs w:val="24"/>
                <w:color w:val="auto"/>
              </w:rPr>
            </w:pPr>
          </w:p>
        </w:tc>
        <w:tc>
          <w:tcPr>
            <w:tcW w:w="300" w:type="dxa"/>
            <w:vAlign w:val="bottom"/>
            <w:tcBorders>
              <w:top w:val="single" w:sz="8" w:color="0000EE"/>
              <w:bottom w:val="single" w:sz="8" w:color="auto"/>
            </w:tcBorders>
          </w:tcPr>
          <w:p>
            <w:pPr>
              <w:spacing w:after="0"/>
              <w:rPr>
                <w:sz w:val="24"/>
                <w:szCs w:val="24"/>
                <w:color w:val="auto"/>
              </w:rPr>
            </w:pPr>
          </w:p>
        </w:tc>
        <w:tc>
          <w:tcPr>
            <w:tcW w:w="60" w:type="dxa"/>
            <w:vAlign w:val="bottom"/>
            <w:tcBorders>
              <w:top w:val="single" w:sz="8" w:color="0000EE"/>
              <w:bottom w:val="single" w:sz="8" w:color="auto"/>
            </w:tcBorders>
          </w:tcPr>
          <w:p>
            <w:pPr>
              <w:spacing w:after="0"/>
              <w:rPr>
                <w:sz w:val="24"/>
                <w:szCs w:val="24"/>
                <w:color w:val="auto"/>
              </w:rPr>
            </w:pPr>
          </w:p>
        </w:tc>
        <w:tc>
          <w:tcPr>
            <w:tcW w:w="80" w:type="dxa"/>
            <w:vAlign w:val="bottom"/>
            <w:tcBorders>
              <w:top w:val="single" w:sz="8" w:color="0000EE"/>
              <w:bottom w:val="single" w:sz="8" w:color="auto"/>
            </w:tcBorders>
          </w:tcPr>
          <w:p>
            <w:pPr>
              <w:spacing w:after="0"/>
              <w:rPr>
                <w:sz w:val="24"/>
                <w:szCs w:val="24"/>
                <w:color w:val="auto"/>
              </w:rPr>
            </w:pPr>
          </w:p>
        </w:tc>
        <w:tc>
          <w:tcPr>
            <w:tcW w:w="380" w:type="dxa"/>
            <w:vAlign w:val="bottom"/>
            <w:tcBorders>
              <w:top w:val="single" w:sz="8" w:color="0000EE"/>
              <w:bottom w:val="single" w:sz="8" w:color="auto"/>
            </w:tcBorders>
          </w:tcPr>
          <w:p>
            <w:pPr>
              <w:spacing w:after="0"/>
              <w:rPr>
                <w:sz w:val="24"/>
                <w:szCs w:val="24"/>
                <w:color w:val="auto"/>
              </w:rPr>
            </w:pPr>
          </w:p>
        </w:tc>
        <w:tc>
          <w:tcPr>
            <w:tcW w:w="920" w:type="dxa"/>
            <w:vAlign w:val="bottom"/>
            <w:tcBorders>
              <w:top w:val="single" w:sz="8" w:color="0000EE"/>
              <w:bottom w:val="single" w:sz="8" w:color="auto"/>
            </w:tcBorders>
          </w:tcPr>
          <w:p>
            <w:pPr>
              <w:spacing w:after="0"/>
              <w:rPr>
                <w:sz w:val="24"/>
                <w:szCs w:val="24"/>
                <w:color w:val="auto"/>
              </w:rPr>
            </w:pPr>
          </w:p>
        </w:tc>
        <w:tc>
          <w:tcPr>
            <w:tcW w:w="200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top w:val="single" w:sz="8" w:color="0000EE"/>
              <w:bottom w:val="single" w:sz="8" w:color="auto"/>
            </w:tcBorders>
          </w:tcPr>
          <w:p>
            <w:pPr>
              <w:spacing w:after="0"/>
              <w:rPr>
                <w:sz w:val="24"/>
                <w:szCs w:val="24"/>
                <w:color w:val="auto"/>
              </w:rPr>
            </w:pPr>
          </w:p>
        </w:tc>
        <w:tc>
          <w:tcPr>
            <w:tcW w:w="180" w:type="dxa"/>
            <w:vAlign w:val="bottom"/>
            <w:tcBorders>
              <w:top w:val="single" w:sz="8" w:color="0000EE"/>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r>
    </w:tbl>
    <w:p>
      <w:pPr>
        <w:sectPr>
          <w:pgSz w:w="11900" w:h="16838" w:orient="portrait"/>
          <w:cols w:equalWidth="0" w:num="1">
            <w:col w:w="11020"/>
          </w:cols>
          <w:pgMar w:left="440" w:top="263" w:right="439" w:bottom="1440" w:gutter="0" w:footer="0" w:header="0"/>
        </w:sectPr>
      </w:pPr>
    </w:p>
    <w:bookmarkStart w:id="4" w:name="page5"/>
    <w:bookmarkEnd w:id="4"/>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GENERAL INFORMATION</w:t>
      </w:r>
    </w:p>
    <w:p>
      <w:pPr>
        <w:spacing w:after="0" w:line="357" w:lineRule="exact"/>
        <w:rPr>
          <w:sz w:val="20"/>
          <w:szCs w:val="20"/>
          <w:color w:val="auto"/>
        </w:rPr>
      </w:pPr>
    </w:p>
    <w:p>
      <w:pPr>
        <w:jc w:val="center"/>
        <w:ind w:right="20"/>
        <w:spacing w:after="0"/>
        <w:rPr>
          <w:sz w:val="20"/>
          <w:szCs w:val="20"/>
          <w:color w:val="auto"/>
        </w:rPr>
      </w:pPr>
      <w:r>
        <w:rPr>
          <w:rFonts w:ascii="Arial" w:cs="Arial" w:eastAsia="Arial" w:hAnsi="Arial"/>
          <w:sz w:val="26"/>
          <w:szCs w:val="26"/>
          <w:color w:val="0063A6"/>
        </w:rPr>
        <w:t>DROPBOX, INC.</w:t>
      </w:r>
    </w:p>
    <w:p>
      <w:pPr>
        <w:spacing w:after="0" w:line="349" w:lineRule="exact"/>
        <w:rPr>
          <w:sz w:val="20"/>
          <w:szCs w:val="20"/>
          <w:color w:val="auto"/>
        </w:rPr>
      </w:pPr>
    </w:p>
    <w:p>
      <w:pPr>
        <w:jc w:val="center"/>
        <w:ind w:right="20"/>
        <w:spacing w:after="0"/>
        <w:rPr>
          <w:sz w:val="20"/>
          <w:szCs w:val="20"/>
          <w:color w:val="auto"/>
        </w:rPr>
      </w:pPr>
      <w:r>
        <w:rPr>
          <w:rFonts w:ascii="Arial" w:cs="Arial" w:eastAsia="Arial" w:hAnsi="Arial"/>
          <w:sz w:val="26"/>
          <w:szCs w:val="26"/>
          <w:color w:val="0063A6"/>
        </w:rPr>
        <w:t>PROXY STATEMENT</w:t>
      </w:r>
    </w:p>
    <w:p>
      <w:pPr>
        <w:spacing w:after="0" w:line="24" w:lineRule="exact"/>
        <w:rPr>
          <w:sz w:val="20"/>
          <w:szCs w:val="20"/>
          <w:color w:val="auto"/>
        </w:rPr>
      </w:pPr>
    </w:p>
    <w:p>
      <w:pPr>
        <w:jc w:val="center"/>
        <w:spacing w:after="0" w:line="246" w:lineRule="auto"/>
        <w:rPr>
          <w:sz w:val="20"/>
          <w:szCs w:val="20"/>
          <w:color w:val="auto"/>
        </w:rPr>
      </w:pPr>
      <w:r>
        <w:rPr>
          <w:rFonts w:ascii="Arial" w:cs="Arial" w:eastAsia="Arial" w:hAnsi="Arial"/>
          <w:sz w:val="26"/>
          <w:szCs w:val="26"/>
          <w:color w:val="0063A6"/>
        </w:rPr>
        <w:t>FOR THE 2022 ANNUAL MEETING OF STOCKHOLDERS to be held at 9:00 am Pacific Time on Thursday, May 19, 2022</w:t>
      </w:r>
    </w:p>
    <w:p>
      <w:pPr>
        <w:spacing w:after="0" w:line="126" w:lineRule="exact"/>
        <w:rPr>
          <w:sz w:val="20"/>
          <w:szCs w:val="20"/>
          <w:color w:val="auto"/>
        </w:rPr>
      </w:pPr>
    </w:p>
    <w:p>
      <w:pPr>
        <w:ind w:left="720"/>
        <w:spacing w:after="0"/>
        <w:rPr>
          <w:sz w:val="20"/>
          <w:szCs w:val="20"/>
          <w:color w:val="auto"/>
        </w:rPr>
      </w:pPr>
      <w:r>
        <w:rPr>
          <w:rFonts w:ascii="Arial" w:cs="Arial" w:eastAsia="Arial" w:hAnsi="Arial"/>
          <w:sz w:val="16"/>
          <w:szCs w:val="16"/>
          <w:color w:val="auto"/>
        </w:rPr>
        <w:t>This proxy statement and the enclosed form of proxy are furnished in connection with the solicitation of proxies by our board of</w:t>
      </w:r>
    </w:p>
    <w:p>
      <w:pPr>
        <w:spacing w:after="0" w:line="21" w:lineRule="exact"/>
        <w:rPr>
          <w:sz w:val="20"/>
          <w:szCs w:val="20"/>
          <w:color w:val="auto"/>
        </w:rPr>
      </w:pPr>
    </w:p>
    <w:p>
      <w:pPr>
        <w:ind w:left="720"/>
        <w:spacing w:after="0"/>
        <w:rPr>
          <w:sz w:val="20"/>
          <w:szCs w:val="20"/>
          <w:color w:val="auto"/>
        </w:rPr>
      </w:pPr>
      <w:r>
        <w:rPr>
          <w:rFonts w:ascii="Arial" w:cs="Arial" w:eastAsia="Arial" w:hAnsi="Arial"/>
          <w:sz w:val="16"/>
          <w:szCs w:val="16"/>
          <w:color w:val="auto"/>
        </w:rPr>
        <w:t>directors for use at the 2022 annual meeting of stockholders of Dropbox, Inc., a Delaware corporation, and any postponements,</w:t>
      </w:r>
    </w:p>
    <w:p>
      <w:pPr>
        <w:spacing w:after="0" w:line="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adjournments or continuations thereof (the “</w:t>
      </w:r>
      <w:r>
        <w:rPr>
          <w:rFonts w:ascii="Arial" w:cs="Arial" w:eastAsia="Arial" w:hAnsi="Arial"/>
          <w:sz w:val="16"/>
          <w:szCs w:val="16"/>
          <w:b w:val="1"/>
          <w:bCs w:val="1"/>
          <w:i w:val="1"/>
          <w:iCs w:val="1"/>
          <w:color w:val="auto"/>
        </w:rPr>
        <w:t>Annual Meeting</w:t>
      </w:r>
      <w:r>
        <w:rPr>
          <w:rFonts w:ascii="Arial" w:cs="Arial" w:eastAsia="Arial" w:hAnsi="Arial"/>
          <w:sz w:val="16"/>
          <w:szCs w:val="16"/>
          <w:color w:val="auto"/>
        </w:rPr>
        <w:t>”). The Annual Meeting will be held on Thursday, May 19, 2022 at</w:t>
      </w:r>
    </w:p>
    <w:p>
      <w:pPr>
        <w:spacing w:after="0" w:line="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9:00 am Pacific Time. The Annual Meeting will be conducted virtually via live audio webcast. You will be able to attend the Annual</w:t>
      </w:r>
    </w:p>
    <w:p>
      <w:pPr>
        <w:spacing w:after="0" w:line="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Meeting virtually by visiting www.virtualshareholdermeeting.com/DBX2022, where you will be able to listen to the meeting live, submit</w:t>
      </w:r>
    </w:p>
    <w:p>
      <w:pPr>
        <w:spacing w:after="0" w:line="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questions and vote online. The Notice of Internet Availability of Proxy Materials (the “</w:t>
      </w:r>
      <w:r>
        <w:rPr>
          <w:rFonts w:ascii="Arial" w:cs="Arial" w:eastAsia="Arial" w:hAnsi="Arial"/>
          <w:sz w:val="16"/>
          <w:szCs w:val="16"/>
          <w:b w:val="1"/>
          <w:bCs w:val="1"/>
          <w:i w:val="1"/>
          <w:iCs w:val="1"/>
          <w:color w:val="auto"/>
        </w:rPr>
        <w:t>Notice</w:t>
      </w:r>
      <w:r>
        <w:rPr>
          <w:rFonts w:ascii="Arial" w:cs="Arial" w:eastAsia="Arial" w:hAnsi="Arial"/>
          <w:sz w:val="16"/>
          <w:szCs w:val="16"/>
          <w:color w:val="auto"/>
        </w:rPr>
        <w:t>”) containing instructions on how to</w:t>
      </w:r>
    </w:p>
    <w:p>
      <w:pPr>
        <w:spacing w:after="0" w:line="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access this proxy statement and our annual report is first being mailed on or about April 5, 2022 to all stockholders entitled to vote at</w:t>
      </w:r>
    </w:p>
    <w:p>
      <w:pPr>
        <w:spacing w:after="0" w:line="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the Annual Meeting. The proxy materials and our 2021 annual report can be accessed by following the instructions in the Notice.</w:t>
      </w:r>
    </w:p>
    <w:p>
      <w:pPr>
        <w:spacing w:after="0" w:line="151" w:lineRule="exact"/>
        <w:rPr>
          <w:sz w:val="20"/>
          <w:szCs w:val="20"/>
          <w:color w:val="auto"/>
        </w:rPr>
      </w:pPr>
    </w:p>
    <w:p>
      <w:pPr>
        <w:ind w:left="720" w:right="800"/>
        <w:spacing w:after="0" w:line="259" w:lineRule="auto"/>
        <w:rPr>
          <w:sz w:val="20"/>
          <w:szCs w:val="20"/>
          <w:color w:val="auto"/>
        </w:rPr>
      </w:pPr>
      <w:r>
        <w:rPr>
          <w:rFonts w:ascii="Arial" w:cs="Arial" w:eastAsia="Arial" w:hAnsi="Arial"/>
          <w:sz w:val="16"/>
          <w:szCs w:val="16"/>
          <w:color w:val="auto"/>
        </w:rPr>
        <w:t>The information provided in the “question and answer” format below is for your convenience only and is merely a summary of the information contained in this proxy statement. You should read this entire proxy statement carefully. Information contained on, or that can be accessed through, our website is not intended to be incorporated by reference into this proxy statement and references to our website address in this proxy statement are inactive textual references only.</w:t>
      </w:r>
    </w:p>
    <w:p>
      <w:pPr>
        <w:spacing w:after="0" w:line="340"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What matters am I voting on?</w:t>
      </w:r>
    </w:p>
    <w:p>
      <w:pPr>
        <w:spacing w:after="0" w:line="86" w:lineRule="exact"/>
        <w:rPr>
          <w:sz w:val="20"/>
          <w:szCs w:val="20"/>
          <w:color w:val="auto"/>
        </w:rPr>
      </w:pPr>
    </w:p>
    <w:p>
      <w:pPr>
        <w:ind w:left="720"/>
        <w:spacing w:after="0"/>
        <w:rPr>
          <w:sz w:val="20"/>
          <w:szCs w:val="20"/>
          <w:color w:val="auto"/>
        </w:rPr>
      </w:pPr>
      <w:r>
        <w:rPr>
          <w:rFonts w:ascii="Arial" w:cs="Arial" w:eastAsia="Arial" w:hAnsi="Arial"/>
          <w:sz w:val="16"/>
          <w:szCs w:val="16"/>
          <w:color w:val="auto"/>
        </w:rPr>
        <w:t>You are being asked to vote on:</w:t>
      </w:r>
    </w:p>
    <w:p>
      <w:pPr>
        <w:spacing w:after="0" w:line="167" w:lineRule="exact"/>
        <w:rPr>
          <w:sz w:val="20"/>
          <w:szCs w:val="20"/>
          <w:color w:val="auto"/>
        </w:rPr>
      </w:pPr>
    </w:p>
    <w:p>
      <w:pPr>
        <w:ind w:left="1000" w:right="820" w:hanging="284"/>
        <w:spacing w:after="0" w:line="286" w:lineRule="auto"/>
        <w:tabs>
          <w:tab w:leader="none" w:pos="1000" w:val="left"/>
        </w:tabs>
        <w:numPr>
          <w:ilvl w:val="0"/>
          <w:numId w:val="7"/>
        </w:numPr>
        <w:rPr>
          <w:rFonts w:ascii="Arial" w:cs="Arial" w:eastAsia="Arial" w:hAnsi="Arial"/>
          <w:sz w:val="16"/>
          <w:szCs w:val="16"/>
          <w:color w:val="0063A6"/>
        </w:rPr>
      </w:pPr>
      <w:r>
        <w:rPr>
          <w:rFonts w:ascii="Arial" w:cs="Arial" w:eastAsia="Arial" w:hAnsi="Arial"/>
          <w:sz w:val="16"/>
          <w:szCs w:val="16"/>
          <w:color w:val="auto"/>
        </w:rPr>
        <w:t>the election of eight directors to serve until the next annual meeting of stockholders or until their successors are duly elected and qualified;</w:t>
      </w:r>
    </w:p>
    <w:p>
      <w:pPr>
        <w:spacing w:after="0" w:line="101" w:lineRule="exact"/>
        <w:rPr>
          <w:rFonts w:ascii="Arial" w:cs="Arial" w:eastAsia="Arial" w:hAnsi="Arial"/>
          <w:sz w:val="16"/>
          <w:szCs w:val="16"/>
          <w:color w:val="0063A6"/>
        </w:rPr>
      </w:pPr>
    </w:p>
    <w:p>
      <w:pPr>
        <w:ind w:left="1000" w:right="800" w:hanging="284"/>
        <w:spacing w:after="0" w:line="286" w:lineRule="auto"/>
        <w:tabs>
          <w:tab w:leader="none" w:pos="1000" w:val="left"/>
        </w:tabs>
        <w:numPr>
          <w:ilvl w:val="0"/>
          <w:numId w:val="7"/>
        </w:numPr>
        <w:rPr>
          <w:rFonts w:ascii="Arial" w:cs="Arial" w:eastAsia="Arial" w:hAnsi="Arial"/>
          <w:sz w:val="16"/>
          <w:szCs w:val="16"/>
          <w:color w:val="0063A6"/>
        </w:rPr>
      </w:pPr>
      <w:r>
        <w:rPr>
          <w:rFonts w:ascii="Arial" w:cs="Arial" w:eastAsia="Arial" w:hAnsi="Arial"/>
          <w:sz w:val="16"/>
          <w:szCs w:val="16"/>
          <w:color w:val="auto"/>
        </w:rPr>
        <w:t>a proposal to ratify the appointment of Ernst &amp; Young LLP as our independent registered public accounting firm for our fiscal year ending December 31, 2022;</w:t>
      </w:r>
    </w:p>
    <w:p>
      <w:pPr>
        <w:spacing w:after="0" w:line="101" w:lineRule="exact"/>
        <w:rPr>
          <w:rFonts w:ascii="Arial" w:cs="Arial" w:eastAsia="Arial" w:hAnsi="Arial"/>
          <w:sz w:val="16"/>
          <w:szCs w:val="16"/>
          <w:color w:val="0063A6"/>
        </w:rPr>
      </w:pPr>
    </w:p>
    <w:p>
      <w:pPr>
        <w:ind w:left="1000" w:hanging="284"/>
        <w:spacing w:after="0"/>
        <w:tabs>
          <w:tab w:leader="none" w:pos="1000" w:val="left"/>
        </w:tabs>
        <w:numPr>
          <w:ilvl w:val="0"/>
          <w:numId w:val="7"/>
        </w:numPr>
        <w:rPr>
          <w:rFonts w:ascii="Arial" w:cs="Arial" w:eastAsia="Arial" w:hAnsi="Arial"/>
          <w:sz w:val="16"/>
          <w:szCs w:val="16"/>
          <w:color w:val="0063A6"/>
        </w:rPr>
      </w:pPr>
      <w:r>
        <w:rPr>
          <w:rFonts w:ascii="Arial" w:cs="Arial" w:eastAsia="Arial" w:hAnsi="Arial"/>
          <w:sz w:val="16"/>
          <w:szCs w:val="16"/>
          <w:color w:val="auto"/>
        </w:rPr>
        <w:t>a proposal to approve, on an advisory basis, the compensation of our named executive officers; and</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7"/>
        </w:numPr>
        <w:rPr>
          <w:rFonts w:ascii="Arial" w:cs="Arial" w:eastAsia="Arial" w:hAnsi="Arial"/>
          <w:sz w:val="16"/>
          <w:szCs w:val="16"/>
          <w:color w:val="0063A6"/>
        </w:rPr>
      </w:pPr>
      <w:r>
        <w:rPr>
          <w:rFonts w:ascii="Arial" w:cs="Arial" w:eastAsia="Arial" w:hAnsi="Arial"/>
          <w:sz w:val="16"/>
          <w:szCs w:val="16"/>
          <w:color w:val="auto"/>
        </w:rPr>
        <w:t>any other business as may properly come before the Annual Meeting.</w:t>
      </w:r>
    </w:p>
    <w:p>
      <w:pPr>
        <w:spacing w:after="0" w:line="397"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How does the board of directors recommend I vote on these proposals?</w:t>
      </w:r>
    </w:p>
    <w:p>
      <w:pPr>
        <w:spacing w:after="0" w:line="86" w:lineRule="exact"/>
        <w:rPr>
          <w:sz w:val="20"/>
          <w:szCs w:val="20"/>
          <w:color w:val="auto"/>
        </w:rPr>
      </w:pPr>
    </w:p>
    <w:p>
      <w:pPr>
        <w:ind w:left="720"/>
        <w:spacing w:after="0"/>
        <w:rPr>
          <w:sz w:val="20"/>
          <w:szCs w:val="20"/>
          <w:color w:val="auto"/>
        </w:rPr>
      </w:pPr>
      <w:r>
        <w:rPr>
          <w:rFonts w:ascii="Arial" w:cs="Arial" w:eastAsia="Arial" w:hAnsi="Arial"/>
          <w:sz w:val="16"/>
          <w:szCs w:val="16"/>
          <w:color w:val="auto"/>
        </w:rPr>
        <w:t>Our board of directors recommends a vote:</w:t>
      </w:r>
    </w:p>
    <w:p>
      <w:pPr>
        <w:spacing w:after="0" w:line="167" w:lineRule="exact"/>
        <w:rPr>
          <w:sz w:val="20"/>
          <w:szCs w:val="20"/>
          <w:color w:val="auto"/>
        </w:rPr>
      </w:pPr>
    </w:p>
    <w:p>
      <w:pPr>
        <w:ind w:left="1000" w:hanging="284"/>
        <w:spacing w:after="0"/>
        <w:tabs>
          <w:tab w:leader="none" w:pos="1000" w:val="left"/>
        </w:tabs>
        <w:numPr>
          <w:ilvl w:val="0"/>
          <w:numId w:val="8"/>
        </w:numPr>
        <w:rPr>
          <w:rFonts w:ascii="Arial" w:cs="Arial" w:eastAsia="Arial" w:hAnsi="Arial"/>
          <w:sz w:val="16"/>
          <w:szCs w:val="16"/>
          <w:color w:val="0063A6"/>
        </w:rPr>
      </w:pPr>
      <w:r>
        <w:rPr>
          <w:rFonts w:ascii="Arial" w:cs="Arial" w:eastAsia="Arial" w:hAnsi="Arial"/>
          <w:sz w:val="16"/>
          <w:szCs w:val="16"/>
          <w:color w:val="auto"/>
        </w:rPr>
        <w:t>“FOR” the election of each director nominee named in this proxy statement;</w:t>
      </w:r>
    </w:p>
    <w:p>
      <w:pPr>
        <w:spacing w:after="0" w:line="167" w:lineRule="exact"/>
        <w:rPr>
          <w:rFonts w:ascii="Arial" w:cs="Arial" w:eastAsia="Arial" w:hAnsi="Arial"/>
          <w:sz w:val="16"/>
          <w:szCs w:val="16"/>
          <w:color w:val="0063A6"/>
        </w:rPr>
      </w:pPr>
    </w:p>
    <w:p>
      <w:pPr>
        <w:ind w:left="1000" w:right="800" w:hanging="284"/>
        <w:spacing w:after="0" w:line="286" w:lineRule="auto"/>
        <w:tabs>
          <w:tab w:leader="none" w:pos="1000" w:val="left"/>
        </w:tabs>
        <w:numPr>
          <w:ilvl w:val="0"/>
          <w:numId w:val="8"/>
        </w:numPr>
        <w:rPr>
          <w:rFonts w:ascii="Arial" w:cs="Arial" w:eastAsia="Arial" w:hAnsi="Arial"/>
          <w:sz w:val="16"/>
          <w:szCs w:val="16"/>
          <w:color w:val="0063A6"/>
        </w:rPr>
      </w:pPr>
      <w:r>
        <w:rPr>
          <w:rFonts w:ascii="Arial" w:cs="Arial" w:eastAsia="Arial" w:hAnsi="Arial"/>
          <w:sz w:val="16"/>
          <w:szCs w:val="16"/>
          <w:color w:val="auto"/>
        </w:rPr>
        <w:t>“FOR” the ratification of the appointment of Ernst &amp; Young LLP as our independent registered public accounting firm for our fiscal year ending December 31, 2022; and</w:t>
      </w:r>
    </w:p>
    <w:p>
      <w:pPr>
        <w:spacing w:after="0" w:line="101" w:lineRule="exact"/>
        <w:rPr>
          <w:rFonts w:ascii="Arial" w:cs="Arial" w:eastAsia="Arial" w:hAnsi="Arial"/>
          <w:sz w:val="16"/>
          <w:szCs w:val="16"/>
          <w:color w:val="0063A6"/>
        </w:rPr>
      </w:pPr>
    </w:p>
    <w:p>
      <w:pPr>
        <w:ind w:left="1000" w:hanging="284"/>
        <w:spacing w:after="0"/>
        <w:tabs>
          <w:tab w:leader="none" w:pos="1000" w:val="left"/>
        </w:tabs>
        <w:numPr>
          <w:ilvl w:val="0"/>
          <w:numId w:val="8"/>
        </w:numPr>
        <w:rPr>
          <w:rFonts w:ascii="Arial" w:cs="Arial" w:eastAsia="Arial" w:hAnsi="Arial"/>
          <w:sz w:val="16"/>
          <w:szCs w:val="16"/>
          <w:color w:val="0063A6"/>
        </w:rPr>
      </w:pPr>
      <w:r>
        <w:rPr>
          <w:rFonts w:ascii="Arial" w:cs="Arial" w:eastAsia="Arial" w:hAnsi="Arial"/>
          <w:sz w:val="16"/>
          <w:szCs w:val="16"/>
          <w:color w:val="auto"/>
        </w:rPr>
        <w:t>“FOR” the approval, on an advisory basis, of the compensation of our named executive officers.</w:t>
      </w:r>
    </w:p>
    <w:p>
      <w:pPr>
        <w:spacing w:after="0" w:line="397"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How many votes are needed for approval of each proposal?</w:t>
      </w:r>
    </w:p>
    <w:p>
      <w:pPr>
        <w:spacing w:after="0" w:line="39" w:lineRule="exact"/>
        <w:rPr>
          <w:sz w:val="20"/>
          <w:szCs w:val="20"/>
          <w:color w:val="auto"/>
        </w:rPr>
      </w:pPr>
    </w:p>
    <w:p>
      <w:pPr>
        <w:ind w:left="1000" w:right="900" w:hanging="284"/>
        <w:spacing w:after="0" w:line="252" w:lineRule="auto"/>
        <w:tabs>
          <w:tab w:leader="none" w:pos="1000" w:val="left"/>
        </w:tabs>
        <w:numPr>
          <w:ilvl w:val="0"/>
          <w:numId w:val="9"/>
        </w:numPr>
        <w:rPr>
          <w:rFonts w:ascii="Arial" w:cs="Arial" w:eastAsia="Arial" w:hAnsi="Arial"/>
          <w:sz w:val="16"/>
          <w:szCs w:val="16"/>
          <w:color w:val="0063A6"/>
        </w:rPr>
      </w:pPr>
      <w:r>
        <w:rPr>
          <w:rFonts w:ascii="Arial" w:cs="Arial" w:eastAsia="Arial" w:hAnsi="Arial"/>
          <w:sz w:val="16"/>
          <w:szCs w:val="16"/>
          <w:b w:val="1"/>
          <w:bCs w:val="1"/>
          <w:color w:val="0063A6"/>
        </w:rPr>
        <w:t xml:space="preserve">Proposal No. 1: </w:t>
      </w:r>
      <w:r>
        <w:rPr>
          <w:rFonts w:ascii="Arial" w:cs="Arial" w:eastAsia="Arial" w:hAnsi="Arial"/>
          <w:sz w:val="16"/>
          <w:szCs w:val="16"/>
          <w:color w:val="000000"/>
        </w:rPr>
        <w:t>Each director is elected by a plurality of the votes of the shares present virtually or represented by proxy at the</w:t>
      </w:r>
      <w:r>
        <w:rPr>
          <w:rFonts w:ascii="Arial" w:cs="Arial" w:eastAsia="Arial" w:hAnsi="Arial"/>
          <w:sz w:val="16"/>
          <w:szCs w:val="16"/>
          <w:b w:val="1"/>
          <w:bCs w:val="1"/>
          <w:color w:val="0063A6"/>
        </w:rPr>
        <w:t xml:space="preserve"> </w:t>
      </w:r>
      <w:r>
        <w:rPr>
          <w:rFonts w:ascii="Arial" w:cs="Arial" w:eastAsia="Arial" w:hAnsi="Arial"/>
          <w:sz w:val="16"/>
          <w:szCs w:val="16"/>
          <w:color w:val="000000"/>
        </w:rPr>
        <w:t>meeting and entitled to vote on the election of directors at the Annual Meeting. Abstentions and broker non-votes will have no effect on the outcome of the vote. “Plurality” means that the eight nominees who receive the largest number of votes cast “for” such nominees are elected as directors. As a result, any shares not voted “for” a particular nominee (whether as a result of a withhold vote or a broker non-vote) will not be counted in such nominee’s favor and will have no effect on the outcome of the election. You may vote “For” or “Withhold” on each of the nominees for election as a director.</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80" w:type="dxa"/>
            <w:vAlign w:val="bottom"/>
          </w:tcPr>
          <w:p>
            <w:pPr>
              <w:ind w:left="440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040" w:type="dxa"/>
            <w:vAlign w:val="bottom"/>
          </w:tcPr>
          <w:p>
            <w:pPr>
              <w:jc w:val="right"/>
              <w:ind w:right="648"/>
              <w:spacing w:after="0"/>
              <w:rPr>
                <w:sz w:val="20"/>
                <w:szCs w:val="20"/>
                <w:color w:val="auto"/>
              </w:rPr>
            </w:pPr>
            <w:r>
              <w:rPr>
                <w:rFonts w:ascii="Arial" w:cs="Arial" w:eastAsia="Arial" w:hAnsi="Arial"/>
                <w:sz w:val="14"/>
                <w:szCs w:val="14"/>
                <w:b w:val="1"/>
                <w:bCs w:val="1"/>
                <w:color w:val="auto"/>
              </w:rPr>
              <w:t>1</w:t>
            </w:r>
          </w:p>
        </w:tc>
      </w:tr>
      <w:tr>
        <w:trPr>
          <w:trHeight w:val="171"/>
        </w:trPr>
        <w:tc>
          <w:tcPr>
            <w:tcW w:w="998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5" w:name="page6"/>
    <w:bookmarkEnd w:id="5"/>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GENERAL INFORMATION (continued)</w:t>
      </w:r>
    </w:p>
    <w:p>
      <w:pPr>
        <w:spacing w:after="0" w:line="200" w:lineRule="exact"/>
        <w:rPr>
          <w:sz w:val="20"/>
          <w:szCs w:val="20"/>
          <w:color w:val="auto"/>
        </w:rPr>
      </w:pPr>
    </w:p>
    <w:p>
      <w:pPr>
        <w:spacing w:after="0" w:line="202" w:lineRule="exact"/>
        <w:rPr>
          <w:sz w:val="20"/>
          <w:szCs w:val="20"/>
          <w:color w:val="auto"/>
        </w:rPr>
      </w:pPr>
    </w:p>
    <w:p>
      <w:pPr>
        <w:ind w:left="284" w:right="60" w:hanging="284"/>
        <w:spacing w:after="0" w:line="256" w:lineRule="auto"/>
        <w:tabs>
          <w:tab w:leader="none" w:pos="284" w:val="left"/>
        </w:tabs>
        <w:numPr>
          <w:ilvl w:val="0"/>
          <w:numId w:val="10"/>
        </w:numPr>
        <w:rPr>
          <w:rFonts w:ascii="Arial" w:cs="Arial" w:eastAsia="Arial" w:hAnsi="Arial"/>
          <w:sz w:val="16"/>
          <w:szCs w:val="16"/>
          <w:color w:val="0063A6"/>
        </w:rPr>
      </w:pPr>
      <w:r>
        <w:rPr>
          <w:rFonts w:ascii="Arial" w:cs="Arial" w:eastAsia="Arial" w:hAnsi="Arial"/>
          <w:sz w:val="16"/>
          <w:szCs w:val="16"/>
          <w:b w:val="1"/>
          <w:bCs w:val="1"/>
          <w:color w:val="0063A6"/>
        </w:rPr>
        <w:t xml:space="preserve">Proposal No. 2: </w:t>
      </w:r>
      <w:r>
        <w:rPr>
          <w:rFonts w:ascii="Arial" w:cs="Arial" w:eastAsia="Arial" w:hAnsi="Arial"/>
          <w:sz w:val="16"/>
          <w:szCs w:val="16"/>
          <w:color w:val="000000"/>
        </w:rPr>
        <w:t>The ratification of the appointment of Ernst &amp; Young LLP as our independent registered public accounting firm</w:t>
      </w:r>
      <w:r>
        <w:rPr>
          <w:rFonts w:ascii="Arial" w:cs="Arial" w:eastAsia="Arial" w:hAnsi="Arial"/>
          <w:sz w:val="16"/>
          <w:szCs w:val="16"/>
          <w:b w:val="1"/>
          <w:bCs w:val="1"/>
          <w:color w:val="0063A6"/>
        </w:rPr>
        <w:t xml:space="preserve"> </w:t>
      </w:r>
      <w:r>
        <w:rPr>
          <w:rFonts w:ascii="Arial" w:cs="Arial" w:eastAsia="Arial" w:hAnsi="Arial"/>
          <w:sz w:val="16"/>
          <w:szCs w:val="16"/>
          <w:color w:val="000000"/>
        </w:rPr>
        <w:t>for our fiscal year ending December 31, 2022, requires the affirmative “For” vote of a majority of the voting power of the shares of our common stock present virtually or represented by proxy at the Annual Meeting and entitled to vote thereon to be approved. Abstentions are considered shares present and entitled to vote on this proposal, and thus, will have the same effect as a vote “Against” this proposal. Broker non-votes will have no effect on the outcome of this proposal.</w:t>
      </w:r>
    </w:p>
    <w:p>
      <w:pPr>
        <w:spacing w:after="0" w:line="125" w:lineRule="exact"/>
        <w:rPr>
          <w:rFonts w:ascii="Arial" w:cs="Arial" w:eastAsia="Arial" w:hAnsi="Arial"/>
          <w:sz w:val="16"/>
          <w:szCs w:val="16"/>
          <w:color w:val="0063A6"/>
        </w:rPr>
      </w:pPr>
    </w:p>
    <w:p>
      <w:pPr>
        <w:ind w:left="284" w:hanging="284"/>
        <w:spacing w:after="0" w:line="253" w:lineRule="auto"/>
        <w:tabs>
          <w:tab w:leader="none" w:pos="284" w:val="left"/>
        </w:tabs>
        <w:numPr>
          <w:ilvl w:val="0"/>
          <w:numId w:val="10"/>
        </w:numPr>
        <w:rPr>
          <w:rFonts w:ascii="Arial" w:cs="Arial" w:eastAsia="Arial" w:hAnsi="Arial"/>
          <w:sz w:val="16"/>
          <w:szCs w:val="16"/>
          <w:color w:val="0063A6"/>
        </w:rPr>
      </w:pPr>
      <w:r>
        <w:rPr>
          <w:rFonts w:ascii="Arial" w:cs="Arial" w:eastAsia="Arial" w:hAnsi="Arial"/>
          <w:sz w:val="16"/>
          <w:szCs w:val="16"/>
          <w:b w:val="1"/>
          <w:bCs w:val="1"/>
          <w:color w:val="0063A6"/>
        </w:rPr>
        <w:t xml:space="preserve">Proposal No. 3: </w:t>
      </w:r>
      <w:r>
        <w:rPr>
          <w:rFonts w:ascii="Arial" w:cs="Arial" w:eastAsia="Arial" w:hAnsi="Arial"/>
          <w:sz w:val="16"/>
          <w:szCs w:val="16"/>
          <w:color w:val="000000"/>
        </w:rPr>
        <w:t>The approval, on an advisory basis, of the compensation of our named executive officers requires the affirmative</w:t>
      </w:r>
      <w:r>
        <w:rPr>
          <w:rFonts w:ascii="Arial" w:cs="Arial" w:eastAsia="Arial" w:hAnsi="Arial"/>
          <w:sz w:val="16"/>
          <w:szCs w:val="16"/>
          <w:b w:val="1"/>
          <w:bCs w:val="1"/>
          <w:color w:val="0063A6"/>
        </w:rPr>
        <w:t xml:space="preserve"> </w:t>
      </w:r>
      <w:r>
        <w:rPr>
          <w:rFonts w:ascii="Arial" w:cs="Arial" w:eastAsia="Arial" w:hAnsi="Arial"/>
          <w:sz w:val="16"/>
          <w:szCs w:val="16"/>
          <w:color w:val="000000"/>
        </w:rPr>
        <w:t>vote of at least a majority of the voting power of our common stock present virtually or represented by proxy at the Annual Meeting and entitled to vote thereon to be approved. You may vote “For,” “Against,” or “Abstain” with respect to this proposal. Abstentions are considered shares present and entitled to vote on this proposal, and thus, will have the same effect as a vote “Against” this proposal. Broker non-votes will have no effect on the outcome of this proposal. Because this proposal is an advisory vote, the result will not be binding on our board of directors or our company. Our board of directors and our compensation committee will consider the outcome of the vote when determining named executive officer compensation.</w:t>
      </w:r>
    </w:p>
    <w:p>
      <w:pPr>
        <w:spacing w:after="0" w:line="235"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Who is entitled to vote?</w:t>
      </w:r>
    </w:p>
    <w:p>
      <w:pPr>
        <w:spacing w:after="0" w:line="39" w:lineRule="exact"/>
        <w:rPr>
          <w:sz w:val="20"/>
          <w:szCs w:val="20"/>
          <w:color w:val="auto"/>
        </w:rPr>
      </w:pPr>
    </w:p>
    <w:p>
      <w:pPr>
        <w:ind w:left="4" w:right="40"/>
        <w:spacing w:after="0" w:line="251" w:lineRule="auto"/>
        <w:rPr>
          <w:sz w:val="20"/>
          <w:szCs w:val="20"/>
          <w:color w:val="auto"/>
        </w:rPr>
      </w:pPr>
      <w:r>
        <w:rPr>
          <w:rFonts w:ascii="Arial" w:cs="Arial" w:eastAsia="Arial" w:hAnsi="Arial"/>
          <w:sz w:val="16"/>
          <w:szCs w:val="16"/>
          <w:color w:val="auto"/>
        </w:rPr>
        <w:t>Holders of our Class A and Class B common stock as of the close of business on March 21, 2022, the record date for the Annual Meeting, may vote at the Annual Meeting. As of the record date, there were 295,884,633 shares of our Class A common stock outstanding and 82,611,011 shares of our Class B common stock outstanding. Our Class A common stock and Class B common stock will vote as a single class on all matters described in this proxy statement for which your vote is being solicited. Stockholders are not permitted to cumulate votes with respect to the election of directors. Each share of Class A common stock is entitled to one vote on each proposal and each share of Class B common stock is entitled to 10 votes on each proposal. Our Class A common stock and Class B common stock are collectively referred to in this proxy statement as our “common stock.”</w:t>
      </w:r>
    </w:p>
    <w:p>
      <w:pPr>
        <w:spacing w:after="0" w:line="131" w:lineRule="exact"/>
        <w:rPr>
          <w:sz w:val="20"/>
          <w:szCs w:val="20"/>
          <w:color w:val="auto"/>
        </w:rPr>
      </w:pPr>
    </w:p>
    <w:p>
      <w:pPr>
        <w:ind w:left="4" w:right="80"/>
        <w:spacing w:after="0" w:line="256" w:lineRule="auto"/>
        <w:rPr>
          <w:sz w:val="20"/>
          <w:szCs w:val="20"/>
          <w:color w:val="auto"/>
        </w:rPr>
      </w:pPr>
      <w:r>
        <w:rPr>
          <w:rFonts w:ascii="Arial" w:cs="Arial" w:eastAsia="Arial" w:hAnsi="Arial"/>
          <w:sz w:val="16"/>
          <w:szCs w:val="16"/>
          <w:b w:val="1"/>
          <w:bCs w:val="1"/>
          <w:color w:val="0063A6"/>
        </w:rPr>
        <w:t xml:space="preserve">Registered Stockholders. </w:t>
      </w:r>
      <w:r>
        <w:rPr>
          <w:rFonts w:ascii="Arial" w:cs="Arial" w:eastAsia="Arial" w:hAnsi="Arial"/>
          <w:sz w:val="16"/>
          <w:szCs w:val="16"/>
          <w:color w:val="000000"/>
        </w:rPr>
        <w:t>If shares of our common stock are registered directly in your name with our transfer agent,</w:t>
      </w:r>
      <w:r>
        <w:rPr>
          <w:rFonts w:ascii="Arial" w:cs="Arial" w:eastAsia="Arial" w:hAnsi="Arial"/>
          <w:sz w:val="16"/>
          <w:szCs w:val="16"/>
          <w:b w:val="1"/>
          <w:bCs w:val="1"/>
          <w:color w:val="0063A6"/>
        </w:rPr>
        <w:t xml:space="preserve"> </w:t>
      </w:r>
      <w:r>
        <w:rPr>
          <w:rFonts w:ascii="Arial" w:cs="Arial" w:eastAsia="Arial" w:hAnsi="Arial"/>
          <w:sz w:val="16"/>
          <w:szCs w:val="16"/>
          <w:color w:val="000000"/>
        </w:rPr>
        <w:t>Computershare Trust Company, N.A., you are considered the stockholder of record with respect to those shares, and the Notice was provided to you directly by us. As the stockholder of record, you have the right to grant your voting proxy directly to the individuals listed on the proxy card or to vote live at the Annual Meeting. Throughout this proxy statement, we refer to these registered stockholders as “stockholders of record.”</w:t>
      </w:r>
    </w:p>
    <w:p>
      <w:pPr>
        <w:spacing w:after="0" w:line="126" w:lineRule="exact"/>
        <w:rPr>
          <w:sz w:val="20"/>
          <w:szCs w:val="20"/>
          <w:color w:val="auto"/>
        </w:rPr>
      </w:pPr>
    </w:p>
    <w:p>
      <w:pPr>
        <w:ind w:left="4" w:right="20"/>
        <w:spacing w:after="0" w:line="251" w:lineRule="auto"/>
        <w:rPr>
          <w:sz w:val="20"/>
          <w:szCs w:val="20"/>
          <w:color w:val="auto"/>
        </w:rPr>
      </w:pPr>
      <w:r>
        <w:rPr>
          <w:rFonts w:ascii="Arial" w:cs="Arial" w:eastAsia="Arial" w:hAnsi="Arial"/>
          <w:sz w:val="16"/>
          <w:szCs w:val="16"/>
          <w:b w:val="1"/>
          <w:bCs w:val="1"/>
          <w:color w:val="0063A6"/>
        </w:rPr>
        <w:t xml:space="preserve">Street Name Stockholders. </w:t>
      </w:r>
      <w:r>
        <w:rPr>
          <w:rFonts w:ascii="Arial" w:cs="Arial" w:eastAsia="Arial" w:hAnsi="Arial"/>
          <w:sz w:val="16"/>
          <w:szCs w:val="16"/>
          <w:color w:val="000000"/>
        </w:rPr>
        <w:t>If shares of our common stock are held on your behalf in a brokerage account or by a bank or other</w:t>
      </w:r>
      <w:r>
        <w:rPr>
          <w:rFonts w:ascii="Arial" w:cs="Arial" w:eastAsia="Arial" w:hAnsi="Arial"/>
          <w:sz w:val="16"/>
          <w:szCs w:val="16"/>
          <w:b w:val="1"/>
          <w:bCs w:val="1"/>
          <w:color w:val="0063A6"/>
        </w:rPr>
        <w:t xml:space="preserve"> </w:t>
      </w:r>
      <w:r>
        <w:rPr>
          <w:rFonts w:ascii="Arial" w:cs="Arial" w:eastAsia="Arial" w:hAnsi="Arial"/>
          <w:sz w:val="16"/>
          <w:szCs w:val="16"/>
          <w:color w:val="000000"/>
        </w:rPr>
        <w:t>nominee, you are considered to be the beneficial owner of shares that are held in “street name,” and the Notice was forwarded to you by your broker or nominee, who is considered the stockholder of record with respect to those shares. As the beneficial owner, you have the right to direct your broker, bank, or other nominee as to how to vote your shares. Beneficial owners are also invited to attend the Annual Meeting. However, since a beneficial owner is not the stockholder of record, you may not vote your shares of our common stock live at the Annual Meeting unless you follow your broker’s procedures for obtaining a legal proxy. If you request a printed copy of our proxy materials by mail, your broker, bank, or other nominee will provide a voting instruction form for you to use. Throughout this proxy statement, we refer to stockholders who hold their shares through a broker, bank, or other nominee as “street name stockholders.”</w:t>
      </w:r>
    </w:p>
    <w:p>
      <w:pPr>
        <w:spacing w:after="0" w:line="239"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Are a certain number of shares required to be present at the Annual Meeting?</w:t>
      </w:r>
    </w:p>
    <w:p>
      <w:pPr>
        <w:spacing w:after="0" w:line="46" w:lineRule="exact"/>
        <w:rPr>
          <w:sz w:val="20"/>
          <w:szCs w:val="20"/>
          <w:color w:val="auto"/>
        </w:rPr>
      </w:pPr>
    </w:p>
    <w:p>
      <w:pPr>
        <w:ind w:left="4"/>
        <w:spacing w:after="0" w:line="256" w:lineRule="auto"/>
        <w:rPr>
          <w:sz w:val="20"/>
          <w:szCs w:val="20"/>
          <w:color w:val="auto"/>
        </w:rPr>
      </w:pPr>
      <w:r>
        <w:rPr>
          <w:rFonts w:ascii="Arial" w:cs="Arial" w:eastAsia="Arial" w:hAnsi="Arial"/>
          <w:sz w:val="16"/>
          <w:szCs w:val="16"/>
          <w:color w:val="auto"/>
        </w:rPr>
        <w:t>A quorum is the minimum number of shares required to be present at the Annual Meeting to properly hold an annual meeting of stockholders and conduct business under our amended and restated bylaws and Delaware law. The presence, virtually or by proxy, of a majority of the voting power of all issued and outstanding shares of our common stock entitled to vote at the Annual Meeting will constitute a quorum at the Annual Meeting. Abstentions, withhold votes, and broker non-votes are counted as shares present and entitled to vote for purposes of determining a quorum.</w:t>
      </w:r>
    </w:p>
    <w:p>
      <w:pPr>
        <w:spacing w:after="0" w:line="234"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How do I vote?</w:t>
      </w:r>
    </w:p>
    <w:p>
      <w:pPr>
        <w:spacing w:after="0" w:line="73" w:lineRule="exact"/>
        <w:rPr>
          <w:sz w:val="20"/>
          <w:szCs w:val="20"/>
          <w:color w:val="auto"/>
        </w:rPr>
      </w:pPr>
    </w:p>
    <w:p>
      <w:pPr>
        <w:ind w:left="4"/>
        <w:spacing w:after="0"/>
        <w:rPr>
          <w:sz w:val="20"/>
          <w:szCs w:val="20"/>
          <w:color w:val="auto"/>
        </w:rPr>
      </w:pPr>
      <w:r>
        <w:rPr>
          <w:rFonts w:ascii="Arial" w:cs="Arial" w:eastAsia="Arial" w:hAnsi="Arial"/>
          <w:sz w:val="16"/>
          <w:szCs w:val="16"/>
          <w:color w:val="auto"/>
        </w:rPr>
        <w:t>If you are a stockholder of record, there are several ways to vote:</w:t>
      </w:r>
    </w:p>
    <w:p>
      <w:pPr>
        <w:spacing w:after="0" w:line="167" w:lineRule="exact"/>
        <w:rPr>
          <w:sz w:val="20"/>
          <w:szCs w:val="20"/>
          <w:color w:val="auto"/>
        </w:rPr>
      </w:pPr>
    </w:p>
    <w:p>
      <w:pPr>
        <w:ind w:left="284" w:right="60" w:hanging="284"/>
        <w:spacing w:after="0" w:line="266" w:lineRule="auto"/>
        <w:tabs>
          <w:tab w:leader="none" w:pos="284" w:val="left"/>
        </w:tabs>
        <w:numPr>
          <w:ilvl w:val="0"/>
          <w:numId w:val="11"/>
        </w:numPr>
        <w:rPr>
          <w:rFonts w:ascii="Arial" w:cs="Arial" w:eastAsia="Arial" w:hAnsi="Arial"/>
          <w:sz w:val="16"/>
          <w:szCs w:val="16"/>
          <w:color w:val="0063A6"/>
        </w:rPr>
      </w:pPr>
      <w:r>
        <w:rPr>
          <w:rFonts w:ascii="Arial" w:cs="Arial" w:eastAsia="Arial" w:hAnsi="Arial"/>
          <w:sz w:val="16"/>
          <w:szCs w:val="16"/>
          <w:color w:val="auto"/>
        </w:rPr>
        <w:t>by Internet prior to the Annual Meeting at www.proxyvote.com, 24 hours a day, seven days a week, until 11:59 p.m. Eastern Time on May 18, 2022 for shares held directly and by 11:59 p.m. Eastern Time on May 16, 2022 for shares held in a Plan (have your Notice or proxy card in hand when you visit the website);</w:t>
      </w:r>
    </w:p>
    <w:p>
      <w:pPr>
        <w:spacing w:after="0" w:line="117" w:lineRule="exact"/>
        <w:rPr>
          <w:rFonts w:ascii="Arial" w:cs="Arial" w:eastAsia="Arial" w:hAnsi="Arial"/>
          <w:sz w:val="16"/>
          <w:szCs w:val="16"/>
          <w:color w:val="0063A6"/>
        </w:rPr>
      </w:pPr>
    </w:p>
    <w:p>
      <w:pPr>
        <w:ind w:left="284" w:right="480" w:hanging="284"/>
        <w:spacing w:after="0" w:line="286" w:lineRule="auto"/>
        <w:tabs>
          <w:tab w:leader="none" w:pos="284" w:val="left"/>
        </w:tabs>
        <w:numPr>
          <w:ilvl w:val="0"/>
          <w:numId w:val="11"/>
        </w:numPr>
        <w:rPr>
          <w:rFonts w:ascii="Arial" w:cs="Arial" w:eastAsia="Arial" w:hAnsi="Arial"/>
          <w:sz w:val="16"/>
          <w:szCs w:val="16"/>
          <w:color w:val="0063A6"/>
        </w:rPr>
      </w:pPr>
      <w:r>
        <w:rPr>
          <w:rFonts w:ascii="Arial" w:cs="Arial" w:eastAsia="Arial" w:hAnsi="Arial"/>
          <w:sz w:val="16"/>
          <w:szCs w:val="16"/>
          <w:color w:val="auto"/>
        </w:rPr>
        <w:t>by toll-free telephone at 1-800-690-6903, until 11:59 p.m. Eastern Time on May 18, 2022 for shares held directly and by 11:59 p.m. Eastern Time on May 16, 2022 for shares held in a Plan (have your Notice or proxy card in hand when you call);</w:t>
      </w:r>
    </w:p>
    <w:p>
      <w:pPr>
        <w:spacing w:after="0" w:line="160" w:lineRule="exact"/>
        <w:rPr>
          <w:sz w:val="20"/>
          <w:szCs w:val="20"/>
          <w:color w:val="auto"/>
        </w:rPr>
      </w:pPr>
    </w:p>
    <w:p>
      <w:pPr>
        <w:ind w:left="544" w:hanging="544"/>
        <w:spacing w:after="0"/>
        <w:tabs>
          <w:tab w:leader="none" w:pos="544" w:val="left"/>
        </w:tabs>
        <w:numPr>
          <w:ilvl w:val="0"/>
          <w:numId w:val="12"/>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126365</wp:posOffset>
            </wp:positionV>
            <wp:extent cx="6995160" cy="171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6" w:name="page7"/>
    <w:bookmarkEnd w:id="6"/>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GENERAL INFORMATION (continued)</w:t>
      </w:r>
    </w:p>
    <w:p>
      <w:pPr>
        <w:spacing w:after="0" w:line="200" w:lineRule="exact"/>
        <w:rPr>
          <w:sz w:val="20"/>
          <w:szCs w:val="20"/>
          <w:color w:val="auto"/>
        </w:rPr>
      </w:pPr>
    </w:p>
    <w:p>
      <w:pPr>
        <w:spacing w:after="0" w:line="202" w:lineRule="exact"/>
        <w:rPr>
          <w:sz w:val="20"/>
          <w:szCs w:val="20"/>
          <w:color w:val="auto"/>
        </w:rPr>
      </w:pPr>
    </w:p>
    <w:p>
      <w:pPr>
        <w:ind w:left="1000" w:hanging="284"/>
        <w:spacing w:after="0"/>
        <w:tabs>
          <w:tab w:leader="none" w:pos="1000" w:val="left"/>
        </w:tabs>
        <w:numPr>
          <w:ilvl w:val="0"/>
          <w:numId w:val="13"/>
        </w:numPr>
        <w:rPr>
          <w:rFonts w:ascii="Arial" w:cs="Arial" w:eastAsia="Arial" w:hAnsi="Arial"/>
          <w:sz w:val="16"/>
          <w:szCs w:val="16"/>
          <w:color w:val="0063A6"/>
        </w:rPr>
      </w:pPr>
      <w:r>
        <w:rPr>
          <w:rFonts w:ascii="Arial" w:cs="Arial" w:eastAsia="Arial" w:hAnsi="Arial"/>
          <w:sz w:val="16"/>
          <w:szCs w:val="16"/>
          <w:color w:val="auto"/>
        </w:rPr>
        <w:t>by completing and mailing your proxy card (if you received printed proxy materials); or</w:t>
      </w:r>
    </w:p>
    <w:p>
      <w:pPr>
        <w:spacing w:after="0" w:line="167" w:lineRule="exact"/>
        <w:rPr>
          <w:rFonts w:ascii="Arial" w:cs="Arial" w:eastAsia="Arial" w:hAnsi="Arial"/>
          <w:sz w:val="16"/>
          <w:szCs w:val="16"/>
          <w:color w:val="0063A6"/>
        </w:rPr>
      </w:pPr>
    </w:p>
    <w:p>
      <w:pPr>
        <w:ind w:left="1000" w:right="1180" w:hanging="284"/>
        <w:spacing w:after="0" w:line="286" w:lineRule="auto"/>
        <w:tabs>
          <w:tab w:leader="none" w:pos="1000" w:val="left"/>
        </w:tabs>
        <w:numPr>
          <w:ilvl w:val="0"/>
          <w:numId w:val="13"/>
        </w:numPr>
        <w:rPr>
          <w:rFonts w:ascii="Arial" w:cs="Arial" w:eastAsia="Arial" w:hAnsi="Arial"/>
          <w:sz w:val="16"/>
          <w:szCs w:val="16"/>
          <w:color w:val="0063A6"/>
        </w:rPr>
      </w:pPr>
      <w:r>
        <w:rPr>
          <w:rFonts w:ascii="Arial" w:cs="Arial" w:eastAsia="Arial" w:hAnsi="Arial"/>
          <w:sz w:val="16"/>
          <w:szCs w:val="16"/>
          <w:color w:val="auto"/>
        </w:rPr>
        <w:t>by attending the Annual Meeting by visiting www.virtualshareholdermeeting.com/DBX2022, where you may vote and submit questions during the meeting (please have your Notice or proxy card in hand when you visit the website).</w:t>
      </w:r>
    </w:p>
    <w:p>
      <w:pPr>
        <w:spacing w:after="0" w:line="102" w:lineRule="exact"/>
        <w:rPr>
          <w:sz w:val="20"/>
          <w:szCs w:val="20"/>
          <w:color w:val="auto"/>
        </w:rPr>
      </w:pPr>
    </w:p>
    <w:p>
      <w:pPr>
        <w:ind w:left="720" w:right="1080"/>
        <w:spacing w:after="0" w:line="286" w:lineRule="auto"/>
        <w:rPr>
          <w:sz w:val="20"/>
          <w:szCs w:val="20"/>
          <w:color w:val="auto"/>
        </w:rPr>
      </w:pPr>
      <w:r>
        <w:rPr>
          <w:rFonts w:ascii="Arial" w:cs="Arial" w:eastAsia="Arial" w:hAnsi="Arial"/>
          <w:sz w:val="16"/>
          <w:szCs w:val="16"/>
          <w:color w:val="auto"/>
        </w:rPr>
        <w:t>Even if you plan to attend the Annual Meeting, we recommend that you also vote by proxy so that your vote will be counted if you later decide not to attend the Annual Meeting.</w:t>
      </w:r>
    </w:p>
    <w:p>
      <w:pPr>
        <w:spacing w:after="0" w:line="102" w:lineRule="exact"/>
        <w:rPr>
          <w:sz w:val="20"/>
          <w:szCs w:val="20"/>
          <w:color w:val="auto"/>
        </w:rPr>
      </w:pPr>
    </w:p>
    <w:p>
      <w:pPr>
        <w:ind w:left="720" w:right="720"/>
        <w:spacing w:after="0" w:line="254" w:lineRule="auto"/>
        <w:rPr>
          <w:sz w:val="20"/>
          <w:szCs w:val="20"/>
          <w:color w:val="auto"/>
        </w:rPr>
      </w:pPr>
      <w:r>
        <w:rPr>
          <w:rFonts w:ascii="Arial" w:cs="Arial" w:eastAsia="Arial" w:hAnsi="Arial"/>
          <w:sz w:val="16"/>
          <w:szCs w:val="16"/>
          <w:color w:val="auto"/>
        </w:rPr>
        <w:t>If you are a street name stockholder, you will receive voting instructions from your broker, bank, or other nominee. You must follow the voting instructions provided by your broker, bank, or other nominee in order to direct your broker, bank, or other nominee on how to vote your shares. Street name stockholders should generally be able to vote by returning a voting instruction form, or by telephone or on the Internet. However, the availability of telephone and Internet voting will depend on the voting process of your broker, bank, or other nominee. As discussed above, if you are a street name stockholder, you may not vote your shares live at the Annual Meeting unless you obtain a legal proxy from your broker, bank, or other nominee.</w:t>
      </w:r>
    </w:p>
    <w:p>
      <w:pPr>
        <w:spacing w:after="0" w:line="317"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How may my brokerage firm or other intermediary vote my shares if I fail to provide timely directions?</w:t>
      </w:r>
    </w:p>
    <w:p>
      <w:pPr>
        <w:spacing w:after="0" w:line="46" w:lineRule="exact"/>
        <w:rPr>
          <w:sz w:val="20"/>
          <w:szCs w:val="20"/>
          <w:color w:val="auto"/>
        </w:rPr>
      </w:pPr>
    </w:p>
    <w:p>
      <w:pPr>
        <w:ind w:left="720" w:right="920"/>
        <w:spacing w:after="0" w:line="254" w:lineRule="auto"/>
        <w:rPr>
          <w:sz w:val="20"/>
          <w:szCs w:val="20"/>
          <w:color w:val="auto"/>
        </w:rPr>
      </w:pPr>
      <w:r>
        <w:rPr>
          <w:rFonts w:ascii="Arial" w:cs="Arial" w:eastAsia="Arial" w:hAnsi="Arial"/>
          <w:sz w:val="16"/>
          <w:szCs w:val="16"/>
          <w:color w:val="auto"/>
        </w:rPr>
        <w:t>Brokerage firms and other intermediaries holding shares of our common stock in street name for their customers are generally required to vote such shares in the manner directed by their customers. In the absence of timely directions, your broker will have discretion to vote your shares on our sole “routine” matter: the proposal to ratify the appointment of Ernst &amp; Young LLP as our independent registered public accounting firm for our fiscal year ending December 31, 2022. Your broker will not have discretion to vote on any other proposals, which are “non-routine” matters, absent direction from you (and failure to provide instructions on these matters will result in a “broker non-vote”).</w:t>
      </w:r>
    </w:p>
    <w:p>
      <w:pPr>
        <w:spacing w:after="0" w:line="330"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Can I change my vote?</w:t>
      </w:r>
    </w:p>
    <w:p>
      <w:pPr>
        <w:spacing w:after="0" w:line="73" w:lineRule="exact"/>
        <w:rPr>
          <w:sz w:val="20"/>
          <w:szCs w:val="20"/>
          <w:color w:val="auto"/>
        </w:rPr>
      </w:pPr>
    </w:p>
    <w:p>
      <w:pPr>
        <w:ind w:left="720"/>
        <w:spacing w:after="0"/>
        <w:rPr>
          <w:sz w:val="20"/>
          <w:szCs w:val="20"/>
          <w:color w:val="auto"/>
        </w:rPr>
      </w:pPr>
      <w:r>
        <w:rPr>
          <w:rFonts w:ascii="Arial" w:cs="Arial" w:eastAsia="Arial" w:hAnsi="Arial"/>
          <w:sz w:val="16"/>
          <w:szCs w:val="16"/>
          <w:color w:val="auto"/>
        </w:rPr>
        <w:t>Yes. If you are a stockholder of record, you can change your vote or revoke your proxy any time before the Annual Meeting by:</w:t>
      </w:r>
    </w:p>
    <w:p>
      <w:pPr>
        <w:spacing w:after="0" w:line="167" w:lineRule="exact"/>
        <w:rPr>
          <w:sz w:val="20"/>
          <w:szCs w:val="20"/>
          <w:color w:val="auto"/>
        </w:rPr>
      </w:pPr>
    </w:p>
    <w:p>
      <w:pPr>
        <w:ind w:left="1000" w:hanging="284"/>
        <w:spacing w:after="0"/>
        <w:tabs>
          <w:tab w:leader="none" w:pos="1000" w:val="left"/>
        </w:tabs>
        <w:numPr>
          <w:ilvl w:val="0"/>
          <w:numId w:val="14"/>
        </w:numPr>
        <w:rPr>
          <w:rFonts w:ascii="Arial" w:cs="Arial" w:eastAsia="Arial" w:hAnsi="Arial"/>
          <w:sz w:val="16"/>
          <w:szCs w:val="16"/>
          <w:color w:val="0063A6"/>
        </w:rPr>
      </w:pPr>
      <w:r>
        <w:rPr>
          <w:rFonts w:ascii="Arial" w:cs="Arial" w:eastAsia="Arial" w:hAnsi="Arial"/>
          <w:sz w:val="16"/>
          <w:szCs w:val="16"/>
          <w:color w:val="auto"/>
        </w:rPr>
        <w:t>entering a new vote by Internet or by telephone;</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14"/>
        </w:numPr>
        <w:rPr>
          <w:rFonts w:ascii="Arial" w:cs="Arial" w:eastAsia="Arial" w:hAnsi="Arial"/>
          <w:sz w:val="16"/>
          <w:szCs w:val="16"/>
          <w:color w:val="0063A6"/>
        </w:rPr>
      </w:pPr>
      <w:r>
        <w:rPr>
          <w:rFonts w:ascii="Arial" w:cs="Arial" w:eastAsia="Arial" w:hAnsi="Arial"/>
          <w:sz w:val="16"/>
          <w:szCs w:val="16"/>
          <w:color w:val="auto"/>
        </w:rPr>
        <w:t>completing and returning a later-dated proxy card;</w:t>
      </w:r>
    </w:p>
    <w:p>
      <w:pPr>
        <w:spacing w:after="0" w:line="167" w:lineRule="exact"/>
        <w:rPr>
          <w:rFonts w:ascii="Arial" w:cs="Arial" w:eastAsia="Arial" w:hAnsi="Arial"/>
          <w:sz w:val="16"/>
          <w:szCs w:val="16"/>
          <w:color w:val="0063A6"/>
        </w:rPr>
      </w:pPr>
    </w:p>
    <w:p>
      <w:pPr>
        <w:ind w:left="1000" w:right="1120" w:hanging="284"/>
        <w:spacing w:after="0" w:line="286" w:lineRule="auto"/>
        <w:tabs>
          <w:tab w:leader="none" w:pos="1000" w:val="left"/>
        </w:tabs>
        <w:numPr>
          <w:ilvl w:val="0"/>
          <w:numId w:val="14"/>
        </w:numPr>
        <w:rPr>
          <w:rFonts w:ascii="Arial" w:cs="Arial" w:eastAsia="Arial" w:hAnsi="Arial"/>
          <w:sz w:val="16"/>
          <w:szCs w:val="16"/>
          <w:color w:val="0063A6"/>
        </w:rPr>
      </w:pPr>
      <w:r>
        <w:rPr>
          <w:rFonts w:ascii="Arial" w:cs="Arial" w:eastAsia="Arial" w:hAnsi="Arial"/>
          <w:sz w:val="16"/>
          <w:szCs w:val="16"/>
          <w:color w:val="auto"/>
        </w:rPr>
        <w:t>notifying the Corporate Secretary of Dropbox, Inc., in writing, at Dropbox, Inc., 1800 Owens Street, San Francisco, California 94158; or</w:t>
      </w:r>
    </w:p>
    <w:p>
      <w:pPr>
        <w:spacing w:after="0" w:line="101" w:lineRule="exact"/>
        <w:rPr>
          <w:rFonts w:ascii="Arial" w:cs="Arial" w:eastAsia="Arial" w:hAnsi="Arial"/>
          <w:sz w:val="16"/>
          <w:szCs w:val="16"/>
          <w:color w:val="0063A6"/>
        </w:rPr>
      </w:pPr>
    </w:p>
    <w:p>
      <w:pPr>
        <w:ind w:left="1000" w:right="960" w:hanging="284"/>
        <w:spacing w:after="0" w:line="286" w:lineRule="auto"/>
        <w:tabs>
          <w:tab w:leader="none" w:pos="1000" w:val="left"/>
        </w:tabs>
        <w:numPr>
          <w:ilvl w:val="0"/>
          <w:numId w:val="14"/>
        </w:numPr>
        <w:rPr>
          <w:rFonts w:ascii="Arial" w:cs="Arial" w:eastAsia="Arial" w:hAnsi="Arial"/>
          <w:sz w:val="16"/>
          <w:szCs w:val="16"/>
          <w:color w:val="0063A6"/>
        </w:rPr>
      </w:pPr>
      <w:r>
        <w:rPr>
          <w:rFonts w:ascii="Arial" w:cs="Arial" w:eastAsia="Arial" w:hAnsi="Arial"/>
          <w:sz w:val="16"/>
          <w:szCs w:val="16"/>
          <w:color w:val="auto"/>
        </w:rPr>
        <w:t>You may also change your vote by attending and voting at the Annual Meeting (although attendance at the Annual Meeting will not, by itself, revoke a proxy).</w:t>
      </w:r>
    </w:p>
    <w:p>
      <w:pPr>
        <w:spacing w:after="0" w:line="102" w:lineRule="exact"/>
        <w:rPr>
          <w:sz w:val="20"/>
          <w:szCs w:val="20"/>
          <w:color w:val="auto"/>
        </w:rPr>
      </w:pPr>
    </w:p>
    <w:p>
      <w:pPr>
        <w:ind w:left="720" w:right="1000"/>
        <w:spacing w:after="0" w:line="286" w:lineRule="auto"/>
        <w:rPr>
          <w:sz w:val="20"/>
          <w:szCs w:val="20"/>
          <w:color w:val="auto"/>
        </w:rPr>
      </w:pPr>
      <w:r>
        <w:rPr>
          <w:rFonts w:ascii="Arial" w:cs="Arial" w:eastAsia="Arial" w:hAnsi="Arial"/>
          <w:sz w:val="16"/>
          <w:szCs w:val="16"/>
          <w:color w:val="auto"/>
        </w:rPr>
        <w:t>If you are a street name stockholder, your broker, bank, or other nominee can provide you with instructions on how to change your vote.</w:t>
      </w:r>
    </w:p>
    <w:p>
      <w:pPr>
        <w:spacing w:after="0" w:line="304"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What do I need to do to attend the Annual Meeting?</w:t>
      </w:r>
    </w:p>
    <w:p>
      <w:pPr>
        <w:spacing w:after="0" w:line="39" w:lineRule="exact"/>
        <w:rPr>
          <w:sz w:val="20"/>
          <w:szCs w:val="20"/>
          <w:color w:val="auto"/>
        </w:rPr>
      </w:pPr>
    </w:p>
    <w:p>
      <w:pPr>
        <w:ind w:left="720" w:right="820"/>
        <w:spacing w:after="0" w:line="254" w:lineRule="auto"/>
        <w:rPr>
          <w:sz w:val="20"/>
          <w:szCs w:val="20"/>
          <w:color w:val="auto"/>
        </w:rPr>
      </w:pPr>
      <w:r>
        <w:rPr>
          <w:rFonts w:ascii="Arial" w:cs="Arial" w:eastAsia="Arial" w:hAnsi="Arial"/>
          <w:sz w:val="16"/>
          <w:szCs w:val="16"/>
          <w:color w:val="auto"/>
        </w:rPr>
        <w:t>You will be able to attend the Annual Meeting virtually, submit your questions during the meeting and vote your shares electronically at the meeting by visiting www.virtualshareholdermeeting.com/DBX2022. To participate in the Annual Meeting, you will need the control number included on your Notice or proxy card. The Annual Meeting webcast will begin promptly at 9:00 am Pacific Time. We encourage you to access the meeting prior to the start time. Online check-in will begin at 8:45 am Pacific Time, and you should allow ample time for the check-in procedures.</w:t>
      </w:r>
    </w:p>
    <w:p>
      <w:pPr>
        <w:spacing w:after="0" w:line="329"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What is the effect of giving a proxy?</w:t>
      </w:r>
    </w:p>
    <w:p>
      <w:pPr>
        <w:spacing w:after="0" w:line="46" w:lineRule="exact"/>
        <w:rPr>
          <w:sz w:val="20"/>
          <w:szCs w:val="20"/>
          <w:color w:val="auto"/>
        </w:rPr>
      </w:pPr>
    </w:p>
    <w:p>
      <w:pPr>
        <w:ind w:left="720" w:right="740"/>
        <w:spacing w:after="0" w:line="253" w:lineRule="auto"/>
        <w:rPr>
          <w:sz w:val="20"/>
          <w:szCs w:val="20"/>
          <w:color w:val="auto"/>
        </w:rPr>
      </w:pPr>
      <w:r>
        <w:rPr>
          <w:rFonts w:ascii="Arial" w:cs="Arial" w:eastAsia="Arial" w:hAnsi="Arial"/>
          <w:sz w:val="16"/>
          <w:szCs w:val="16"/>
          <w:color w:val="auto"/>
        </w:rPr>
        <w:t>Proxies are solicited by and on behalf of our board of directors. Andrew W. Houston and Timothy Regan have been designated as proxy holders by our board of directors. When proxies are properly dated, executed, and returned, the shares represented by such proxies will be voted at the Annual Meeting in accordance with the instructions of the stockholder. If the proxy is dated and signed, but no specific instructions are given, the shares will be voted in accordance with the recommendations of our board of directors as described above. If any matters not described in this proxy statement are properly presented at the Annual Meeting, the proxy holders will use their own judgment to determine how to vote the shares. If the Annual Meeting is adjourned, the proxy holders can vote the shares on the new Annual Meeting date as well, unless you have properly revoked your proxy, as described above.</w:t>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80" w:type="dxa"/>
            <w:vAlign w:val="bottom"/>
          </w:tcPr>
          <w:p>
            <w:pPr>
              <w:ind w:left="440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040" w:type="dxa"/>
            <w:vAlign w:val="bottom"/>
          </w:tcPr>
          <w:p>
            <w:pPr>
              <w:jc w:val="right"/>
              <w:ind w:right="648"/>
              <w:spacing w:after="0"/>
              <w:rPr>
                <w:sz w:val="20"/>
                <w:szCs w:val="20"/>
                <w:color w:val="auto"/>
              </w:rPr>
            </w:pPr>
            <w:r>
              <w:rPr>
                <w:rFonts w:ascii="Arial" w:cs="Arial" w:eastAsia="Arial" w:hAnsi="Arial"/>
                <w:sz w:val="14"/>
                <w:szCs w:val="14"/>
                <w:b w:val="1"/>
                <w:bCs w:val="1"/>
                <w:color w:val="auto"/>
              </w:rPr>
              <w:t>3</w:t>
            </w:r>
          </w:p>
        </w:tc>
      </w:tr>
      <w:tr>
        <w:trPr>
          <w:trHeight w:val="157"/>
        </w:trPr>
        <w:tc>
          <w:tcPr>
            <w:tcW w:w="998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7" w:name="page8"/>
    <w:bookmarkEnd w:id="7"/>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GENERAL INFORMATION (continued)</w:t>
      </w:r>
    </w:p>
    <w:p>
      <w:pPr>
        <w:spacing w:after="0" w:line="200" w:lineRule="exact"/>
        <w:rPr>
          <w:sz w:val="20"/>
          <w:szCs w:val="20"/>
          <w:color w:val="auto"/>
        </w:rPr>
      </w:pPr>
    </w:p>
    <w:p>
      <w:pPr>
        <w:spacing w:after="0" w:line="202"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Why did I receive a Notice of Internet Availability of Proxy Materials instead of a full set of proxy materials?</w:t>
      </w:r>
    </w:p>
    <w:p>
      <w:pPr>
        <w:spacing w:after="0" w:line="39" w:lineRule="exact"/>
        <w:rPr>
          <w:sz w:val="20"/>
          <w:szCs w:val="20"/>
          <w:color w:val="auto"/>
        </w:rPr>
      </w:pPr>
    </w:p>
    <w:p>
      <w:pPr>
        <w:ind w:left="4" w:right="200"/>
        <w:spacing w:after="0" w:line="252" w:lineRule="auto"/>
        <w:rPr>
          <w:sz w:val="20"/>
          <w:szCs w:val="20"/>
          <w:color w:val="auto"/>
        </w:rPr>
      </w:pPr>
      <w:r>
        <w:rPr>
          <w:rFonts w:ascii="Arial" w:cs="Arial" w:eastAsia="Arial" w:hAnsi="Arial"/>
          <w:sz w:val="16"/>
          <w:szCs w:val="16"/>
          <w:color w:val="auto"/>
        </w:rPr>
        <w:t>In accordance with the rules of the Securities and Exchange Commission (“</w:t>
      </w:r>
      <w:r>
        <w:rPr>
          <w:rFonts w:ascii="Arial" w:cs="Arial" w:eastAsia="Arial" w:hAnsi="Arial"/>
          <w:sz w:val="16"/>
          <w:szCs w:val="16"/>
          <w:b w:val="1"/>
          <w:bCs w:val="1"/>
          <w:i w:val="1"/>
          <w:iCs w:val="1"/>
          <w:color w:val="auto"/>
        </w:rPr>
        <w:t>SEC</w:t>
      </w:r>
      <w:r>
        <w:rPr>
          <w:rFonts w:ascii="Arial" w:cs="Arial" w:eastAsia="Arial" w:hAnsi="Arial"/>
          <w:sz w:val="16"/>
          <w:szCs w:val="16"/>
          <w:color w:val="auto"/>
        </w:rPr>
        <w:t>”), we have elected to furnish our proxy materials, including this proxy statement and our annual report, primarily via the Internet. The Notice containing instructions on how to access our proxy materials is first being mailed on or about April 5, 2022 to all stockholders entitled to vote at the Annual Meeting. Stockholders may request to receive all future proxy materials in printed form by mail or electronically by e-mail by following the instructions contained in the Notice. We encourage stockholders to take advantage of the availability of our proxy materials on the Internet to help reduce the environmental impact and cost of our annual meetings of stockholders.</w:t>
      </w:r>
    </w:p>
    <w:p>
      <w:pPr>
        <w:spacing w:after="0" w:line="184"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How are proxies solicited for the Annual Meeting?</w:t>
      </w:r>
    </w:p>
    <w:p>
      <w:pPr>
        <w:spacing w:after="0" w:line="46" w:lineRule="exact"/>
        <w:rPr>
          <w:sz w:val="20"/>
          <w:szCs w:val="20"/>
          <w:color w:val="auto"/>
        </w:rPr>
      </w:pPr>
    </w:p>
    <w:p>
      <w:pPr>
        <w:ind w:left="4"/>
        <w:spacing w:after="0" w:line="256" w:lineRule="auto"/>
        <w:rPr>
          <w:sz w:val="20"/>
          <w:szCs w:val="20"/>
          <w:color w:val="auto"/>
        </w:rPr>
      </w:pPr>
      <w:r>
        <w:rPr>
          <w:rFonts w:ascii="Arial" w:cs="Arial" w:eastAsia="Arial" w:hAnsi="Arial"/>
          <w:sz w:val="16"/>
          <w:szCs w:val="16"/>
          <w:color w:val="auto"/>
        </w:rPr>
        <w:t>Our board of directors is soliciting proxies for use at the Annual Meeting. All expenses associated with this solicitation will be borne by us. We will reimburse brokers or other nominees for reasonable expenses that they incur in sending our proxy materials to you if a broker, bank, or other nominee holds shares of our common stock on your behalf. In addition, our directors and employees may also solicit proxies by telephone, by electronic communication or by other means of communication. Our directors and employees will not be paid any additional compensation for soliciting proxies.</w:t>
      </w:r>
    </w:p>
    <w:p>
      <w:pPr>
        <w:spacing w:after="0" w:line="180"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Where can I find the voting results of the Annual Meeting?</w:t>
      </w:r>
    </w:p>
    <w:p>
      <w:pPr>
        <w:spacing w:after="0" w:line="46" w:lineRule="exact"/>
        <w:rPr>
          <w:sz w:val="20"/>
          <w:szCs w:val="20"/>
          <w:color w:val="auto"/>
        </w:rPr>
      </w:pPr>
    </w:p>
    <w:p>
      <w:pPr>
        <w:ind w:left="4"/>
        <w:spacing w:after="0"/>
        <w:rPr>
          <w:sz w:val="20"/>
          <w:szCs w:val="20"/>
          <w:color w:val="auto"/>
        </w:rPr>
      </w:pPr>
      <w:r>
        <w:rPr>
          <w:rFonts w:ascii="Arial" w:cs="Arial" w:eastAsia="Arial" w:hAnsi="Arial"/>
          <w:sz w:val="16"/>
          <w:szCs w:val="16"/>
          <w:color w:val="auto"/>
        </w:rPr>
        <w:t>We will announce preliminary voting results at the Annual Meeting. We will also disclose voting results on a Current Report on</w:t>
      </w:r>
    </w:p>
    <w:p>
      <w:pPr>
        <w:spacing w:after="0" w:line="21" w:lineRule="exact"/>
        <w:rPr>
          <w:sz w:val="20"/>
          <w:szCs w:val="20"/>
          <w:color w:val="auto"/>
        </w:rPr>
      </w:pPr>
    </w:p>
    <w:p>
      <w:pPr>
        <w:jc w:val="both"/>
        <w:ind w:left="4"/>
        <w:spacing w:after="0" w:line="256" w:lineRule="auto"/>
        <w:rPr>
          <w:sz w:val="20"/>
          <w:szCs w:val="20"/>
          <w:color w:val="auto"/>
        </w:rPr>
      </w:pPr>
      <w:r>
        <w:rPr>
          <w:rFonts w:ascii="Arial" w:cs="Arial" w:eastAsia="Arial" w:hAnsi="Arial"/>
          <w:sz w:val="16"/>
          <w:szCs w:val="16"/>
          <w:color w:val="auto"/>
        </w:rPr>
        <w:t>Form 8-K that we will file with the SEC within four business days after the Annual Meeting. If final voting results are not available to us in time to file a Form 8-K within four business days after the Annual Meeting, we will file a Form 8-K to publish preliminary results and will provide the final results in an amendment to the Form 8-K as soon as they become available.</w:t>
      </w:r>
    </w:p>
    <w:p>
      <w:pPr>
        <w:spacing w:after="0" w:line="178" w:lineRule="exact"/>
        <w:rPr>
          <w:sz w:val="20"/>
          <w:szCs w:val="20"/>
          <w:color w:val="auto"/>
        </w:rPr>
      </w:pPr>
    </w:p>
    <w:p>
      <w:pPr>
        <w:ind w:left="4" w:right="60"/>
        <w:spacing w:after="0" w:line="268" w:lineRule="auto"/>
        <w:rPr>
          <w:sz w:val="20"/>
          <w:szCs w:val="20"/>
          <w:color w:val="auto"/>
        </w:rPr>
      </w:pPr>
      <w:r>
        <w:rPr>
          <w:rFonts w:ascii="Arial" w:cs="Arial" w:eastAsia="Arial" w:hAnsi="Arial"/>
          <w:sz w:val="16"/>
          <w:szCs w:val="16"/>
          <w:b w:val="1"/>
          <w:bCs w:val="1"/>
          <w:color w:val="0063A6"/>
        </w:rPr>
        <w:t>I share an address with another stockholder, and we received only one paper copy of the proxy materials. How may I obtain an additional copy of the proxy materials?</w:t>
      </w:r>
    </w:p>
    <w:p>
      <w:pPr>
        <w:spacing w:after="0" w:line="1" w:lineRule="exact"/>
        <w:rPr>
          <w:sz w:val="20"/>
          <w:szCs w:val="20"/>
          <w:color w:val="auto"/>
        </w:rPr>
      </w:pPr>
    </w:p>
    <w:p>
      <w:pPr>
        <w:ind w:left="4" w:right="40"/>
        <w:spacing w:after="0" w:line="251" w:lineRule="auto"/>
        <w:rPr>
          <w:sz w:val="20"/>
          <w:szCs w:val="20"/>
          <w:color w:val="auto"/>
        </w:rPr>
      </w:pPr>
      <w:r>
        <w:rPr>
          <w:rFonts w:ascii="Arial" w:cs="Arial" w:eastAsia="Arial" w:hAnsi="Arial"/>
          <w:sz w:val="16"/>
          <w:szCs w:val="16"/>
          <w:color w:val="auto"/>
        </w:rPr>
        <w:t>We have adopted a procedure called “householding,” which the SEC has approved. Under this procedure, we deliver a single copy of the Notice and, if applicable, our proxy materials, to multiple stockholders who share the same address, unless we have received contrary instructions from one or more of such stockholders. This procedure reduces our printing costs, mailing costs and fees. Stockholders who participate in householding will continue to be able to access and receive separate proxy cards. Upon written or oral request, we will deliver promptly a separate copy of the Notice and, if applicable, our proxy materials, to any stockholder at a shared address to which we delivered a single copy of any of these materials. To receive a separate copy, or, if a stockholder is receiving multiple copies, to request that we only send a single copy of the Notice and, if applicable, our proxy materials, such stockholder may contact us at:</w:t>
      </w:r>
    </w:p>
    <w:p>
      <w:pPr>
        <w:spacing w:after="0" w:line="182"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Dropbox, Inc.</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Attention: Corporate Secretary</w:t>
      </w:r>
    </w:p>
    <w:p>
      <w:pPr>
        <w:spacing w:after="0" w:line="5"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1800 Owens Street</w:t>
      </w:r>
    </w:p>
    <w:p>
      <w:pPr>
        <w:spacing w:after="0" w:line="5"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San Francisco, California 94158</w:t>
      </w:r>
    </w:p>
    <w:p>
      <w:pPr>
        <w:spacing w:after="0" w:line="5"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(415) 857-6800</w:t>
      </w:r>
    </w:p>
    <w:p>
      <w:pPr>
        <w:spacing w:after="0" w:line="205" w:lineRule="exact"/>
        <w:rPr>
          <w:sz w:val="20"/>
          <w:szCs w:val="20"/>
          <w:color w:val="auto"/>
        </w:rPr>
      </w:pPr>
    </w:p>
    <w:p>
      <w:pPr>
        <w:ind w:left="4"/>
        <w:spacing w:after="0"/>
        <w:rPr>
          <w:sz w:val="20"/>
          <w:szCs w:val="20"/>
          <w:color w:val="auto"/>
        </w:rPr>
      </w:pPr>
      <w:r>
        <w:rPr>
          <w:rFonts w:ascii="Arial" w:cs="Arial" w:eastAsia="Arial" w:hAnsi="Arial"/>
          <w:sz w:val="16"/>
          <w:szCs w:val="16"/>
          <w:color w:val="auto"/>
        </w:rPr>
        <w:t>Street name stockholders may contact their broker, bank, or other nominee to request information about householding.</w:t>
      </w:r>
    </w:p>
    <w:p>
      <w:pPr>
        <w:spacing w:after="0" w:line="221" w:lineRule="exact"/>
        <w:rPr>
          <w:sz w:val="20"/>
          <w:szCs w:val="20"/>
          <w:color w:val="auto"/>
        </w:rPr>
      </w:pPr>
    </w:p>
    <w:p>
      <w:pPr>
        <w:ind w:left="4" w:right="400"/>
        <w:spacing w:after="0" w:line="296" w:lineRule="auto"/>
        <w:rPr>
          <w:sz w:val="20"/>
          <w:szCs w:val="20"/>
          <w:color w:val="auto"/>
        </w:rPr>
      </w:pPr>
      <w:r>
        <w:rPr>
          <w:rFonts w:ascii="Arial" w:cs="Arial" w:eastAsia="Arial" w:hAnsi="Arial"/>
          <w:sz w:val="16"/>
          <w:szCs w:val="16"/>
          <w:b w:val="1"/>
          <w:bCs w:val="1"/>
          <w:color w:val="0063A6"/>
        </w:rPr>
        <w:t>What is the deadline to propose actions for consideration at next year’s annual meeting of stockholders or to nominate individuals to serve as directors?</w:t>
      </w:r>
    </w:p>
    <w:p>
      <w:pPr>
        <w:spacing w:after="0" w:line="73"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Stockholder Proposals</w:t>
      </w:r>
    </w:p>
    <w:p>
      <w:pPr>
        <w:spacing w:after="0" w:line="167" w:lineRule="exact"/>
        <w:rPr>
          <w:sz w:val="20"/>
          <w:szCs w:val="20"/>
          <w:color w:val="auto"/>
        </w:rPr>
      </w:pPr>
    </w:p>
    <w:p>
      <w:pPr>
        <w:ind w:left="4"/>
        <w:spacing w:after="0" w:line="254" w:lineRule="auto"/>
        <w:rPr>
          <w:sz w:val="20"/>
          <w:szCs w:val="20"/>
          <w:color w:val="auto"/>
        </w:rPr>
      </w:pPr>
      <w:r>
        <w:rPr>
          <w:rFonts w:ascii="Arial" w:cs="Arial" w:eastAsia="Arial" w:hAnsi="Arial"/>
          <w:sz w:val="16"/>
          <w:szCs w:val="16"/>
          <w:color w:val="auto"/>
        </w:rPr>
        <w:t>Stockholders may present proper proposals for inclusion in our proxy statement and for consideration at next year’s annual meeting of stockholders by submitting their proposals in writing to our Corporate Secretary in a timely manner. For a stockholder proposal to be considered for inclusion in our proxy statement for the 2023 annual meeting of stockholders, our Corporate Secretary must receive the written proposal at our principal executive offices not later than December 6, 2022. In addition, stockholder proposals must comply with the requirements of Rule 14a-8 regarding the inclusion of stockholder proposals in company-sponsored proxy materials. Stockholder proposals should be addressed to:</w:t>
      </w:r>
    </w:p>
    <w:p>
      <w:pPr>
        <w:spacing w:after="0" w:line="182"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Dropbox, Inc.</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Attention: Corporate Secretary</w:t>
      </w:r>
    </w:p>
    <w:p>
      <w:pPr>
        <w:spacing w:after="0" w:line="5"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1800 Owens Street</w:t>
      </w:r>
    </w:p>
    <w:p>
      <w:pPr>
        <w:spacing w:after="0" w:line="5"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San Francisco, California 94158</w:t>
      </w:r>
    </w:p>
    <w:p>
      <w:pPr>
        <w:spacing w:after="0" w:line="5"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(415) 857-6800</w:t>
      </w:r>
    </w:p>
    <w:p>
      <w:pPr>
        <w:spacing w:after="0" w:line="210" w:lineRule="exact"/>
        <w:rPr>
          <w:sz w:val="20"/>
          <w:szCs w:val="20"/>
          <w:color w:val="auto"/>
        </w:rPr>
      </w:pPr>
    </w:p>
    <w:p>
      <w:pPr>
        <w:ind w:left="544" w:hanging="544"/>
        <w:spacing w:after="0"/>
        <w:tabs>
          <w:tab w:leader="none" w:pos="544" w:val="left"/>
        </w:tabs>
        <w:numPr>
          <w:ilvl w:val="0"/>
          <w:numId w:val="15"/>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8" w:name="page9"/>
    <w:bookmarkEnd w:id="8"/>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GENERAL INFORMATION (continued)</w:t>
      </w:r>
    </w:p>
    <w:p>
      <w:pPr>
        <w:spacing w:after="0" w:line="200" w:lineRule="exact"/>
        <w:rPr>
          <w:sz w:val="20"/>
          <w:szCs w:val="20"/>
          <w:color w:val="auto"/>
        </w:rPr>
      </w:pPr>
    </w:p>
    <w:p>
      <w:pPr>
        <w:spacing w:after="0" w:line="202" w:lineRule="exact"/>
        <w:rPr>
          <w:sz w:val="20"/>
          <w:szCs w:val="20"/>
          <w:color w:val="auto"/>
        </w:rPr>
      </w:pPr>
    </w:p>
    <w:p>
      <w:pPr>
        <w:ind w:left="720" w:right="820"/>
        <w:spacing w:after="0" w:line="253" w:lineRule="auto"/>
        <w:rPr>
          <w:sz w:val="20"/>
          <w:szCs w:val="20"/>
          <w:color w:val="auto"/>
        </w:rPr>
      </w:pPr>
      <w:r>
        <w:rPr>
          <w:rFonts w:ascii="Arial" w:cs="Arial" w:eastAsia="Arial" w:hAnsi="Arial"/>
          <w:sz w:val="16"/>
          <w:szCs w:val="16"/>
          <w:color w:val="auto"/>
        </w:rPr>
        <w:t>Our amended and restated bylaws also establish an advance notice procedure for stockholders who wish to present a proposal before an annual meeting of stockholders but do not intend for the proposal to be included in our proxy statement. Our amended and restated bylaws provide that the only business that may be conducted at an annual meeting of stockholders is business that is</w:t>
      </w:r>
    </w:p>
    <w:p>
      <w:pPr>
        <w:spacing w:after="0" w:line="1" w:lineRule="exact"/>
        <w:rPr>
          <w:sz w:val="20"/>
          <w:szCs w:val="20"/>
          <w:color w:val="auto"/>
        </w:rPr>
      </w:pPr>
    </w:p>
    <w:p>
      <w:pPr>
        <w:ind w:left="720" w:right="760" w:hanging="4"/>
        <w:spacing w:after="0" w:line="251" w:lineRule="auto"/>
        <w:tabs>
          <w:tab w:leader="none" w:pos="909" w:val="left"/>
        </w:tabs>
        <w:numPr>
          <w:ilvl w:val="0"/>
          <w:numId w:val="16"/>
        </w:numPr>
        <w:rPr>
          <w:rFonts w:ascii="Arial" w:cs="Arial" w:eastAsia="Arial" w:hAnsi="Arial"/>
          <w:sz w:val="16"/>
          <w:szCs w:val="16"/>
          <w:color w:val="auto"/>
        </w:rPr>
      </w:pPr>
      <w:r>
        <w:rPr>
          <w:rFonts w:ascii="Arial" w:cs="Arial" w:eastAsia="Arial" w:hAnsi="Arial"/>
          <w:sz w:val="16"/>
          <w:szCs w:val="16"/>
          <w:color w:val="auto"/>
        </w:rPr>
        <w:t>specified in our proxy materials with respect to such annual meeting, (ii) otherwise properly brought before such annual meeting by or at the direction of our board of directors, or (iii) properly brought before such meeting by a stockholder of record entitled to vote at such annual meeting who has delivered timely written notice to our Corporate Secretary, which notice must contain the information specified in our amended and restated bylaws. To be timely for the 2023 annual meeting of stockholders, our Corporate Secretary must receive the written notice at our principal executive offices:</w:t>
      </w:r>
    </w:p>
    <w:p>
      <w:pPr>
        <w:spacing w:after="0" w:line="129" w:lineRule="exact"/>
        <w:rPr>
          <w:sz w:val="20"/>
          <w:szCs w:val="20"/>
          <w:color w:val="auto"/>
        </w:rPr>
      </w:pPr>
    </w:p>
    <w:p>
      <w:pPr>
        <w:ind w:left="1000" w:hanging="284"/>
        <w:spacing w:after="0"/>
        <w:tabs>
          <w:tab w:leader="none" w:pos="1000" w:val="left"/>
        </w:tabs>
        <w:numPr>
          <w:ilvl w:val="0"/>
          <w:numId w:val="17"/>
        </w:numPr>
        <w:rPr>
          <w:rFonts w:ascii="Arial" w:cs="Arial" w:eastAsia="Arial" w:hAnsi="Arial"/>
          <w:sz w:val="16"/>
          <w:szCs w:val="16"/>
          <w:color w:val="0063A6"/>
        </w:rPr>
      </w:pPr>
      <w:r>
        <w:rPr>
          <w:rFonts w:ascii="Arial" w:cs="Arial" w:eastAsia="Arial" w:hAnsi="Arial"/>
          <w:sz w:val="16"/>
          <w:szCs w:val="16"/>
          <w:color w:val="auto"/>
        </w:rPr>
        <w:t>not earlier than January 20, 2023; and</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17"/>
        </w:numPr>
        <w:rPr>
          <w:rFonts w:ascii="Arial" w:cs="Arial" w:eastAsia="Arial" w:hAnsi="Arial"/>
          <w:sz w:val="16"/>
          <w:szCs w:val="16"/>
          <w:color w:val="0063A6"/>
        </w:rPr>
      </w:pPr>
      <w:r>
        <w:rPr>
          <w:rFonts w:ascii="Arial" w:cs="Arial" w:eastAsia="Arial" w:hAnsi="Arial"/>
          <w:sz w:val="16"/>
          <w:szCs w:val="16"/>
          <w:color w:val="auto"/>
        </w:rPr>
        <w:t>not later than February 19, 2023.</w:t>
      </w:r>
    </w:p>
    <w:p>
      <w:pPr>
        <w:spacing w:after="0" w:line="167" w:lineRule="exact"/>
        <w:rPr>
          <w:sz w:val="20"/>
          <w:szCs w:val="20"/>
          <w:color w:val="auto"/>
        </w:rPr>
      </w:pPr>
    </w:p>
    <w:p>
      <w:pPr>
        <w:jc w:val="both"/>
        <w:ind w:left="720" w:right="780"/>
        <w:spacing w:after="0" w:line="220" w:lineRule="auto"/>
        <w:rPr>
          <w:sz w:val="20"/>
          <w:szCs w:val="20"/>
          <w:color w:val="auto"/>
        </w:rPr>
      </w:pPr>
      <w:r>
        <w:rPr>
          <w:rFonts w:ascii="Arial" w:cs="Arial" w:eastAsia="Arial" w:hAnsi="Arial"/>
          <w:sz w:val="16"/>
          <w:szCs w:val="16"/>
          <w:color w:val="auto"/>
        </w:rPr>
        <w:t>In the event that we hold the 2023 annual meeting of stockholders more than 30 days before or more than 60 days after the one-year anniversary of the Annual Meeting, a notice of a stockholder proposal that is not intended to be included in our proxy statement must be received no earlier than the close of business on the 120</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day before the 2023 annual meeting of stockholders and no later than the close of business on the later of the following two dates:</w:t>
      </w:r>
    </w:p>
    <w:p>
      <w:pPr>
        <w:spacing w:after="0" w:line="138" w:lineRule="exact"/>
        <w:rPr>
          <w:sz w:val="20"/>
          <w:szCs w:val="20"/>
          <w:color w:val="auto"/>
        </w:rPr>
      </w:pPr>
    </w:p>
    <w:p>
      <w:pPr>
        <w:ind w:left="1000" w:hanging="284"/>
        <w:spacing w:after="0"/>
        <w:tabs>
          <w:tab w:leader="none" w:pos="1000" w:val="left"/>
        </w:tabs>
        <w:numPr>
          <w:ilvl w:val="0"/>
          <w:numId w:val="18"/>
        </w:numPr>
        <w:rPr>
          <w:rFonts w:ascii="Arial" w:cs="Arial" w:eastAsia="Arial" w:hAnsi="Arial"/>
          <w:sz w:val="16"/>
          <w:szCs w:val="16"/>
          <w:color w:val="0063A6"/>
        </w:rPr>
      </w:pPr>
      <w:r>
        <w:rPr>
          <w:rFonts w:ascii="Arial" w:cs="Arial" w:eastAsia="Arial" w:hAnsi="Arial"/>
          <w:sz w:val="16"/>
          <w:szCs w:val="16"/>
          <w:color w:val="auto"/>
        </w:rPr>
        <w:t>the 90th day prior to the 2023 annual meeting of stockholders; or</w:t>
      </w:r>
    </w:p>
    <w:p>
      <w:pPr>
        <w:spacing w:after="0" w:line="167" w:lineRule="exact"/>
        <w:rPr>
          <w:rFonts w:ascii="Arial" w:cs="Arial" w:eastAsia="Arial" w:hAnsi="Arial"/>
          <w:sz w:val="16"/>
          <w:szCs w:val="16"/>
          <w:color w:val="0063A6"/>
        </w:rPr>
      </w:pPr>
    </w:p>
    <w:p>
      <w:pPr>
        <w:ind w:left="1000" w:right="1180" w:hanging="284"/>
        <w:spacing w:after="0" w:line="286" w:lineRule="auto"/>
        <w:tabs>
          <w:tab w:leader="none" w:pos="1000" w:val="left"/>
        </w:tabs>
        <w:numPr>
          <w:ilvl w:val="0"/>
          <w:numId w:val="18"/>
        </w:numPr>
        <w:rPr>
          <w:rFonts w:ascii="Arial" w:cs="Arial" w:eastAsia="Arial" w:hAnsi="Arial"/>
          <w:sz w:val="16"/>
          <w:szCs w:val="16"/>
          <w:color w:val="0063A6"/>
        </w:rPr>
      </w:pPr>
      <w:r>
        <w:rPr>
          <w:rFonts w:ascii="Arial" w:cs="Arial" w:eastAsia="Arial" w:hAnsi="Arial"/>
          <w:sz w:val="16"/>
          <w:szCs w:val="16"/>
          <w:color w:val="auto"/>
        </w:rPr>
        <w:t>the 10th day following the day on which public announcement of the date of the 2023 annual meeting of stockholders is first made.</w:t>
      </w:r>
    </w:p>
    <w:p>
      <w:pPr>
        <w:spacing w:after="0" w:line="102" w:lineRule="exact"/>
        <w:rPr>
          <w:sz w:val="20"/>
          <w:szCs w:val="20"/>
          <w:color w:val="auto"/>
        </w:rPr>
      </w:pPr>
    </w:p>
    <w:p>
      <w:pPr>
        <w:ind w:left="720" w:right="1000"/>
        <w:spacing w:after="0" w:line="266" w:lineRule="auto"/>
        <w:rPr>
          <w:sz w:val="20"/>
          <w:szCs w:val="20"/>
          <w:color w:val="auto"/>
        </w:rPr>
      </w:pPr>
      <w:r>
        <w:rPr>
          <w:rFonts w:ascii="Arial" w:cs="Arial" w:eastAsia="Arial" w:hAnsi="Arial"/>
          <w:sz w:val="16"/>
          <w:szCs w:val="16"/>
          <w:color w:val="auto"/>
        </w:rPr>
        <w:t>If a stockholder who has notified us of his, her, or its intention to present a proposal at an annual meeting of stockholders does not appear to present his, her, or its proposal at such annual meeting, we are not required to present the proposal for a vote at such annual meeting.</w:t>
      </w:r>
    </w:p>
    <w:p>
      <w:pPr>
        <w:spacing w:after="0" w:line="171"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auto"/>
        </w:rPr>
        <w:t>Recommendation or Nomination of Director Candidates</w:t>
      </w:r>
    </w:p>
    <w:p>
      <w:pPr>
        <w:spacing w:after="0" w:line="167" w:lineRule="exact"/>
        <w:rPr>
          <w:sz w:val="20"/>
          <w:szCs w:val="20"/>
          <w:color w:val="auto"/>
        </w:rPr>
      </w:pPr>
    </w:p>
    <w:p>
      <w:pPr>
        <w:ind w:left="720" w:right="760"/>
        <w:spacing w:after="0" w:line="254" w:lineRule="auto"/>
        <w:rPr>
          <w:sz w:val="20"/>
          <w:szCs w:val="20"/>
          <w:color w:val="auto"/>
        </w:rPr>
      </w:pPr>
      <w:r>
        <w:rPr>
          <w:rFonts w:ascii="Arial" w:cs="Arial" w:eastAsia="Arial" w:hAnsi="Arial"/>
          <w:sz w:val="16"/>
          <w:szCs w:val="16"/>
          <w:color w:val="auto"/>
        </w:rPr>
        <w:t>Holders of 1% of our fully diluted capitalization for at least 12 months prior to the submission of the recommendation may recommend director candidates for consideration by our nominating and corporate governance committee. Any such recommendations should include the nominee’s name and qualifications for membership on our board of directors and should be directed to our Corporate Secretary or legal department at the address set forth above. For additional information regarding stockholder recommendations for director candidates, see the section titled “</w:t>
      </w:r>
      <w:r>
        <w:rPr>
          <w:rFonts w:ascii="Arial" w:cs="Arial" w:eastAsia="Arial" w:hAnsi="Arial"/>
          <w:sz w:val="16"/>
          <w:szCs w:val="16"/>
          <w:i w:val="1"/>
          <w:iCs w:val="1"/>
          <w:color w:val="auto"/>
        </w:rPr>
        <w:t>Board of Directors and Corporate Governance—Stockholder Recommendations and</w:t>
      </w:r>
      <w:r>
        <w:rPr>
          <w:rFonts w:ascii="Arial" w:cs="Arial" w:eastAsia="Arial" w:hAnsi="Arial"/>
          <w:sz w:val="16"/>
          <w:szCs w:val="16"/>
          <w:color w:val="auto"/>
        </w:rPr>
        <w:t xml:space="preserve"> </w:t>
      </w:r>
      <w:r>
        <w:rPr>
          <w:rFonts w:ascii="Arial" w:cs="Arial" w:eastAsia="Arial" w:hAnsi="Arial"/>
          <w:sz w:val="16"/>
          <w:szCs w:val="16"/>
          <w:i w:val="1"/>
          <w:iCs w:val="1"/>
          <w:color w:val="auto"/>
        </w:rPr>
        <w:t>Nominations to the Board of Directors</w:t>
      </w:r>
      <w:r>
        <w:rPr>
          <w:rFonts w:ascii="Arial" w:cs="Arial" w:eastAsia="Arial" w:hAnsi="Arial"/>
          <w:sz w:val="16"/>
          <w:szCs w:val="16"/>
          <w:color w:val="auto"/>
        </w:rPr>
        <w:t>.”</w:t>
      </w:r>
    </w:p>
    <w:p>
      <w:pPr>
        <w:spacing w:after="0" w:line="128" w:lineRule="exact"/>
        <w:rPr>
          <w:sz w:val="20"/>
          <w:szCs w:val="20"/>
          <w:color w:val="auto"/>
        </w:rPr>
      </w:pPr>
    </w:p>
    <w:p>
      <w:pPr>
        <w:ind w:left="720" w:right="860"/>
        <w:spacing w:after="0" w:line="256" w:lineRule="auto"/>
        <w:rPr>
          <w:sz w:val="20"/>
          <w:szCs w:val="20"/>
          <w:color w:val="auto"/>
        </w:rPr>
      </w:pPr>
      <w:r>
        <w:rPr>
          <w:rFonts w:ascii="Arial" w:cs="Arial" w:eastAsia="Arial" w:hAnsi="Arial"/>
          <w:sz w:val="16"/>
          <w:szCs w:val="16"/>
          <w:color w:val="auto"/>
        </w:rPr>
        <w:t>In addition, our amended and restated bylaws permit stockholders to nominate directors for election at an annual meeting of stockholders. To nominate a director, the stockholder must provide the information required by our amended and restated bylaws. In addition, the stockholder must give timely notice to our Corporate Secretary in accordance with our amended and restated bylaws, which, in general, require that the notice be received by our Corporate Secretary within the time periods described above under the section titled “</w:t>
      </w:r>
      <w:r>
        <w:rPr>
          <w:rFonts w:ascii="Arial" w:cs="Arial" w:eastAsia="Arial" w:hAnsi="Arial"/>
          <w:sz w:val="16"/>
          <w:szCs w:val="16"/>
          <w:i w:val="1"/>
          <w:iCs w:val="1"/>
          <w:color w:val="auto"/>
        </w:rPr>
        <w:t>Stockholder Proposals</w:t>
      </w:r>
      <w:r>
        <w:rPr>
          <w:rFonts w:ascii="Arial" w:cs="Arial" w:eastAsia="Arial" w:hAnsi="Arial"/>
          <w:sz w:val="16"/>
          <w:szCs w:val="16"/>
          <w:color w:val="auto"/>
        </w:rPr>
        <w:t>” for stockholder proposals that are not intended to be included in a proxy statement.</w:t>
      </w:r>
    </w:p>
    <w:p>
      <w:pPr>
        <w:spacing w:after="0" w:line="193"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auto"/>
        </w:rPr>
        <w:t>Availability of Bylaws</w:t>
      </w:r>
    </w:p>
    <w:p>
      <w:pPr>
        <w:spacing w:after="0" w:line="167" w:lineRule="exact"/>
        <w:rPr>
          <w:sz w:val="20"/>
          <w:szCs w:val="20"/>
          <w:color w:val="auto"/>
        </w:rPr>
      </w:pPr>
    </w:p>
    <w:p>
      <w:pPr>
        <w:ind w:left="720" w:right="800"/>
        <w:spacing w:after="0" w:line="266" w:lineRule="auto"/>
        <w:rPr>
          <w:sz w:val="20"/>
          <w:szCs w:val="20"/>
          <w:color w:val="auto"/>
        </w:rPr>
      </w:pPr>
      <w:r>
        <w:rPr>
          <w:rFonts w:ascii="Arial" w:cs="Arial" w:eastAsia="Arial" w:hAnsi="Arial"/>
          <w:sz w:val="16"/>
          <w:szCs w:val="16"/>
          <w:color w:val="auto"/>
        </w:rPr>
        <w:t>A copy of our amended and restated bylaws is available via the SEC’s website at http://www.sec.gov. You may also contact our Corporate Secretary at the address set forth above for a copy of the relevant bylaw provisions regarding the requirements for making stockholder proposals and nominating director candidates.</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80" w:type="dxa"/>
            <w:vAlign w:val="bottom"/>
          </w:tcPr>
          <w:p>
            <w:pPr>
              <w:ind w:left="440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040" w:type="dxa"/>
            <w:vAlign w:val="bottom"/>
          </w:tcPr>
          <w:p>
            <w:pPr>
              <w:jc w:val="right"/>
              <w:ind w:right="648"/>
              <w:spacing w:after="0"/>
              <w:rPr>
                <w:sz w:val="20"/>
                <w:szCs w:val="20"/>
                <w:color w:val="auto"/>
              </w:rPr>
            </w:pPr>
            <w:r>
              <w:rPr>
                <w:rFonts w:ascii="Arial" w:cs="Arial" w:eastAsia="Arial" w:hAnsi="Arial"/>
                <w:sz w:val="14"/>
                <w:szCs w:val="14"/>
                <w:b w:val="1"/>
                <w:bCs w:val="1"/>
                <w:color w:val="auto"/>
              </w:rPr>
              <w:t>5</w:t>
            </w:r>
          </w:p>
        </w:tc>
      </w:tr>
      <w:tr>
        <w:trPr>
          <w:trHeight w:val="158"/>
        </w:trPr>
        <w:tc>
          <w:tcPr>
            <w:tcW w:w="998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9" w:name="page10"/>
    <w:bookmarkEnd w:id="9"/>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BOARD OF DIRECTORS AND CORPORATE GOVERNANCE</w:t>
      </w:r>
    </w:p>
    <w:p>
      <w:pPr>
        <w:spacing w:after="0" w:line="173" w:lineRule="exact"/>
        <w:rPr>
          <w:sz w:val="20"/>
          <w:szCs w:val="20"/>
          <w:color w:val="auto"/>
        </w:rPr>
      </w:pPr>
    </w:p>
    <w:p>
      <w:pPr>
        <w:ind w:left="4"/>
        <w:spacing w:after="0" w:line="289" w:lineRule="auto"/>
        <w:rPr>
          <w:sz w:val="20"/>
          <w:szCs w:val="20"/>
          <w:color w:val="auto"/>
        </w:rPr>
      </w:pPr>
      <w:r>
        <w:rPr>
          <w:rFonts w:ascii="Arial" w:cs="Arial" w:eastAsia="Arial" w:hAnsi="Arial"/>
          <w:sz w:val="16"/>
          <w:szCs w:val="16"/>
          <w:color w:val="auto"/>
        </w:rPr>
        <w:t>Our business affairs are managed under the direction of our board of directors. As of March 25, 2022, our board of directors consisted of eight directors, seven of whom qualified as “independent” under the listing standards of the Nasdaq Global Select Market (“</w:t>
      </w:r>
      <w:r>
        <w:rPr>
          <w:rFonts w:ascii="Arial" w:cs="Arial" w:eastAsia="Arial" w:hAnsi="Arial"/>
          <w:sz w:val="16"/>
          <w:szCs w:val="16"/>
          <w:b w:val="1"/>
          <w:bCs w:val="1"/>
          <w:i w:val="1"/>
          <w:iCs w:val="1"/>
          <w:color w:val="auto"/>
        </w:rPr>
        <w:t>Nasdaq</w:t>
      </w:r>
      <w:r>
        <w:rPr>
          <w:rFonts w:ascii="Arial" w:cs="Arial" w:eastAsia="Arial" w:hAnsi="Arial"/>
          <w:sz w:val="16"/>
          <w:szCs w:val="16"/>
          <w:color w:val="auto"/>
        </w:rPr>
        <w:t>”). As previously announced, on July 28, 2021, Robert J. Mylod resigned as a member of the board of directors and Sara Mathew was appointed as a member of the board of directors. Also as previously announced, Dr. Condoleezza Rice did not stand for re-election as a director at our 2021 annual meeting of stockholders and as such, her term as director ended effective as of May 20, 2021. Further, as previously announced, Abhay Parasnis was appointed as a member of our board of directors on March 25, 2022.</w:t>
      </w:r>
    </w:p>
    <w:p>
      <w:pPr>
        <w:spacing w:after="0" w:line="88" w:lineRule="exact"/>
        <w:rPr>
          <w:sz w:val="20"/>
          <w:szCs w:val="20"/>
          <w:color w:val="auto"/>
        </w:rPr>
      </w:pPr>
    </w:p>
    <w:p>
      <w:pPr>
        <w:ind w:left="4" w:right="240"/>
        <w:spacing w:after="0" w:line="274" w:lineRule="auto"/>
        <w:rPr>
          <w:sz w:val="20"/>
          <w:szCs w:val="20"/>
          <w:color w:val="auto"/>
        </w:rPr>
      </w:pPr>
      <w:r>
        <w:rPr>
          <w:rFonts w:ascii="Arial" w:cs="Arial" w:eastAsia="Arial" w:hAnsi="Arial"/>
          <w:sz w:val="16"/>
          <w:szCs w:val="16"/>
          <w:color w:val="auto"/>
        </w:rPr>
        <w:t>Until the outstanding shares of our Class B common stock represent less than a majority of the combined voting power of our common stock, we will have a single class of directors who are each elected for one-year terms and until their successors are duly elected and qualified. When the outstanding shares of our Class B common stock represent less than a majority of the combined voting power of our common stock, we will have a classified board of directors consisting of three classes of approximately equal size, each serving staggered three-year terms. Our directors will be assigned by the then-current board of directors to a class.</w:t>
      </w:r>
    </w:p>
    <w:p>
      <w:pPr>
        <w:spacing w:after="0" w:line="97" w:lineRule="exact"/>
        <w:rPr>
          <w:sz w:val="20"/>
          <w:szCs w:val="20"/>
          <w:color w:val="auto"/>
        </w:rPr>
      </w:pPr>
    </w:p>
    <w:p>
      <w:pPr>
        <w:ind w:left="4"/>
        <w:spacing w:after="0" w:line="270" w:lineRule="auto"/>
        <w:rPr>
          <w:sz w:val="20"/>
          <w:szCs w:val="20"/>
          <w:color w:val="auto"/>
        </w:rPr>
      </w:pPr>
      <w:r>
        <w:rPr>
          <w:rFonts w:ascii="Arial" w:cs="Arial" w:eastAsia="Arial" w:hAnsi="Arial"/>
          <w:sz w:val="16"/>
          <w:szCs w:val="16"/>
          <w:color w:val="auto"/>
        </w:rPr>
        <w:t>In determining the composition of our board, our board of directors and nominating and corporate governance committee are committed to ensuring that our directors maintain effective and independent oversight of our business and that they capably represent the interests of our stockholders. As part of this commitment, our nominating and corporate governance committee considers the diversity of director nominees with respect to gender, race, ethnicity, sexual orientation, gender identity, viewpoints and perspectives, experience, and backgrounds. The following charts provide summary information about our director nominees with respect to independence, diversity, and tenure. For additional information regarding our criteria for evaluating director nominees, see the section titled “</w:t>
      </w:r>
      <w:r>
        <w:rPr>
          <w:rFonts w:ascii="Arial" w:cs="Arial" w:eastAsia="Arial" w:hAnsi="Arial"/>
          <w:sz w:val="16"/>
          <w:szCs w:val="16"/>
          <w:i w:val="1"/>
          <w:iCs w:val="1"/>
          <w:color w:val="auto"/>
        </w:rPr>
        <w:t>Considerations in Evaluating Director Nominees</w:t>
      </w:r>
      <w:r>
        <w:rPr>
          <w:rFonts w:ascii="Arial" w:cs="Arial" w:eastAsia="Arial" w:hAnsi="Arial"/>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31750</wp:posOffset>
            </wp:positionV>
            <wp:extent cx="6077585" cy="7454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077585" cy="745490"/>
                    </a:xfrm>
                    <a:prstGeom prst="rect">
                      <a:avLst/>
                    </a:prstGeom>
                    <a:noFill/>
                  </pic:spPr>
                </pic:pic>
              </a:graphicData>
            </a:graphic>
          </wp:anchor>
        </w:drawing>
      </w:r>
    </w:p>
    <w:p>
      <w:pPr>
        <w:spacing w:after="0" w:line="129" w:lineRule="exact"/>
        <w:rPr>
          <w:sz w:val="20"/>
          <w:szCs w:val="20"/>
          <w:color w:val="auto"/>
        </w:rPr>
      </w:pPr>
    </w:p>
    <w:p>
      <w:pPr>
        <w:jc w:val="center"/>
        <w:ind w:right="36"/>
        <w:spacing w:after="0"/>
        <w:rPr>
          <w:sz w:val="20"/>
          <w:szCs w:val="20"/>
          <w:color w:val="auto"/>
        </w:rPr>
      </w:pPr>
      <w:r>
        <w:rPr>
          <w:rFonts w:ascii="Arial" w:cs="Arial" w:eastAsia="Arial" w:hAnsi="Arial"/>
          <w:sz w:val="14"/>
          <w:szCs w:val="14"/>
          <w:b w:val="1"/>
          <w:bCs w:val="1"/>
          <w:color w:val="FFFFFF"/>
        </w:rPr>
        <w:t>Board Diversity Matrix (As of March 25, 2022)</w:t>
      </w:r>
    </w:p>
    <w:p>
      <w:pPr>
        <w:spacing w:after="0" w:line="91" w:lineRule="exact"/>
        <w:rPr>
          <w:sz w:val="20"/>
          <w:szCs w:val="20"/>
          <w:color w:val="auto"/>
        </w:rPr>
      </w:pPr>
    </w:p>
    <w:tbl>
      <w:tblPr>
        <w:tblLayout w:type="fixed"/>
        <w:tblInd w:w="4" w:type="dxa"/>
        <w:tblCellMar>
          <w:top w:w="0" w:type="dxa"/>
          <w:left w:w="0" w:type="dxa"/>
          <w:bottom w:w="0" w:type="dxa"/>
          <w:right w:w="0" w:type="dxa"/>
        </w:tblCellMar>
      </w:tblPr>
      <w:tr>
        <w:trPr>
          <w:trHeight w:val="304"/>
        </w:trPr>
        <w:tc>
          <w:tcPr>
            <w:tcW w:w="3340" w:type="dxa"/>
            <w:vAlign w:val="bottom"/>
            <w:tcBorders>
              <w:bottom w:val="single" w:sz="8" w:color="F2F2F2"/>
            </w:tcBorders>
            <w:shd w:val="clear" w:color="auto" w:fill="F2F2F2"/>
          </w:tcPr>
          <w:p>
            <w:pPr>
              <w:ind w:left="80"/>
              <w:spacing w:after="0"/>
              <w:rPr>
                <w:sz w:val="20"/>
                <w:szCs w:val="20"/>
                <w:color w:val="auto"/>
              </w:rPr>
            </w:pPr>
            <w:r>
              <w:rPr>
                <w:rFonts w:ascii="Arial" w:cs="Arial" w:eastAsia="Arial" w:hAnsi="Arial"/>
                <w:sz w:val="14"/>
                <w:szCs w:val="14"/>
                <w:b w:val="1"/>
                <w:bCs w:val="1"/>
                <w:color w:val="auto"/>
              </w:rPr>
              <w:t>Total Number of Directors</w:t>
            </w:r>
          </w:p>
        </w:tc>
        <w:tc>
          <w:tcPr>
            <w:tcW w:w="1640" w:type="dxa"/>
            <w:vAlign w:val="bottom"/>
            <w:tcBorders>
              <w:bottom w:val="single" w:sz="8" w:color="F2F2F2"/>
            </w:tcBorders>
            <w:shd w:val="clear" w:color="auto" w:fill="F2F2F2"/>
          </w:tcPr>
          <w:p>
            <w:pPr>
              <w:spacing w:after="0"/>
              <w:rPr>
                <w:sz w:val="24"/>
                <w:szCs w:val="24"/>
                <w:color w:val="auto"/>
              </w:rPr>
            </w:pPr>
          </w:p>
        </w:tc>
        <w:tc>
          <w:tcPr>
            <w:tcW w:w="1160" w:type="dxa"/>
            <w:vAlign w:val="bottom"/>
            <w:tcBorders>
              <w:bottom w:val="single" w:sz="8" w:color="F2F2F2"/>
            </w:tcBorders>
            <w:shd w:val="clear" w:color="auto" w:fill="F2F2F2"/>
          </w:tcPr>
          <w:p>
            <w:pPr>
              <w:spacing w:after="0"/>
              <w:rPr>
                <w:sz w:val="24"/>
                <w:szCs w:val="24"/>
                <w:color w:val="auto"/>
              </w:rPr>
            </w:pPr>
          </w:p>
        </w:tc>
        <w:tc>
          <w:tcPr>
            <w:tcW w:w="1780" w:type="dxa"/>
            <w:vAlign w:val="bottom"/>
            <w:tcBorders>
              <w:bottom w:val="single" w:sz="8" w:color="F2F2F2"/>
            </w:tcBorders>
            <w:shd w:val="clear" w:color="auto" w:fill="F2F2F2"/>
          </w:tcPr>
          <w:p>
            <w:pPr>
              <w:jc w:val="right"/>
              <w:ind w:right="1348"/>
              <w:spacing w:after="0"/>
              <w:rPr>
                <w:sz w:val="20"/>
                <w:szCs w:val="20"/>
                <w:color w:val="auto"/>
              </w:rPr>
            </w:pPr>
            <w:r>
              <w:rPr>
                <w:rFonts w:ascii="Arial" w:cs="Arial" w:eastAsia="Arial" w:hAnsi="Arial"/>
                <w:sz w:val="14"/>
                <w:szCs w:val="14"/>
                <w:b w:val="1"/>
                <w:bCs w:val="1"/>
                <w:color w:val="auto"/>
              </w:rPr>
              <w:t>8</w:t>
            </w:r>
          </w:p>
        </w:tc>
        <w:tc>
          <w:tcPr>
            <w:tcW w:w="1640" w:type="dxa"/>
            <w:vAlign w:val="bottom"/>
            <w:tcBorders>
              <w:bottom w:val="single" w:sz="8" w:color="F2F2F2"/>
            </w:tcBorders>
            <w:shd w:val="clear" w:color="auto" w:fill="F2F2F2"/>
          </w:tcPr>
          <w:p>
            <w:pPr>
              <w:spacing w:after="0"/>
              <w:rPr>
                <w:sz w:val="24"/>
                <w:szCs w:val="24"/>
                <w:color w:val="auto"/>
              </w:rPr>
            </w:pPr>
          </w:p>
        </w:tc>
      </w:tr>
      <w:tr>
        <w:trPr>
          <w:trHeight w:val="234"/>
        </w:trPr>
        <w:tc>
          <w:tcPr>
            <w:tcW w:w="3340" w:type="dxa"/>
            <w:vAlign w:val="bottom"/>
            <w:shd w:val="clear" w:color="auto" w:fill="0063A6"/>
          </w:tcPr>
          <w:p>
            <w:pPr>
              <w:spacing w:after="0"/>
              <w:rPr>
                <w:sz w:val="20"/>
                <w:szCs w:val="20"/>
                <w:color w:val="auto"/>
              </w:rPr>
            </w:pPr>
          </w:p>
        </w:tc>
        <w:tc>
          <w:tcPr>
            <w:tcW w:w="1640" w:type="dxa"/>
            <w:vAlign w:val="bottom"/>
            <w:shd w:val="clear" w:color="auto" w:fill="0063A6"/>
          </w:tcPr>
          <w:p>
            <w:pPr>
              <w:spacing w:after="0"/>
              <w:rPr>
                <w:sz w:val="20"/>
                <w:szCs w:val="20"/>
                <w:color w:val="auto"/>
              </w:rPr>
            </w:pPr>
          </w:p>
        </w:tc>
        <w:tc>
          <w:tcPr>
            <w:tcW w:w="1160" w:type="dxa"/>
            <w:vAlign w:val="bottom"/>
            <w:shd w:val="clear" w:color="auto" w:fill="0063A6"/>
          </w:tcPr>
          <w:p>
            <w:pPr>
              <w:spacing w:after="0"/>
              <w:rPr>
                <w:sz w:val="20"/>
                <w:szCs w:val="20"/>
                <w:color w:val="auto"/>
              </w:rPr>
            </w:pPr>
          </w:p>
        </w:tc>
        <w:tc>
          <w:tcPr>
            <w:tcW w:w="1780" w:type="dxa"/>
            <w:vAlign w:val="bottom"/>
            <w:shd w:val="clear" w:color="auto" w:fill="0063A6"/>
          </w:tcPr>
          <w:p>
            <w:pPr>
              <w:spacing w:after="0"/>
              <w:rPr>
                <w:sz w:val="20"/>
                <w:szCs w:val="20"/>
                <w:color w:val="auto"/>
              </w:rPr>
            </w:pPr>
          </w:p>
        </w:tc>
        <w:tc>
          <w:tcPr>
            <w:tcW w:w="164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Did Not Disclose</w:t>
            </w:r>
          </w:p>
        </w:tc>
      </w:tr>
      <w:tr>
        <w:trPr>
          <w:trHeight w:val="196"/>
        </w:trPr>
        <w:tc>
          <w:tcPr>
            <w:tcW w:w="3340" w:type="dxa"/>
            <w:vAlign w:val="bottom"/>
            <w:shd w:val="clear" w:color="auto" w:fill="0063A6"/>
          </w:tcPr>
          <w:p>
            <w:pPr>
              <w:spacing w:after="0"/>
              <w:rPr>
                <w:sz w:val="17"/>
                <w:szCs w:val="17"/>
                <w:color w:val="auto"/>
              </w:rPr>
            </w:pPr>
          </w:p>
        </w:tc>
        <w:tc>
          <w:tcPr>
            <w:tcW w:w="1640" w:type="dxa"/>
            <w:vAlign w:val="bottom"/>
            <w:shd w:val="clear" w:color="auto" w:fill="0063A6"/>
          </w:tcPr>
          <w:p>
            <w:pPr>
              <w:ind w:left="560"/>
              <w:spacing w:after="0"/>
              <w:rPr>
                <w:sz w:val="20"/>
                <w:szCs w:val="20"/>
                <w:color w:val="auto"/>
              </w:rPr>
            </w:pPr>
            <w:r>
              <w:rPr>
                <w:rFonts w:ascii="Arial" w:cs="Arial" w:eastAsia="Arial" w:hAnsi="Arial"/>
                <w:sz w:val="14"/>
                <w:szCs w:val="14"/>
                <w:b w:val="1"/>
                <w:bCs w:val="1"/>
                <w:color w:val="FFFFFF"/>
              </w:rPr>
              <w:t>Female</w:t>
            </w:r>
          </w:p>
        </w:tc>
        <w:tc>
          <w:tcPr>
            <w:tcW w:w="1160" w:type="dxa"/>
            <w:vAlign w:val="bottom"/>
            <w:shd w:val="clear" w:color="auto" w:fill="0063A6"/>
          </w:tcPr>
          <w:p>
            <w:pPr>
              <w:ind w:left="560"/>
              <w:spacing w:after="0"/>
              <w:rPr>
                <w:sz w:val="20"/>
                <w:szCs w:val="20"/>
                <w:color w:val="auto"/>
              </w:rPr>
            </w:pPr>
            <w:r>
              <w:rPr>
                <w:rFonts w:ascii="Arial" w:cs="Arial" w:eastAsia="Arial" w:hAnsi="Arial"/>
                <w:sz w:val="14"/>
                <w:szCs w:val="14"/>
                <w:b w:val="1"/>
                <w:bCs w:val="1"/>
                <w:color w:val="FFFFFF"/>
              </w:rPr>
              <w:t>Male</w:t>
            </w:r>
          </w:p>
        </w:tc>
        <w:tc>
          <w:tcPr>
            <w:tcW w:w="1780" w:type="dxa"/>
            <w:vAlign w:val="bottom"/>
            <w:shd w:val="clear" w:color="auto" w:fill="0063A6"/>
          </w:tcPr>
          <w:p>
            <w:pPr>
              <w:jc w:val="right"/>
              <w:ind w:right="228"/>
              <w:spacing w:after="0"/>
              <w:rPr>
                <w:sz w:val="20"/>
                <w:szCs w:val="20"/>
                <w:color w:val="auto"/>
              </w:rPr>
            </w:pPr>
            <w:r>
              <w:rPr>
                <w:rFonts w:ascii="Arial" w:cs="Arial" w:eastAsia="Arial" w:hAnsi="Arial"/>
                <w:sz w:val="14"/>
                <w:szCs w:val="14"/>
                <w:b w:val="1"/>
                <w:bCs w:val="1"/>
                <w:color w:val="FFFFFF"/>
              </w:rPr>
              <w:t>Non-Binary</w:t>
            </w:r>
          </w:p>
        </w:tc>
        <w:tc>
          <w:tcPr>
            <w:tcW w:w="164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Gender</w:t>
            </w:r>
          </w:p>
        </w:tc>
      </w:tr>
      <w:tr>
        <w:trPr>
          <w:trHeight w:val="360"/>
        </w:trPr>
        <w:tc>
          <w:tcPr>
            <w:tcW w:w="3340" w:type="dxa"/>
            <w:vAlign w:val="bottom"/>
            <w:tcBorders>
              <w:bottom w:val="single" w:sz="8" w:color="0063A6"/>
            </w:tcBorders>
            <w:shd w:val="clear" w:color="auto" w:fill="0063A6"/>
          </w:tcPr>
          <w:p>
            <w:pPr>
              <w:ind w:left="80"/>
              <w:spacing w:after="0"/>
              <w:rPr>
                <w:sz w:val="20"/>
                <w:szCs w:val="20"/>
                <w:color w:val="auto"/>
              </w:rPr>
            </w:pPr>
            <w:r>
              <w:rPr>
                <w:rFonts w:ascii="Arial" w:cs="Arial" w:eastAsia="Arial" w:hAnsi="Arial"/>
                <w:sz w:val="14"/>
                <w:szCs w:val="14"/>
                <w:b w:val="1"/>
                <w:bCs w:val="1"/>
                <w:color w:val="FFFFFF"/>
              </w:rPr>
              <w:t>Gender Identity</w:t>
            </w:r>
          </w:p>
        </w:tc>
        <w:tc>
          <w:tcPr>
            <w:tcW w:w="1640" w:type="dxa"/>
            <w:vAlign w:val="bottom"/>
            <w:tcBorders>
              <w:bottom w:val="single" w:sz="8" w:color="0063A6"/>
            </w:tcBorders>
            <w:shd w:val="clear" w:color="auto" w:fill="0063A6"/>
          </w:tcPr>
          <w:p>
            <w:pPr>
              <w:spacing w:after="0"/>
              <w:rPr>
                <w:sz w:val="24"/>
                <w:szCs w:val="24"/>
                <w:color w:val="auto"/>
              </w:rPr>
            </w:pPr>
          </w:p>
        </w:tc>
        <w:tc>
          <w:tcPr>
            <w:tcW w:w="1160" w:type="dxa"/>
            <w:vAlign w:val="bottom"/>
            <w:tcBorders>
              <w:bottom w:val="single" w:sz="8" w:color="0063A6"/>
            </w:tcBorders>
            <w:shd w:val="clear" w:color="auto" w:fill="0063A6"/>
          </w:tcPr>
          <w:p>
            <w:pPr>
              <w:spacing w:after="0"/>
              <w:rPr>
                <w:sz w:val="24"/>
                <w:szCs w:val="24"/>
                <w:color w:val="auto"/>
              </w:rPr>
            </w:pPr>
          </w:p>
        </w:tc>
        <w:tc>
          <w:tcPr>
            <w:tcW w:w="1780" w:type="dxa"/>
            <w:vAlign w:val="bottom"/>
            <w:tcBorders>
              <w:bottom w:val="single" w:sz="8" w:color="0063A6"/>
            </w:tcBorders>
            <w:shd w:val="clear" w:color="auto" w:fill="0063A6"/>
          </w:tcPr>
          <w:p>
            <w:pPr>
              <w:spacing w:after="0"/>
              <w:rPr>
                <w:sz w:val="24"/>
                <w:szCs w:val="24"/>
                <w:color w:val="auto"/>
              </w:rPr>
            </w:pPr>
          </w:p>
        </w:tc>
        <w:tc>
          <w:tcPr>
            <w:tcW w:w="1640" w:type="dxa"/>
            <w:vAlign w:val="bottom"/>
            <w:tcBorders>
              <w:bottom w:val="single" w:sz="8" w:color="0063A6"/>
            </w:tcBorders>
            <w:shd w:val="clear" w:color="auto" w:fill="0063A6"/>
          </w:tcPr>
          <w:p>
            <w:pPr>
              <w:spacing w:after="0"/>
              <w:rPr>
                <w:sz w:val="24"/>
                <w:szCs w:val="24"/>
                <w:color w:val="auto"/>
              </w:rPr>
            </w:pPr>
          </w:p>
        </w:tc>
      </w:tr>
      <w:tr>
        <w:trPr>
          <w:trHeight w:val="304"/>
        </w:trPr>
        <w:tc>
          <w:tcPr>
            <w:tcW w:w="3340" w:type="dxa"/>
            <w:vAlign w:val="bottom"/>
            <w:tcBorders>
              <w:bottom w:val="single" w:sz="8" w:color="F2F2F2"/>
            </w:tcBorders>
            <w:shd w:val="clear" w:color="auto" w:fill="F2F2F2"/>
          </w:tcPr>
          <w:p>
            <w:pPr>
              <w:ind w:left="80"/>
              <w:spacing w:after="0"/>
              <w:rPr>
                <w:sz w:val="20"/>
                <w:szCs w:val="20"/>
                <w:color w:val="auto"/>
              </w:rPr>
            </w:pPr>
            <w:r>
              <w:rPr>
                <w:rFonts w:ascii="Arial" w:cs="Arial" w:eastAsia="Arial" w:hAnsi="Arial"/>
                <w:sz w:val="14"/>
                <w:szCs w:val="14"/>
                <w:b w:val="1"/>
                <w:bCs w:val="1"/>
                <w:color w:val="auto"/>
              </w:rPr>
              <w:t>Directors</w:t>
            </w:r>
          </w:p>
        </w:tc>
        <w:tc>
          <w:tcPr>
            <w:tcW w:w="1640" w:type="dxa"/>
            <w:vAlign w:val="bottom"/>
            <w:tcBorders>
              <w:bottom w:val="single" w:sz="8" w:color="F2F2F2"/>
            </w:tcBorders>
            <w:shd w:val="clear" w:color="auto" w:fill="F2F2F2"/>
          </w:tcPr>
          <w:p>
            <w:pPr>
              <w:ind w:left="780"/>
              <w:spacing w:after="0"/>
              <w:rPr>
                <w:sz w:val="20"/>
                <w:szCs w:val="20"/>
                <w:color w:val="auto"/>
              </w:rPr>
            </w:pPr>
            <w:r>
              <w:rPr>
                <w:rFonts w:ascii="Arial" w:cs="Arial" w:eastAsia="Arial" w:hAnsi="Arial"/>
                <w:sz w:val="14"/>
                <w:szCs w:val="14"/>
                <w:b w:val="1"/>
                <w:bCs w:val="1"/>
                <w:color w:val="auto"/>
              </w:rPr>
              <w:t>3</w:t>
            </w:r>
          </w:p>
        </w:tc>
        <w:tc>
          <w:tcPr>
            <w:tcW w:w="1160" w:type="dxa"/>
            <w:vAlign w:val="bottom"/>
            <w:tcBorders>
              <w:bottom w:val="single" w:sz="8" w:color="F2F2F2"/>
            </w:tcBorders>
            <w:shd w:val="clear" w:color="auto" w:fill="F2F2F2"/>
          </w:tcPr>
          <w:p>
            <w:pPr>
              <w:ind w:left="680"/>
              <w:spacing w:after="0"/>
              <w:rPr>
                <w:sz w:val="20"/>
                <w:szCs w:val="20"/>
                <w:color w:val="auto"/>
              </w:rPr>
            </w:pPr>
            <w:r>
              <w:rPr>
                <w:rFonts w:ascii="Arial" w:cs="Arial" w:eastAsia="Arial" w:hAnsi="Arial"/>
                <w:sz w:val="14"/>
                <w:szCs w:val="14"/>
                <w:b w:val="1"/>
                <w:bCs w:val="1"/>
                <w:color w:val="auto"/>
              </w:rPr>
              <w:t>5</w:t>
            </w:r>
          </w:p>
        </w:tc>
        <w:tc>
          <w:tcPr>
            <w:tcW w:w="1780" w:type="dxa"/>
            <w:vAlign w:val="bottom"/>
            <w:tcBorders>
              <w:bottom w:val="single" w:sz="8" w:color="F2F2F2"/>
            </w:tcBorders>
            <w:shd w:val="clear" w:color="auto" w:fill="F2F2F2"/>
          </w:tcPr>
          <w:p>
            <w:pPr>
              <w:spacing w:after="0"/>
              <w:rPr>
                <w:sz w:val="24"/>
                <w:szCs w:val="24"/>
                <w:color w:val="auto"/>
              </w:rPr>
            </w:pPr>
          </w:p>
        </w:tc>
        <w:tc>
          <w:tcPr>
            <w:tcW w:w="1640" w:type="dxa"/>
            <w:vAlign w:val="bottom"/>
            <w:tcBorders>
              <w:bottom w:val="single" w:sz="8" w:color="F2F2F2"/>
            </w:tcBorders>
            <w:shd w:val="clear" w:color="auto" w:fill="F2F2F2"/>
          </w:tcPr>
          <w:p>
            <w:pPr>
              <w:spacing w:after="0"/>
              <w:rPr>
                <w:sz w:val="24"/>
                <w:szCs w:val="24"/>
                <w:color w:val="auto"/>
              </w:rPr>
            </w:pPr>
          </w:p>
        </w:tc>
      </w:tr>
      <w:tr>
        <w:trPr>
          <w:trHeight w:val="304"/>
        </w:trPr>
        <w:tc>
          <w:tcPr>
            <w:tcW w:w="4980" w:type="dxa"/>
            <w:vAlign w:val="bottom"/>
            <w:tcBorders>
              <w:bottom w:val="single" w:sz="8" w:color="0063A6"/>
            </w:tcBorders>
            <w:gridSpan w:val="2"/>
            <w:shd w:val="clear" w:color="auto" w:fill="0063A6"/>
          </w:tcPr>
          <w:p>
            <w:pPr>
              <w:ind w:left="80"/>
              <w:spacing w:after="0"/>
              <w:rPr>
                <w:sz w:val="20"/>
                <w:szCs w:val="20"/>
                <w:color w:val="auto"/>
              </w:rPr>
            </w:pPr>
            <w:r>
              <w:rPr>
                <w:rFonts w:ascii="Arial" w:cs="Arial" w:eastAsia="Arial" w:hAnsi="Arial"/>
                <w:sz w:val="14"/>
                <w:szCs w:val="14"/>
                <w:b w:val="1"/>
                <w:bCs w:val="1"/>
                <w:color w:val="FFFFFF"/>
              </w:rPr>
              <w:t>Number of Directors who identify in any of the categories below</w:t>
            </w:r>
          </w:p>
        </w:tc>
        <w:tc>
          <w:tcPr>
            <w:tcW w:w="1160" w:type="dxa"/>
            <w:vAlign w:val="bottom"/>
            <w:tcBorders>
              <w:bottom w:val="single" w:sz="8" w:color="0063A6"/>
            </w:tcBorders>
            <w:shd w:val="clear" w:color="auto" w:fill="0063A6"/>
          </w:tcPr>
          <w:p>
            <w:pPr>
              <w:spacing w:after="0"/>
              <w:rPr>
                <w:sz w:val="24"/>
                <w:szCs w:val="24"/>
                <w:color w:val="auto"/>
              </w:rPr>
            </w:pPr>
          </w:p>
        </w:tc>
        <w:tc>
          <w:tcPr>
            <w:tcW w:w="1780" w:type="dxa"/>
            <w:vAlign w:val="bottom"/>
            <w:tcBorders>
              <w:bottom w:val="single" w:sz="8" w:color="0063A6"/>
            </w:tcBorders>
            <w:shd w:val="clear" w:color="auto" w:fill="0063A6"/>
          </w:tcPr>
          <w:p>
            <w:pPr>
              <w:spacing w:after="0"/>
              <w:rPr>
                <w:sz w:val="24"/>
                <w:szCs w:val="24"/>
                <w:color w:val="auto"/>
              </w:rPr>
            </w:pPr>
          </w:p>
        </w:tc>
        <w:tc>
          <w:tcPr>
            <w:tcW w:w="1640" w:type="dxa"/>
            <w:vAlign w:val="bottom"/>
            <w:tcBorders>
              <w:bottom w:val="single" w:sz="8" w:color="0063A6"/>
            </w:tcBorders>
            <w:shd w:val="clear" w:color="auto" w:fill="0063A6"/>
          </w:tcPr>
          <w:p>
            <w:pPr>
              <w:spacing w:after="0"/>
              <w:rPr>
                <w:sz w:val="24"/>
                <w:szCs w:val="24"/>
                <w:color w:val="auto"/>
              </w:rPr>
            </w:pPr>
          </w:p>
        </w:tc>
      </w:tr>
      <w:tr>
        <w:trPr>
          <w:trHeight w:val="290"/>
        </w:trPr>
        <w:tc>
          <w:tcPr>
            <w:tcW w:w="3340" w:type="dxa"/>
            <w:vAlign w:val="bottom"/>
          </w:tcPr>
          <w:p>
            <w:pPr>
              <w:ind w:left="80"/>
              <w:spacing w:after="0"/>
              <w:rPr>
                <w:sz w:val="20"/>
                <w:szCs w:val="20"/>
                <w:color w:val="auto"/>
              </w:rPr>
            </w:pPr>
            <w:r>
              <w:rPr>
                <w:rFonts w:ascii="Arial" w:cs="Arial" w:eastAsia="Arial" w:hAnsi="Arial"/>
                <w:sz w:val="16"/>
                <w:szCs w:val="16"/>
                <w:b w:val="1"/>
                <w:bCs w:val="1"/>
                <w:color w:val="auto"/>
              </w:rPr>
              <w:t>African American or Black</w:t>
            </w:r>
          </w:p>
        </w:tc>
        <w:tc>
          <w:tcPr>
            <w:tcW w:w="1640" w:type="dxa"/>
            <w:vAlign w:val="bottom"/>
          </w:tcPr>
          <w:p>
            <w:pPr>
              <w:spacing w:after="0"/>
              <w:rPr>
                <w:sz w:val="24"/>
                <w:szCs w:val="24"/>
                <w:color w:val="auto"/>
              </w:rPr>
            </w:pPr>
          </w:p>
        </w:tc>
        <w:tc>
          <w:tcPr>
            <w:tcW w:w="1160" w:type="dxa"/>
            <w:vAlign w:val="bottom"/>
          </w:tcPr>
          <w:p>
            <w:pPr>
              <w:ind w:left="680"/>
              <w:spacing w:after="0"/>
              <w:rPr>
                <w:sz w:val="20"/>
                <w:szCs w:val="20"/>
                <w:color w:val="auto"/>
              </w:rPr>
            </w:pPr>
            <w:r>
              <w:rPr>
                <w:rFonts w:ascii="Arial" w:cs="Arial" w:eastAsia="Arial" w:hAnsi="Arial"/>
                <w:sz w:val="16"/>
                <w:szCs w:val="16"/>
                <w:color w:val="auto"/>
              </w:rPr>
              <w:t>1</w:t>
            </w:r>
          </w:p>
        </w:tc>
        <w:tc>
          <w:tcPr>
            <w:tcW w:w="1780" w:type="dxa"/>
            <w:vAlign w:val="bottom"/>
          </w:tcPr>
          <w:p>
            <w:pPr>
              <w:spacing w:after="0"/>
              <w:rPr>
                <w:sz w:val="24"/>
                <w:szCs w:val="24"/>
                <w:color w:val="auto"/>
              </w:rPr>
            </w:pPr>
          </w:p>
        </w:tc>
        <w:tc>
          <w:tcPr>
            <w:tcW w:w="1640" w:type="dxa"/>
            <w:vAlign w:val="bottom"/>
          </w:tcPr>
          <w:p>
            <w:pPr>
              <w:spacing w:after="0"/>
              <w:rPr>
                <w:sz w:val="24"/>
                <w:szCs w:val="24"/>
                <w:color w:val="auto"/>
              </w:rPr>
            </w:pPr>
          </w:p>
        </w:tc>
      </w:tr>
      <w:tr>
        <w:trPr>
          <w:trHeight w:val="61"/>
        </w:trPr>
        <w:tc>
          <w:tcPr>
            <w:tcW w:w="3340" w:type="dxa"/>
            <w:vAlign w:val="bottom"/>
          </w:tcPr>
          <w:p>
            <w:pPr>
              <w:spacing w:after="0"/>
              <w:rPr>
                <w:sz w:val="5"/>
                <w:szCs w:val="5"/>
                <w:color w:val="auto"/>
              </w:rPr>
            </w:pPr>
          </w:p>
        </w:tc>
        <w:tc>
          <w:tcPr>
            <w:tcW w:w="16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780" w:type="dxa"/>
            <w:vAlign w:val="bottom"/>
          </w:tcPr>
          <w:p>
            <w:pPr>
              <w:spacing w:after="0"/>
              <w:rPr>
                <w:sz w:val="5"/>
                <w:szCs w:val="5"/>
                <w:color w:val="auto"/>
              </w:rPr>
            </w:pPr>
          </w:p>
        </w:tc>
        <w:tc>
          <w:tcPr>
            <w:tcW w:w="1640" w:type="dxa"/>
            <w:vAlign w:val="bottom"/>
          </w:tcPr>
          <w:p>
            <w:pPr>
              <w:spacing w:after="0"/>
              <w:rPr>
                <w:sz w:val="5"/>
                <w:szCs w:val="5"/>
                <w:color w:val="auto"/>
              </w:rPr>
            </w:pPr>
          </w:p>
        </w:tc>
      </w:tr>
      <w:tr>
        <w:trPr>
          <w:trHeight w:val="290"/>
        </w:trPr>
        <w:tc>
          <w:tcPr>
            <w:tcW w:w="334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Alaskan Native or Native American</w:t>
            </w:r>
          </w:p>
        </w:tc>
        <w:tc>
          <w:tcPr>
            <w:tcW w:w="1640" w:type="dxa"/>
            <w:vAlign w:val="bottom"/>
            <w:shd w:val="clear" w:color="auto" w:fill="F2F2F2"/>
          </w:tcPr>
          <w:p>
            <w:pPr>
              <w:spacing w:after="0"/>
              <w:rPr>
                <w:sz w:val="24"/>
                <w:szCs w:val="24"/>
                <w:color w:val="auto"/>
              </w:rPr>
            </w:pPr>
          </w:p>
        </w:tc>
        <w:tc>
          <w:tcPr>
            <w:tcW w:w="1160" w:type="dxa"/>
            <w:vAlign w:val="bottom"/>
            <w:shd w:val="clear" w:color="auto" w:fill="F2F2F2"/>
          </w:tcPr>
          <w:p>
            <w:pPr>
              <w:spacing w:after="0"/>
              <w:rPr>
                <w:sz w:val="24"/>
                <w:szCs w:val="24"/>
                <w:color w:val="auto"/>
              </w:rPr>
            </w:pPr>
          </w:p>
        </w:tc>
        <w:tc>
          <w:tcPr>
            <w:tcW w:w="1780" w:type="dxa"/>
            <w:vAlign w:val="bottom"/>
            <w:shd w:val="clear" w:color="auto" w:fill="F2F2F2"/>
          </w:tcPr>
          <w:p>
            <w:pPr>
              <w:spacing w:after="0"/>
              <w:rPr>
                <w:sz w:val="24"/>
                <w:szCs w:val="24"/>
                <w:color w:val="auto"/>
              </w:rPr>
            </w:pPr>
          </w:p>
        </w:tc>
        <w:tc>
          <w:tcPr>
            <w:tcW w:w="1640" w:type="dxa"/>
            <w:vAlign w:val="bottom"/>
            <w:shd w:val="clear" w:color="auto" w:fill="F2F2F2"/>
          </w:tcPr>
          <w:p>
            <w:pPr>
              <w:spacing w:after="0"/>
              <w:rPr>
                <w:sz w:val="24"/>
                <w:szCs w:val="24"/>
                <w:color w:val="auto"/>
              </w:rPr>
            </w:pPr>
          </w:p>
        </w:tc>
      </w:tr>
      <w:tr>
        <w:trPr>
          <w:trHeight w:val="62"/>
        </w:trPr>
        <w:tc>
          <w:tcPr>
            <w:tcW w:w="3340" w:type="dxa"/>
            <w:vAlign w:val="bottom"/>
            <w:shd w:val="clear" w:color="auto" w:fill="F2F2F2"/>
          </w:tcPr>
          <w:p>
            <w:pPr>
              <w:spacing w:after="0"/>
              <w:rPr>
                <w:sz w:val="5"/>
                <w:szCs w:val="5"/>
                <w:color w:val="auto"/>
              </w:rPr>
            </w:pPr>
          </w:p>
        </w:tc>
        <w:tc>
          <w:tcPr>
            <w:tcW w:w="1640" w:type="dxa"/>
            <w:vAlign w:val="bottom"/>
            <w:shd w:val="clear" w:color="auto" w:fill="F2F2F2"/>
          </w:tcPr>
          <w:p>
            <w:pPr>
              <w:spacing w:after="0"/>
              <w:rPr>
                <w:sz w:val="5"/>
                <w:szCs w:val="5"/>
                <w:color w:val="auto"/>
              </w:rPr>
            </w:pPr>
          </w:p>
        </w:tc>
        <w:tc>
          <w:tcPr>
            <w:tcW w:w="1160" w:type="dxa"/>
            <w:vAlign w:val="bottom"/>
            <w:shd w:val="clear" w:color="auto" w:fill="F2F2F2"/>
          </w:tcPr>
          <w:p>
            <w:pPr>
              <w:spacing w:after="0"/>
              <w:rPr>
                <w:sz w:val="5"/>
                <w:szCs w:val="5"/>
                <w:color w:val="auto"/>
              </w:rPr>
            </w:pPr>
          </w:p>
        </w:tc>
        <w:tc>
          <w:tcPr>
            <w:tcW w:w="1780" w:type="dxa"/>
            <w:vAlign w:val="bottom"/>
            <w:shd w:val="clear" w:color="auto" w:fill="F2F2F2"/>
          </w:tcPr>
          <w:p>
            <w:pPr>
              <w:spacing w:after="0"/>
              <w:rPr>
                <w:sz w:val="5"/>
                <w:szCs w:val="5"/>
                <w:color w:val="auto"/>
              </w:rPr>
            </w:pPr>
          </w:p>
        </w:tc>
        <w:tc>
          <w:tcPr>
            <w:tcW w:w="1640" w:type="dxa"/>
            <w:vAlign w:val="bottom"/>
            <w:shd w:val="clear" w:color="auto" w:fill="F2F2F2"/>
          </w:tcPr>
          <w:p>
            <w:pPr>
              <w:spacing w:after="0"/>
              <w:rPr>
                <w:sz w:val="5"/>
                <w:szCs w:val="5"/>
                <w:color w:val="auto"/>
              </w:rPr>
            </w:pPr>
          </w:p>
        </w:tc>
      </w:tr>
      <w:tr>
        <w:trPr>
          <w:trHeight w:val="289"/>
        </w:trPr>
        <w:tc>
          <w:tcPr>
            <w:tcW w:w="3340" w:type="dxa"/>
            <w:vAlign w:val="bottom"/>
          </w:tcPr>
          <w:p>
            <w:pPr>
              <w:ind w:left="80"/>
              <w:spacing w:after="0"/>
              <w:rPr>
                <w:sz w:val="20"/>
                <w:szCs w:val="20"/>
                <w:color w:val="auto"/>
              </w:rPr>
            </w:pPr>
            <w:r>
              <w:rPr>
                <w:rFonts w:ascii="Arial" w:cs="Arial" w:eastAsia="Arial" w:hAnsi="Arial"/>
                <w:sz w:val="16"/>
                <w:szCs w:val="16"/>
                <w:b w:val="1"/>
                <w:bCs w:val="1"/>
                <w:color w:val="auto"/>
              </w:rPr>
              <w:t>Asian</w:t>
            </w:r>
          </w:p>
        </w:tc>
        <w:tc>
          <w:tcPr>
            <w:tcW w:w="1640" w:type="dxa"/>
            <w:vAlign w:val="bottom"/>
          </w:tcPr>
          <w:p>
            <w:pPr>
              <w:ind w:left="780"/>
              <w:spacing w:after="0"/>
              <w:rPr>
                <w:sz w:val="20"/>
                <w:szCs w:val="20"/>
                <w:color w:val="auto"/>
              </w:rPr>
            </w:pPr>
            <w:r>
              <w:rPr>
                <w:rFonts w:ascii="Arial" w:cs="Arial" w:eastAsia="Arial" w:hAnsi="Arial"/>
                <w:sz w:val="16"/>
                <w:szCs w:val="16"/>
                <w:color w:val="auto"/>
              </w:rPr>
              <w:t>1</w:t>
            </w:r>
          </w:p>
        </w:tc>
        <w:tc>
          <w:tcPr>
            <w:tcW w:w="1160" w:type="dxa"/>
            <w:vAlign w:val="bottom"/>
          </w:tcPr>
          <w:p>
            <w:pPr>
              <w:ind w:left="680"/>
              <w:spacing w:after="0"/>
              <w:rPr>
                <w:sz w:val="20"/>
                <w:szCs w:val="20"/>
                <w:color w:val="auto"/>
              </w:rPr>
            </w:pPr>
            <w:r>
              <w:rPr>
                <w:rFonts w:ascii="Arial" w:cs="Arial" w:eastAsia="Arial" w:hAnsi="Arial"/>
                <w:sz w:val="16"/>
                <w:szCs w:val="16"/>
                <w:color w:val="auto"/>
              </w:rPr>
              <w:t>1</w:t>
            </w:r>
          </w:p>
        </w:tc>
        <w:tc>
          <w:tcPr>
            <w:tcW w:w="1780" w:type="dxa"/>
            <w:vAlign w:val="bottom"/>
          </w:tcPr>
          <w:p>
            <w:pPr>
              <w:spacing w:after="0"/>
              <w:rPr>
                <w:sz w:val="24"/>
                <w:szCs w:val="24"/>
                <w:color w:val="auto"/>
              </w:rPr>
            </w:pPr>
          </w:p>
        </w:tc>
        <w:tc>
          <w:tcPr>
            <w:tcW w:w="1640" w:type="dxa"/>
            <w:vAlign w:val="bottom"/>
          </w:tcPr>
          <w:p>
            <w:pPr>
              <w:spacing w:after="0"/>
              <w:rPr>
                <w:sz w:val="24"/>
                <w:szCs w:val="24"/>
                <w:color w:val="auto"/>
              </w:rPr>
            </w:pPr>
          </w:p>
        </w:tc>
      </w:tr>
      <w:tr>
        <w:trPr>
          <w:trHeight w:val="62"/>
        </w:trPr>
        <w:tc>
          <w:tcPr>
            <w:tcW w:w="3340" w:type="dxa"/>
            <w:vAlign w:val="bottom"/>
          </w:tcPr>
          <w:p>
            <w:pPr>
              <w:spacing w:after="0"/>
              <w:rPr>
                <w:sz w:val="5"/>
                <w:szCs w:val="5"/>
                <w:color w:val="auto"/>
              </w:rPr>
            </w:pPr>
          </w:p>
        </w:tc>
        <w:tc>
          <w:tcPr>
            <w:tcW w:w="16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780" w:type="dxa"/>
            <w:vAlign w:val="bottom"/>
          </w:tcPr>
          <w:p>
            <w:pPr>
              <w:spacing w:after="0"/>
              <w:rPr>
                <w:sz w:val="5"/>
                <w:szCs w:val="5"/>
                <w:color w:val="auto"/>
              </w:rPr>
            </w:pPr>
          </w:p>
        </w:tc>
        <w:tc>
          <w:tcPr>
            <w:tcW w:w="1640" w:type="dxa"/>
            <w:vAlign w:val="bottom"/>
          </w:tcPr>
          <w:p>
            <w:pPr>
              <w:spacing w:after="0"/>
              <w:rPr>
                <w:sz w:val="5"/>
                <w:szCs w:val="5"/>
                <w:color w:val="auto"/>
              </w:rPr>
            </w:pPr>
          </w:p>
        </w:tc>
      </w:tr>
      <w:tr>
        <w:trPr>
          <w:trHeight w:val="290"/>
        </w:trPr>
        <w:tc>
          <w:tcPr>
            <w:tcW w:w="334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Hispanic or Latinx</w:t>
            </w:r>
          </w:p>
        </w:tc>
        <w:tc>
          <w:tcPr>
            <w:tcW w:w="1640" w:type="dxa"/>
            <w:vAlign w:val="bottom"/>
            <w:shd w:val="clear" w:color="auto" w:fill="F2F2F2"/>
          </w:tcPr>
          <w:p>
            <w:pPr>
              <w:spacing w:after="0"/>
              <w:rPr>
                <w:sz w:val="24"/>
                <w:szCs w:val="24"/>
                <w:color w:val="auto"/>
              </w:rPr>
            </w:pPr>
          </w:p>
        </w:tc>
        <w:tc>
          <w:tcPr>
            <w:tcW w:w="1160" w:type="dxa"/>
            <w:vAlign w:val="bottom"/>
            <w:shd w:val="clear" w:color="auto" w:fill="F2F2F2"/>
          </w:tcPr>
          <w:p>
            <w:pPr>
              <w:spacing w:after="0"/>
              <w:rPr>
                <w:sz w:val="24"/>
                <w:szCs w:val="24"/>
                <w:color w:val="auto"/>
              </w:rPr>
            </w:pPr>
          </w:p>
        </w:tc>
        <w:tc>
          <w:tcPr>
            <w:tcW w:w="1780" w:type="dxa"/>
            <w:vAlign w:val="bottom"/>
            <w:shd w:val="clear" w:color="auto" w:fill="F2F2F2"/>
          </w:tcPr>
          <w:p>
            <w:pPr>
              <w:spacing w:after="0"/>
              <w:rPr>
                <w:sz w:val="24"/>
                <w:szCs w:val="24"/>
                <w:color w:val="auto"/>
              </w:rPr>
            </w:pPr>
          </w:p>
        </w:tc>
        <w:tc>
          <w:tcPr>
            <w:tcW w:w="1640" w:type="dxa"/>
            <w:vAlign w:val="bottom"/>
            <w:shd w:val="clear" w:color="auto" w:fill="F2F2F2"/>
          </w:tcPr>
          <w:p>
            <w:pPr>
              <w:spacing w:after="0"/>
              <w:rPr>
                <w:sz w:val="24"/>
                <w:szCs w:val="24"/>
                <w:color w:val="auto"/>
              </w:rPr>
            </w:pPr>
          </w:p>
        </w:tc>
      </w:tr>
      <w:tr>
        <w:trPr>
          <w:trHeight w:val="61"/>
        </w:trPr>
        <w:tc>
          <w:tcPr>
            <w:tcW w:w="3340" w:type="dxa"/>
            <w:vAlign w:val="bottom"/>
            <w:shd w:val="clear" w:color="auto" w:fill="F2F2F2"/>
          </w:tcPr>
          <w:p>
            <w:pPr>
              <w:spacing w:after="0"/>
              <w:rPr>
                <w:sz w:val="5"/>
                <w:szCs w:val="5"/>
                <w:color w:val="auto"/>
              </w:rPr>
            </w:pPr>
          </w:p>
        </w:tc>
        <w:tc>
          <w:tcPr>
            <w:tcW w:w="1640" w:type="dxa"/>
            <w:vAlign w:val="bottom"/>
            <w:shd w:val="clear" w:color="auto" w:fill="F2F2F2"/>
          </w:tcPr>
          <w:p>
            <w:pPr>
              <w:spacing w:after="0"/>
              <w:rPr>
                <w:sz w:val="5"/>
                <w:szCs w:val="5"/>
                <w:color w:val="auto"/>
              </w:rPr>
            </w:pPr>
          </w:p>
        </w:tc>
        <w:tc>
          <w:tcPr>
            <w:tcW w:w="1160" w:type="dxa"/>
            <w:vAlign w:val="bottom"/>
            <w:shd w:val="clear" w:color="auto" w:fill="F2F2F2"/>
          </w:tcPr>
          <w:p>
            <w:pPr>
              <w:spacing w:after="0"/>
              <w:rPr>
                <w:sz w:val="5"/>
                <w:szCs w:val="5"/>
                <w:color w:val="auto"/>
              </w:rPr>
            </w:pPr>
          </w:p>
        </w:tc>
        <w:tc>
          <w:tcPr>
            <w:tcW w:w="1780" w:type="dxa"/>
            <w:vAlign w:val="bottom"/>
            <w:shd w:val="clear" w:color="auto" w:fill="F2F2F2"/>
          </w:tcPr>
          <w:p>
            <w:pPr>
              <w:spacing w:after="0"/>
              <w:rPr>
                <w:sz w:val="5"/>
                <w:szCs w:val="5"/>
                <w:color w:val="auto"/>
              </w:rPr>
            </w:pPr>
          </w:p>
        </w:tc>
        <w:tc>
          <w:tcPr>
            <w:tcW w:w="1640" w:type="dxa"/>
            <w:vAlign w:val="bottom"/>
            <w:shd w:val="clear" w:color="auto" w:fill="F2F2F2"/>
          </w:tcPr>
          <w:p>
            <w:pPr>
              <w:spacing w:after="0"/>
              <w:rPr>
                <w:sz w:val="5"/>
                <w:szCs w:val="5"/>
                <w:color w:val="auto"/>
              </w:rPr>
            </w:pPr>
          </w:p>
        </w:tc>
      </w:tr>
      <w:tr>
        <w:trPr>
          <w:trHeight w:val="290"/>
        </w:trPr>
        <w:tc>
          <w:tcPr>
            <w:tcW w:w="3340" w:type="dxa"/>
            <w:vAlign w:val="bottom"/>
          </w:tcPr>
          <w:p>
            <w:pPr>
              <w:ind w:left="80"/>
              <w:spacing w:after="0"/>
              <w:rPr>
                <w:sz w:val="20"/>
                <w:szCs w:val="20"/>
                <w:color w:val="auto"/>
              </w:rPr>
            </w:pPr>
            <w:r>
              <w:rPr>
                <w:rFonts w:ascii="Arial" w:cs="Arial" w:eastAsia="Arial" w:hAnsi="Arial"/>
                <w:sz w:val="16"/>
                <w:szCs w:val="16"/>
                <w:b w:val="1"/>
                <w:bCs w:val="1"/>
                <w:color w:val="auto"/>
              </w:rPr>
              <w:t>Native Hawaiian or Pacific Islander</w:t>
            </w:r>
          </w:p>
        </w:tc>
        <w:tc>
          <w:tcPr>
            <w:tcW w:w="16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640" w:type="dxa"/>
            <w:vAlign w:val="bottom"/>
          </w:tcPr>
          <w:p>
            <w:pPr>
              <w:spacing w:after="0"/>
              <w:rPr>
                <w:sz w:val="24"/>
                <w:szCs w:val="24"/>
                <w:color w:val="auto"/>
              </w:rPr>
            </w:pPr>
          </w:p>
        </w:tc>
      </w:tr>
      <w:tr>
        <w:trPr>
          <w:trHeight w:val="62"/>
        </w:trPr>
        <w:tc>
          <w:tcPr>
            <w:tcW w:w="3340" w:type="dxa"/>
            <w:vAlign w:val="bottom"/>
          </w:tcPr>
          <w:p>
            <w:pPr>
              <w:spacing w:after="0"/>
              <w:rPr>
                <w:sz w:val="5"/>
                <w:szCs w:val="5"/>
                <w:color w:val="auto"/>
              </w:rPr>
            </w:pPr>
          </w:p>
        </w:tc>
        <w:tc>
          <w:tcPr>
            <w:tcW w:w="16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780" w:type="dxa"/>
            <w:vAlign w:val="bottom"/>
          </w:tcPr>
          <w:p>
            <w:pPr>
              <w:spacing w:after="0"/>
              <w:rPr>
                <w:sz w:val="5"/>
                <w:szCs w:val="5"/>
                <w:color w:val="auto"/>
              </w:rPr>
            </w:pPr>
          </w:p>
        </w:tc>
        <w:tc>
          <w:tcPr>
            <w:tcW w:w="1640" w:type="dxa"/>
            <w:vAlign w:val="bottom"/>
          </w:tcPr>
          <w:p>
            <w:pPr>
              <w:spacing w:after="0"/>
              <w:rPr>
                <w:sz w:val="5"/>
                <w:szCs w:val="5"/>
                <w:color w:val="auto"/>
              </w:rPr>
            </w:pPr>
          </w:p>
        </w:tc>
      </w:tr>
      <w:tr>
        <w:trPr>
          <w:trHeight w:val="289"/>
        </w:trPr>
        <w:tc>
          <w:tcPr>
            <w:tcW w:w="334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White</w:t>
            </w:r>
          </w:p>
        </w:tc>
        <w:tc>
          <w:tcPr>
            <w:tcW w:w="1640" w:type="dxa"/>
            <w:vAlign w:val="bottom"/>
            <w:shd w:val="clear" w:color="auto" w:fill="F2F2F2"/>
          </w:tcPr>
          <w:p>
            <w:pPr>
              <w:ind w:left="780"/>
              <w:spacing w:after="0"/>
              <w:rPr>
                <w:sz w:val="20"/>
                <w:szCs w:val="20"/>
                <w:color w:val="auto"/>
              </w:rPr>
            </w:pPr>
            <w:r>
              <w:rPr>
                <w:rFonts w:ascii="Arial" w:cs="Arial" w:eastAsia="Arial" w:hAnsi="Arial"/>
                <w:sz w:val="16"/>
                <w:szCs w:val="16"/>
                <w:color w:val="auto"/>
              </w:rPr>
              <w:t>2</w:t>
            </w:r>
          </w:p>
        </w:tc>
        <w:tc>
          <w:tcPr>
            <w:tcW w:w="1160" w:type="dxa"/>
            <w:vAlign w:val="bottom"/>
            <w:shd w:val="clear" w:color="auto" w:fill="F2F2F2"/>
          </w:tcPr>
          <w:p>
            <w:pPr>
              <w:ind w:left="680"/>
              <w:spacing w:after="0"/>
              <w:rPr>
                <w:sz w:val="20"/>
                <w:szCs w:val="20"/>
                <w:color w:val="auto"/>
              </w:rPr>
            </w:pPr>
            <w:r>
              <w:rPr>
                <w:rFonts w:ascii="Arial" w:cs="Arial" w:eastAsia="Arial" w:hAnsi="Arial"/>
                <w:sz w:val="16"/>
                <w:szCs w:val="16"/>
                <w:color w:val="auto"/>
              </w:rPr>
              <w:t>3</w:t>
            </w:r>
          </w:p>
        </w:tc>
        <w:tc>
          <w:tcPr>
            <w:tcW w:w="1780" w:type="dxa"/>
            <w:vAlign w:val="bottom"/>
            <w:shd w:val="clear" w:color="auto" w:fill="F2F2F2"/>
          </w:tcPr>
          <w:p>
            <w:pPr>
              <w:spacing w:after="0"/>
              <w:rPr>
                <w:sz w:val="24"/>
                <w:szCs w:val="24"/>
                <w:color w:val="auto"/>
              </w:rPr>
            </w:pPr>
          </w:p>
        </w:tc>
        <w:tc>
          <w:tcPr>
            <w:tcW w:w="1640" w:type="dxa"/>
            <w:vAlign w:val="bottom"/>
            <w:shd w:val="clear" w:color="auto" w:fill="F2F2F2"/>
          </w:tcPr>
          <w:p>
            <w:pPr>
              <w:spacing w:after="0"/>
              <w:rPr>
                <w:sz w:val="24"/>
                <w:szCs w:val="24"/>
                <w:color w:val="auto"/>
              </w:rPr>
            </w:pPr>
          </w:p>
        </w:tc>
      </w:tr>
      <w:tr>
        <w:trPr>
          <w:trHeight w:val="62"/>
        </w:trPr>
        <w:tc>
          <w:tcPr>
            <w:tcW w:w="3340" w:type="dxa"/>
            <w:vAlign w:val="bottom"/>
            <w:shd w:val="clear" w:color="auto" w:fill="F2F2F2"/>
          </w:tcPr>
          <w:p>
            <w:pPr>
              <w:spacing w:after="0"/>
              <w:rPr>
                <w:sz w:val="5"/>
                <w:szCs w:val="5"/>
                <w:color w:val="auto"/>
              </w:rPr>
            </w:pPr>
          </w:p>
        </w:tc>
        <w:tc>
          <w:tcPr>
            <w:tcW w:w="1640" w:type="dxa"/>
            <w:vAlign w:val="bottom"/>
            <w:shd w:val="clear" w:color="auto" w:fill="F2F2F2"/>
          </w:tcPr>
          <w:p>
            <w:pPr>
              <w:spacing w:after="0"/>
              <w:rPr>
                <w:sz w:val="5"/>
                <w:szCs w:val="5"/>
                <w:color w:val="auto"/>
              </w:rPr>
            </w:pPr>
          </w:p>
        </w:tc>
        <w:tc>
          <w:tcPr>
            <w:tcW w:w="1160" w:type="dxa"/>
            <w:vAlign w:val="bottom"/>
            <w:shd w:val="clear" w:color="auto" w:fill="F2F2F2"/>
          </w:tcPr>
          <w:p>
            <w:pPr>
              <w:spacing w:after="0"/>
              <w:rPr>
                <w:sz w:val="5"/>
                <w:szCs w:val="5"/>
                <w:color w:val="auto"/>
              </w:rPr>
            </w:pPr>
          </w:p>
        </w:tc>
        <w:tc>
          <w:tcPr>
            <w:tcW w:w="1780" w:type="dxa"/>
            <w:vAlign w:val="bottom"/>
            <w:shd w:val="clear" w:color="auto" w:fill="F2F2F2"/>
          </w:tcPr>
          <w:p>
            <w:pPr>
              <w:spacing w:after="0"/>
              <w:rPr>
                <w:sz w:val="5"/>
                <w:szCs w:val="5"/>
                <w:color w:val="auto"/>
              </w:rPr>
            </w:pPr>
          </w:p>
        </w:tc>
        <w:tc>
          <w:tcPr>
            <w:tcW w:w="1640" w:type="dxa"/>
            <w:vAlign w:val="bottom"/>
            <w:shd w:val="clear" w:color="auto" w:fill="F2F2F2"/>
          </w:tcPr>
          <w:p>
            <w:pPr>
              <w:spacing w:after="0"/>
              <w:rPr>
                <w:sz w:val="5"/>
                <w:szCs w:val="5"/>
                <w:color w:val="auto"/>
              </w:rPr>
            </w:pPr>
          </w:p>
        </w:tc>
      </w:tr>
      <w:tr>
        <w:trPr>
          <w:trHeight w:val="290"/>
        </w:trPr>
        <w:tc>
          <w:tcPr>
            <w:tcW w:w="3340" w:type="dxa"/>
            <w:vAlign w:val="bottom"/>
          </w:tcPr>
          <w:p>
            <w:pPr>
              <w:ind w:left="80"/>
              <w:spacing w:after="0"/>
              <w:rPr>
                <w:sz w:val="20"/>
                <w:szCs w:val="20"/>
                <w:color w:val="auto"/>
              </w:rPr>
            </w:pPr>
            <w:r>
              <w:rPr>
                <w:rFonts w:ascii="Arial" w:cs="Arial" w:eastAsia="Arial" w:hAnsi="Arial"/>
                <w:sz w:val="16"/>
                <w:szCs w:val="16"/>
                <w:b w:val="1"/>
                <w:bCs w:val="1"/>
                <w:color w:val="auto"/>
              </w:rPr>
              <w:t>Two or More Races or Ethnicities</w:t>
            </w:r>
          </w:p>
        </w:tc>
        <w:tc>
          <w:tcPr>
            <w:tcW w:w="16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640" w:type="dxa"/>
            <w:vAlign w:val="bottom"/>
          </w:tcPr>
          <w:p>
            <w:pPr>
              <w:spacing w:after="0"/>
              <w:rPr>
                <w:sz w:val="24"/>
                <w:szCs w:val="24"/>
                <w:color w:val="auto"/>
              </w:rPr>
            </w:pPr>
          </w:p>
        </w:tc>
      </w:tr>
      <w:tr>
        <w:trPr>
          <w:trHeight w:val="61"/>
        </w:trPr>
        <w:tc>
          <w:tcPr>
            <w:tcW w:w="3340" w:type="dxa"/>
            <w:vAlign w:val="bottom"/>
          </w:tcPr>
          <w:p>
            <w:pPr>
              <w:spacing w:after="0"/>
              <w:rPr>
                <w:sz w:val="5"/>
                <w:szCs w:val="5"/>
                <w:color w:val="auto"/>
              </w:rPr>
            </w:pPr>
          </w:p>
        </w:tc>
        <w:tc>
          <w:tcPr>
            <w:tcW w:w="16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780" w:type="dxa"/>
            <w:vAlign w:val="bottom"/>
          </w:tcPr>
          <w:p>
            <w:pPr>
              <w:spacing w:after="0"/>
              <w:rPr>
                <w:sz w:val="5"/>
                <w:szCs w:val="5"/>
                <w:color w:val="auto"/>
              </w:rPr>
            </w:pPr>
          </w:p>
        </w:tc>
        <w:tc>
          <w:tcPr>
            <w:tcW w:w="1640" w:type="dxa"/>
            <w:vAlign w:val="bottom"/>
          </w:tcPr>
          <w:p>
            <w:pPr>
              <w:spacing w:after="0"/>
              <w:rPr>
                <w:sz w:val="5"/>
                <w:szCs w:val="5"/>
                <w:color w:val="auto"/>
              </w:rPr>
            </w:pPr>
          </w:p>
        </w:tc>
      </w:tr>
      <w:tr>
        <w:trPr>
          <w:trHeight w:val="290"/>
        </w:trPr>
        <w:tc>
          <w:tcPr>
            <w:tcW w:w="334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LGBTQ+</w:t>
            </w:r>
          </w:p>
        </w:tc>
        <w:tc>
          <w:tcPr>
            <w:tcW w:w="1640" w:type="dxa"/>
            <w:vAlign w:val="bottom"/>
            <w:shd w:val="clear" w:color="auto" w:fill="F2F2F2"/>
          </w:tcPr>
          <w:p>
            <w:pPr>
              <w:spacing w:after="0"/>
              <w:rPr>
                <w:sz w:val="24"/>
                <w:szCs w:val="24"/>
                <w:color w:val="auto"/>
              </w:rPr>
            </w:pPr>
          </w:p>
        </w:tc>
        <w:tc>
          <w:tcPr>
            <w:tcW w:w="1160" w:type="dxa"/>
            <w:vAlign w:val="bottom"/>
            <w:shd w:val="clear" w:color="auto" w:fill="F2F2F2"/>
          </w:tcPr>
          <w:p>
            <w:pPr>
              <w:spacing w:after="0"/>
              <w:rPr>
                <w:sz w:val="24"/>
                <w:szCs w:val="24"/>
                <w:color w:val="auto"/>
              </w:rPr>
            </w:pPr>
          </w:p>
        </w:tc>
        <w:tc>
          <w:tcPr>
            <w:tcW w:w="1780" w:type="dxa"/>
            <w:vAlign w:val="bottom"/>
            <w:shd w:val="clear" w:color="auto" w:fill="F2F2F2"/>
          </w:tcPr>
          <w:p>
            <w:pPr>
              <w:spacing w:after="0"/>
              <w:rPr>
                <w:sz w:val="24"/>
                <w:szCs w:val="24"/>
                <w:color w:val="auto"/>
              </w:rPr>
            </w:pPr>
          </w:p>
        </w:tc>
        <w:tc>
          <w:tcPr>
            <w:tcW w:w="1640" w:type="dxa"/>
            <w:vAlign w:val="bottom"/>
            <w:shd w:val="clear" w:color="auto" w:fill="F2F2F2"/>
          </w:tcPr>
          <w:p>
            <w:pPr>
              <w:spacing w:after="0"/>
              <w:rPr>
                <w:sz w:val="24"/>
                <w:szCs w:val="24"/>
                <w:color w:val="auto"/>
              </w:rPr>
            </w:pPr>
          </w:p>
        </w:tc>
      </w:tr>
      <w:tr>
        <w:trPr>
          <w:trHeight w:val="62"/>
        </w:trPr>
        <w:tc>
          <w:tcPr>
            <w:tcW w:w="3340" w:type="dxa"/>
            <w:vAlign w:val="bottom"/>
            <w:shd w:val="clear" w:color="auto" w:fill="F2F2F2"/>
          </w:tcPr>
          <w:p>
            <w:pPr>
              <w:spacing w:after="0"/>
              <w:rPr>
                <w:sz w:val="5"/>
                <w:szCs w:val="5"/>
                <w:color w:val="auto"/>
              </w:rPr>
            </w:pPr>
          </w:p>
        </w:tc>
        <w:tc>
          <w:tcPr>
            <w:tcW w:w="1640" w:type="dxa"/>
            <w:vAlign w:val="bottom"/>
            <w:shd w:val="clear" w:color="auto" w:fill="F2F2F2"/>
          </w:tcPr>
          <w:p>
            <w:pPr>
              <w:spacing w:after="0"/>
              <w:rPr>
                <w:sz w:val="5"/>
                <w:szCs w:val="5"/>
                <w:color w:val="auto"/>
              </w:rPr>
            </w:pPr>
          </w:p>
        </w:tc>
        <w:tc>
          <w:tcPr>
            <w:tcW w:w="1160" w:type="dxa"/>
            <w:vAlign w:val="bottom"/>
            <w:shd w:val="clear" w:color="auto" w:fill="F2F2F2"/>
          </w:tcPr>
          <w:p>
            <w:pPr>
              <w:spacing w:after="0"/>
              <w:rPr>
                <w:sz w:val="5"/>
                <w:szCs w:val="5"/>
                <w:color w:val="auto"/>
              </w:rPr>
            </w:pPr>
          </w:p>
        </w:tc>
        <w:tc>
          <w:tcPr>
            <w:tcW w:w="1780" w:type="dxa"/>
            <w:vAlign w:val="bottom"/>
            <w:shd w:val="clear" w:color="auto" w:fill="F2F2F2"/>
          </w:tcPr>
          <w:p>
            <w:pPr>
              <w:spacing w:after="0"/>
              <w:rPr>
                <w:sz w:val="5"/>
                <w:szCs w:val="5"/>
                <w:color w:val="auto"/>
              </w:rPr>
            </w:pPr>
          </w:p>
        </w:tc>
        <w:tc>
          <w:tcPr>
            <w:tcW w:w="1640" w:type="dxa"/>
            <w:vAlign w:val="bottom"/>
            <w:shd w:val="clear" w:color="auto" w:fill="F2F2F2"/>
          </w:tcPr>
          <w:p>
            <w:pPr>
              <w:spacing w:after="0"/>
              <w:rPr>
                <w:sz w:val="5"/>
                <w:szCs w:val="5"/>
                <w:color w:val="auto"/>
              </w:rPr>
            </w:pPr>
          </w:p>
        </w:tc>
      </w:tr>
      <w:tr>
        <w:trPr>
          <w:trHeight w:val="256"/>
        </w:trPr>
        <w:tc>
          <w:tcPr>
            <w:tcW w:w="3340" w:type="dxa"/>
            <w:vAlign w:val="bottom"/>
          </w:tcPr>
          <w:p>
            <w:pPr>
              <w:ind w:left="80"/>
              <w:spacing w:after="0"/>
              <w:rPr>
                <w:sz w:val="20"/>
                <w:szCs w:val="20"/>
                <w:color w:val="auto"/>
              </w:rPr>
            </w:pPr>
            <w:r>
              <w:rPr>
                <w:rFonts w:ascii="Arial" w:cs="Arial" w:eastAsia="Arial" w:hAnsi="Arial"/>
                <w:sz w:val="16"/>
                <w:szCs w:val="16"/>
                <w:b w:val="1"/>
                <w:bCs w:val="1"/>
                <w:color w:val="auto"/>
              </w:rPr>
              <w:t>Did Not Disclose Demographic</w:t>
            </w:r>
          </w:p>
        </w:tc>
        <w:tc>
          <w:tcPr>
            <w:tcW w:w="1640" w:type="dxa"/>
            <w:vAlign w:val="bottom"/>
          </w:tcPr>
          <w:p>
            <w:pPr>
              <w:spacing w:after="0"/>
              <w:rPr>
                <w:sz w:val="22"/>
                <w:szCs w:val="22"/>
                <w:color w:val="auto"/>
              </w:rPr>
            </w:pPr>
          </w:p>
        </w:tc>
        <w:tc>
          <w:tcPr>
            <w:tcW w:w="1160" w:type="dxa"/>
            <w:vAlign w:val="bottom"/>
          </w:tcPr>
          <w:p>
            <w:pPr>
              <w:spacing w:after="0"/>
              <w:rPr>
                <w:sz w:val="22"/>
                <w:szCs w:val="22"/>
                <w:color w:val="auto"/>
              </w:rPr>
            </w:pPr>
          </w:p>
        </w:tc>
        <w:tc>
          <w:tcPr>
            <w:tcW w:w="1780" w:type="dxa"/>
            <w:vAlign w:val="bottom"/>
          </w:tcPr>
          <w:p>
            <w:pPr>
              <w:spacing w:after="0"/>
              <w:rPr>
                <w:sz w:val="22"/>
                <w:szCs w:val="22"/>
                <w:color w:val="auto"/>
              </w:rPr>
            </w:pPr>
          </w:p>
        </w:tc>
        <w:tc>
          <w:tcPr>
            <w:tcW w:w="1640" w:type="dxa"/>
            <w:vAlign w:val="bottom"/>
          </w:tcPr>
          <w:p>
            <w:pPr>
              <w:spacing w:after="0"/>
              <w:rPr>
                <w:sz w:val="22"/>
                <w:szCs w:val="22"/>
                <w:color w:val="auto"/>
              </w:rPr>
            </w:pPr>
          </w:p>
        </w:tc>
      </w:tr>
      <w:tr>
        <w:trPr>
          <w:trHeight w:val="223"/>
        </w:trPr>
        <w:tc>
          <w:tcPr>
            <w:tcW w:w="3340" w:type="dxa"/>
            <w:vAlign w:val="bottom"/>
          </w:tcPr>
          <w:p>
            <w:pPr>
              <w:ind w:left="80"/>
              <w:spacing w:after="0"/>
              <w:rPr>
                <w:sz w:val="20"/>
                <w:szCs w:val="20"/>
                <w:color w:val="auto"/>
              </w:rPr>
            </w:pPr>
            <w:r>
              <w:rPr>
                <w:rFonts w:ascii="Arial" w:cs="Arial" w:eastAsia="Arial" w:hAnsi="Arial"/>
                <w:sz w:val="16"/>
                <w:szCs w:val="16"/>
                <w:b w:val="1"/>
                <w:bCs w:val="1"/>
                <w:color w:val="auto"/>
              </w:rPr>
              <w:t>Background</w:t>
            </w:r>
          </w:p>
        </w:tc>
        <w:tc>
          <w:tcPr>
            <w:tcW w:w="164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1640" w:type="dxa"/>
            <w:vAlign w:val="bottom"/>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-2506345</wp:posOffset>
            </wp:positionV>
            <wp:extent cx="6077585" cy="47491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077585" cy="474916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544" w:hanging="544"/>
        <w:spacing w:after="0"/>
        <w:tabs>
          <w:tab w:leader="none" w:pos="544" w:val="left"/>
        </w:tabs>
        <w:numPr>
          <w:ilvl w:val="0"/>
          <w:numId w:val="19"/>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type w:val="continuous"/>
        </w:sectPr>
      </w:pPr>
    </w:p>
    <w:bookmarkStart w:id="10" w:name="page11"/>
    <w:bookmarkEnd w:id="10"/>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34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53"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Nominees for Director</w:t>
      </w:r>
    </w:p>
    <w:p>
      <w:pPr>
        <w:spacing w:after="0" w:line="206" w:lineRule="exact"/>
        <w:rPr>
          <w:sz w:val="20"/>
          <w:szCs w:val="20"/>
          <w:color w:val="auto"/>
        </w:rPr>
      </w:pPr>
    </w:p>
    <w:p>
      <w:pPr>
        <w:ind w:left="720"/>
        <w:spacing w:after="0"/>
        <w:rPr>
          <w:sz w:val="20"/>
          <w:szCs w:val="20"/>
          <w:color w:val="auto"/>
        </w:rPr>
      </w:pPr>
      <w:r>
        <w:rPr>
          <w:rFonts w:ascii="Arial" w:cs="Arial" w:eastAsia="Arial" w:hAnsi="Arial"/>
          <w:sz w:val="16"/>
          <w:szCs w:val="16"/>
          <w:color w:val="auto"/>
        </w:rPr>
        <w:t>The following provides summary information about each of our director nominees as of March 25, 2022:</w:t>
      </w:r>
    </w:p>
    <w:p>
      <w:pPr>
        <w:spacing w:after="0" w:line="275"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0063A6"/>
        </w:rPr>
        <w:t>ANDREW W. HOUSTON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55245</wp:posOffset>
            </wp:positionV>
            <wp:extent cx="5991860" cy="19456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5991860" cy="1945640"/>
                    </a:xfrm>
                    <a:prstGeom prst="rect">
                      <a:avLst/>
                    </a:prstGeom>
                    <a:noFill/>
                  </pic:spPr>
                </pic:pic>
              </a:graphicData>
            </a:graphic>
          </wp:anchor>
        </w:drawing>
      </w:r>
    </w:p>
    <w:p>
      <w:pPr>
        <w:spacing w:after="0" w:line="215"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39</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2007</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COMMITTEES: </w:t>
      </w:r>
      <w:r>
        <w:rPr>
          <w:rFonts w:ascii="Arial" w:cs="Arial" w:eastAsia="Arial" w:hAnsi="Arial"/>
          <w:sz w:val="16"/>
          <w:szCs w:val="16"/>
          <w:color w:val="auto"/>
        </w:rPr>
        <w:t>None</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CHAIRMAN OF THE BOARD</w:t>
      </w:r>
    </w:p>
    <w:p>
      <w:pPr>
        <w:spacing w:after="0" w:line="194" w:lineRule="exact"/>
        <w:rPr>
          <w:sz w:val="20"/>
          <w:szCs w:val="20"/>
          <w:color w:val="auto"/>
        </w:rPr>
      </w:pPr>
    </w:p>
    <w:p>
      <w:pPr>
        <w:ind w:left="3660" w:right="840"/>
        <w:spacing w:after="0" w:line="253" w:lineRule="auto"/>
        <w:rPr>
          <w:sz w:val="20"/>
          <w:szCs w:val="20"/>
          <w:color w:val="auto"/>
        </w:rPr>
      </w:pPr>
      <w:r>
        <w:rPr>
          <w:rFonts w:ascii="Arial" w:cs="Arial" w:eastAsia="Arial" w:hAnsi="Arial"/>
          <w:sz w:val="16"/>
          <w:szCs w:val="16"/>
          <w:b w:val="1"/>
          <w:bCs w:val="1"/>
          <w:color w:val="auto"/>
        </w:rPr>
        <w:t xml:space="preserve">EXPERIENCE: </w:t>
      </w:r>
      <w:r>
        <w:rPr>
          <w:rFonts w:ascii="Arial" w:cs="Arial" w:eastAsia="Arial" w:hAnsi="Arial"/>
          <w:sz w:val="16"/>
          <w:szCs w:val="16"/>
          <w:color w:val="auto"/>
        </w:rPr>
        <w:t>Mr. Houston is one of our co-founders and has served as a member of our</w:t>
      </w:r>
      <w:r>
        <w:rPr>
          <w:rFonts w:ascii="Arial" w:cs="Arial" w:eastAsia="Arial" w:hAnsi="Arial"/>
          <w:sz w:val="16"/>
          <w:szCs w:val="16"/>
          <w:b w:val="1"/>
          <w:bCs w:val="1"/>
          <w:color w:val="auto"/>
        </w:rPr>
        <w:t xml:space="preserve"> </w:t>
      </w:r>
      <w:r>
        <w:rPr>
          <w:rFonts w:ascii="Arial" w:cs="Arial" w:eastAsia="Arial" w:hAnsi="Arial"/>
          <w:sz w:val="16"/>
          <w:szCs w:val="16"/>
          <w:color w:val="auto"/>
        </w:rPr>
        <w:t>board of directors and our Chief Executive Officer since June 2007. Mr. Houston also currently serves as a member of the board of directors of Facebook, Inc. Mr. Houston holds a B.S. in Electrical Engineering and Computer Science from the Massachusetts Institute of Technology. Mr. Houston was selected to serve on our board of directors because of the perspective and experience he brings as our Chief Executive Officer and as one of our co-founders.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0063A6"/>
        </w:rPr>
        <w:t>DONALD W. BLAIR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55245</wp:posOffset>
            </wp:positionV>
            <wp:extent cx="5991860" cy="19456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5991860" cy="1945640"/>
                    </a:xfrm>
                    <a:prstGeom prst="rect">
                      <a:avLst/>
                    </a:prstGeom>
                    <a:noFill/>
                  </pic:spPr>
                </pic:pic>
              </a:graphicData>
            </a:graphic>
          </wp:anchor>
        </w:drawing>
      </w:r>
    </w:p>
    <w:p>
      <w:pPr>
        <w:spacing w:after="0" w:line="215"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63</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2017</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COMMITTEES: </w:t>
      </w:r>
      <w:r>
        <w:rPr>
          <w:rFonts w:ascii="Arial" w:cs="Arial" w:eastAsia="Arial" w:hAnsi="Arial"/>
          <w:sz w:val="16"/>
          <w:szCs w:val="16"/>
          <w:color w:val="auto"/>
        </w:rPr>
        <w:t>Audit (</w:t>
      </w:r>
      <w:r>
        <w:rPr>
          <w:rFonts w:ascii="Arial" w:cs="Arial" w:eastAsia="Arial" w:hAnsi="Arial"/>
          <w:sz w:val="16"/>
          <w:szCs w:val="16"/>
          <w:i w:val="1"/>
          <w:iCs w:val="1"/>
          <w:color w:val="auto"/>
        </w:rPr>
        <w:t>Chair</w:t>
      </w:r>
      <w:r>
        <w:rPr>
          <w:rFonts w:ascii="Arial" w:cs="Arial" w:eastAsia="Arial" w:hAnsi="Arial"/>
          <w:sz w:val="16"/>
          <w:szCs w:val="16"/>
          <w:color w:val="auto"/>
        </w:rPr>
        <w:t>)</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LEAD INDEPENDENT DIRECTOR</w:t>
      </w:r>
    </w:p>
    <w:p>
      <w:pPr>
        <w:spacing w:after="0" w:line="194" w:lineRule="exact"/>
        <w:rPr>
          <w:sz w:val="20"/>
          <w:szCs w:val="20"/>
          <w:color w:val="auto"/>
        </w:rPr>
      </w:pPr>
    </w:p>
    <w:p>
      <w:pPr>
        <w:ind w:left="3660" w:right="800"/>
        <w:spacing w:after="0" w:line="250" w:lineRule="auto"/>
        <w:rPr>
          <w:sz w:val="20"/>
          <w:szCs w:val="20"/>
          <w:color w:val="auto"/>
        </w:rPr>
      </w:pPr>
      <w:r>
        <w:rPr>
          <w:rFonts w:ascii="Arial" w:cs="Arial" w:eastAsia="Arial" w:hAnsi="Arial"/>
          <w:sz w:val="16"/>
          <w:szCs w:val="16"/>
          <w:b w:val="1"/>
          <w:bCs w:val="1"/>
          <w:color w:val="auto"/>
        </w:rPr>
        <w:t xml:space="preserve">EXPERIENCE: </w:t>
      </w:r>
      <w:r>
        <w:rPr>
          <w:rFonts w:ascii="Arial" w:cs="Arial" w:eastAsia="Arial" w:hAnsi="Arial"/>
          <w:sz w:val="16"/>
          <w:szCs w:val="16"/>
          <w:color w:val="auto"/>
        </w:rPr>
        <w:t>Mr. Blair has served as a member of our Board of Directors since</w:t>
      </w:r>
      <w:r>
        <w:rPr>
          <w:rFonts w:ascii="Arial" w:cs="Arial" w:eastAsia="Arial" w:hAnsi="Arial"/>
          <w:sz w:val="16"/>
          <w:szCs w:val="16"/>
          <w:b w:val="1"/>
          <w:bCs w:val="1"/>
          <w:color w:val="auto"/>
        </w:rPr>
        <w:t xml:space="preserve"> </w:t>
      </w:r>
      <w:r>
        <w:rPr>
          <w:rFonts w:ascii="Arial" w:cs="Arial" w:eastAsia="Arial" w:hAnsi="Arial"/>
          <w:sz w:val="16"/>
          <w:szCs w:val="16"/>
          <w:color w:val="auto"/>
        </w:rPr>
        <w:t>December 2017. From November 1999 to October 2015, Mr. Blair served as Executive Vice President and Chief Financial Officer for NIKE, Inc., or NIKE, a global footwear and apparel company. Prior to joining NIKE, for fifteen years, Mr. Blair served in a number of senior executive-level corporate and operating unit financial assignments for PepsiCo, Inc., or PepsiCo, a food and beverage company, including Chief Financial Officer for PepsiCo Japan (based in Tokyo) and Pepsi-Cola International’s Asia Division (based in Hong Kong). Mr. Blair currently serves as a member of the board of directors for Corning Incorporated, a global manufacturing company. Mr. Blair holds an M.B.A. and a B.S. in Economics from the University of Pennsylvania. Mr. Blair was selected to serve on our board of directors because of his extensive financial expertise, and business management and governance experience.</w:t>
      </w: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80" w:type="dxa"/>
            <w:vAlign w:val="bottom"/>
          </w:tcPr>
          <w:p>
            <w:pPr>
              <w:ind w:left="440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040" w:type="dxa"/>
            <w:vAlign w:val="bottom"/>
          </w:tcPr>
          <w:p>
            <w:pPr>
              <w:jc w:val="right"/>
              <w:ind w:right="648"/>
              <w:spacing w:after="0"/>
              <w:rPr>
                <w:sz w:val="20"/>
                <w:szCs w:val="20"/>
                <w:color w:val="auto"/>
              </w:rPr>
            </w:pPr>
            <w:r>
              <w:rPr>
                <w:rFonts w:ascii="Arial" w:cs="Arial" w:eastAsia="Arial" w:hAnsi="Arial"/>
                <w:sz w:val="14"/>
                <w:szCs w:val="14"/>
                <w:b w:val="1"/>
                <w:bCs w:val="1"/>
                <w:color w:val="auto"/>
              </w:rPr>
              <w:t>7</w:t>
            </w:r>
          </w:p>
        </w:tc>
      </w:tr>
      <w:tr>
        <w:trPr>
          <w:trHeight w:val="157"/>
        </w:trPr>
        <w:tc>
          <w:tcPr>
            <w:tcW w:w="998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11" w:name="page12"/>
    <w:bookmarkEnd w:id="11"/>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right="56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379"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0063A6"/>
        </w:rPr>
        <w:t>LISA CAMPBELL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55245</wp:posOffset>
            </wp:positionV>
            <wp:extent cx="5991860" cy="19456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5991860" cy="1945640"/>
                    </a:xfrm>
                    <a:prstGeom prst="rect">
                      <a:avLst/>
                    </a:prstGeom>
                    <a:noFill/>
                  </pic:spPr>
                </pic:pic>
              </a:graphicData>
            </a:graphic>
          </wp:anchor>
        </w:drawing>
      </w:r>
    </w:p>
    <w:p>
      <w:pPr>
        <w:spacing w:after="0" w:line="215"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58</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2019</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COMMITTEES: </w:t>
      </w:r>
      <w:r>
        <w:rPr>
          <w:rFonts w:ascii="Arial" w:cs="Arial" w:eastAsia="Arial" w:hAnsi="Arial"/>
          <w:sz w:val="16"/>
          <w:szCs w:val="16"/>
          <w:color w:val="auto"/>
        </w:rPr>
        <w:t>Audit; Nominating &amp; Corporate Governance</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INDEPENDENT DIRECTOR</w:t>
      </w:r>
    </w:p>
    <w:p>
      <w:pPr>
        <w:spacing w:after="0" w:line="194" w:lineRule="exact"/>
        <w:rPr>
          <w:sz w:val="20"/>
          <w:szCs w:val="20"/>
          <w:color w:val="auto"/>
        </w:rPr>
      </w:pPr>
    </w:p>
    <w:p>
      <w:pPr>
        <w:ind w:left="2944"/>
        <w:spacing w:after="0" w:line="249" w:lineRule="auto"/>
        <w:rPr>
          <w:sz w:val="20"/>
          <w:szCs w:val="20"/>
          <w:color w:val="auto"/>
        </w:rPr>
      </w:pPr>
      <w:r>
        <w:rPr>
          <w:rFonts w:ascii="Arial" w:cs="Arial" w:eastAsia="Arial" w:hAnsi="Arial"/>
          <w:sz w:val="16"/>
          <w:szCs w:val="16"/>
          <w:b w:val="1"/>
          <w:bCs w:val="1"/>
          <w:color w:val="auto"/>
        </w:rPr>
        <w:t xml:space="preserve">EXPERIENCE: </w:t>
      </w:r>
      <w:r>
        <w:rPr>
          <w:rFonts w:ascii="Arial" w:cs="Arial" w:eastAsia="Arial" w:hAnsi="Arial"/>
          <w:sz w:val="16"/>
          <w:szCs w:val="16"/>
          <w:color w:val="auto"/>
        </w:rPr>
        <w:t>Ms. Campbell has served as a member of our board of directors since</w:t>
      </w:r>
      <w:r>
        <w:rPr>
          <w:rFonts w:ascii="Arial" w:cs="Arial" w:eastAsia="Arial" w:hAnsi="Arial"/>
          <w:sz w:val="16"/>
          <w:szCs w:val="16"/>
          <w:b w:val="1"/>
          <w:bCs w:val="1"/>
          <w:color w:val="auto"/>
        </w:rPr>
        <w:t xml:space="preserve"> </w:t>
      </w:r>
      <w:r>
        <w:rPr>
          <w:rFonts w:ascii="Arial" w:cs="Arial" w:eastAsia="Arial" w:hAnsi="Arial"/>
          <w:sz w:val="16"/>
          <w:szCs w:val="16"/>
          <w:color w:val="auto"/>
        </w:rPr>
        <w:t>August 2019. Since July 2021, Ms. Campbell has served as Chief Marketing Officer and Partner for OneTrust. From August 2017 to July 2021, Ms. Campbell served as Chief Marketing Officer and Senior Vice President of Business Strategy for Autodesk, Inc. From January 2015 to August 2017, Ms. Campbell served as Vice President, Industry Strategy and Marketing – Manufacturing at Autodesk, and she served as its Vice President, Industry Strategy and Marketing – Architecture, Engineering and Construction from February 2012 through January 2015. She has also held other senior positions at Autodesk, including managing its Global eCommerce business and Autodesk.com, and managing its Geospatial Business and infrastructure business. Prior to joining Autodesk in 2003, Ms. Campbell served in executive-level marketing positions at Evolve (now Oracle), Sterling Software Inc., and Digital Equipment Corporation. Ms. Campbell holds an M.B.A. from Babson College and a B.A. in Mathematics and Computer Science from Boston College. She was selected to serve on our board of directors because of her valuable expertise in business, industry, and marketing strategy.</w:t>
      </w:r>
    </w:p>
    <w:p>
      <w:pPr>
        <w:spacing w:after="0" w:line="200" w:lineRule="exact"/>
        <w:rPr>
          <w:sz w:val="20"/>
          <w:szCs w:val="20"/>
          <w:color w:val="auto"/>
        </w:rPr>
      </w:pPr>
    </w:p>
    <w:p>
      <w:pPr>
        <w:spacing w:after="0" w:line="366"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0063A6"/>
        </w:rPr>
        <w:t>PAUL E. JACOBS,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55245</wp:posOffset>
            </wp:positionV>
            <wp:extent cx="5991860" cy="19456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5991860" cy="1945640"/>
                    </a:xfrm>
                    <a:prstGeom prst="rect">
                      <a:avLst/>
                    </a:prstGeom>
                    <a:noFill/>
                  </pic:spPr>
                </pic:pic>
              </a:graphicData>
            </a:graphic>
          </wp:anchor>
        </w:drawing>
      </w:r>
    </w:p>
    <w:p>
      <w:pPr>
        <w:spacing w:after="0" w:line="215"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59</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2016</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COMMITTEES: </w:t>
      </w:r>
      <w:r>
        <w:rPr>
          <w:rFonts w:ascii="Arial" w:cs="Arial" w:eastAsia="Arial" w:hAnsi="Arial"/>
          <w:sz w:val="16"/>
          <w:szCs w:val="16"/>
          <w:color w:val="auto"/>
        </w:rPr>
        <w:t>Nominating &amp; Corporate Governance (</w:t>
      </w:r>
      <w:r>
        <w:rPr>
          <w:rFonts w:ascii="Arial" w:cs="Arial" w:eastAsia="Arial" w:hAnsi="Arial"/>
          <w:sz w:val="16"/>
          <w:szCs w:val="16"/>
          <w:i w:val="1"/>
          <w:iCs w:val="1"/>
          <w:color w:val="auto"/>
        </w:rPr>
        <w:t>Chair</w:t>
      </w:r>
      <w:r>
        <w:rPr>
          <w:rFonts w:ascii="Arial" w:cs="Arial" w:eastAsia="Arial" w:hAnsi="Arial"/>
          <w:sz w:val="16"/>
          <w:szCs w:val="16"/>
          <w:color w:val="auto"/>
        </w:rPr>
        <w:t>)</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INDEPENDENT DIRECTOR</w:t>
      </w:r>
    </w:p>
    <w:p>
      <w:pPr>
        <w:spacing w:after="0" w:line="194" w:lineRule="exact"/>
        <w:rPr>
          <w:sz w:val="20"/>
          <w:szCs w:val="20"/>
          <w:color w:val="auto"/>
        </w:rPr>
      </w:pPr>
    </w:p>
    <w:p>
      <w:pPr>
        <w:ind w:left="2944" w:right="40"/>
        <w:spacing w:after="0" w:line="248" w:lineRule="auto"/>
        <w:rPr>
          <w:sz w:val="20"/>
          <w:szCs w:val="20"/>
          <w:color w:val="auto"/>
        </w:rPr>
      </w:pPr>
      <w:r>
        <w:rPr>
          <w:rFonts w:ascii="Arial" w:cs="Arial" w:eastAsia="Arial" w:hAnsi="Arial"/>
          <w:sz w:val="16"/>
          <w:szCs w:val="16"/>
          <w:b w:val="1"/>
          <w:bCs w:val="1"/>
          <w:color w:val="auto"/>
        </w:rPr>
        <w:t xml:space="preserve">EXPERIENCE: </w:t>
      </w:r>
      <w:r>
        <w:rPr>
          <w:rFonts w:ascii="Arial" w:cs="Arial" w:eastAsia="Arial" w:hAnsi="Arial"/>
          <w:sz w:val="16"/>
          <w:szCs w:val="16"/>
          <w:color w:val="auto"/>
        </w:rPr>
        <w:t>Dr. Jacobs has served as a member of our board of directors since April</w:t>
      </w:r>
      <w:r>
        <w:rPr>
          <w:rFonts w:ascii="Arial" w:cs="Arial" w:eastAsia="Arial" w:hAnsi="Arial"/>
          <w:sz w:val="16"/>
          <w:szCs w:val="16"/>
          <w:b w:val="1"/>
          <w:bCs w:val="1"/>
          <w:color w:val="auto"/>
        </w:rPr>
        <w:t xml:space="preserve"> </w:t>
      </w:r>
      <w:r>
        <w:rPr>
          <w:rFonts w:ascii="Arial" w:cs="Arial" w:eastAsia="Arial" w:hAnsi="Arial"/>
          <w:sz w:val="16"/>
          <w:szCs w:val="16"/>
          <w:color w:val="auto"/>
        </w:rPr>
        <w:t>2016. Since April 2018, Dr. Jacobs has served as Chairman and Chief Executive Officer of XCOM Labs, Inc., a wireless technology company, and since January 2021, Dr. Jacobs has served as CEO and as a member of the board of directors of Jaws Juggernaut Acquisition Corporation, a special purpose acquisition company. From March 2014 to March 2018, Dr. Jacobs served as Executive Chairman for Qualcomm Incorporated, a semiconductor and telecommunications equipment company, or Qualcomm. From March 2009 to March 2018, Dr. Jacobs served as Chairman of the board of directors for Qualcomm. From July 2005 to March 2014, Dr. Jacobs served as Chief Executive Officer for Qualcomm.</w:t>
      </w:r>
    </w:p>
    <w:p>
      <w:pPr>
        <w:spacing w:after="0" w:line="6" w:lineRule="exact"/>
        <w:rPr>
          <w:sz w:val="20"/>
          <w:szCs w:val="20"/>
          <w:color w:val="auto"/>
        </w:rPr>
      </w:pPr>
    </w:p>
    <w:p>
      <w:pPr>
        <w:ind w:left="2944" w:right="220"/>
        <w:spacing w:after="0" w:line="250" w:lineRule="auto"/>
        <w:rPr>
          <w:sz w:val="20"/>
          <w:szCs w:val="20"/>
          <w:color w:val="auto"/>
        </w:rPr>
      </w:pPr>
      <w:r>
        <w:rPr>
          <w:rFonts w:ascii="Arial" w:cs="Arial" w:eastAsia="Arial" w:hAnsi="Arial"/>
          <w:sz w:val="16"/>
          <w:szCs w:val="16"/>
          <w:color w:val="auto"/>
        </w:rPr>
        <w:t>Dr. Jacobs also currently serves as a member of the board of directors for a number of private companies. Dr. Jacobs holds a Ph.D. in Electrical Engineering and Computer Science, an M.S. in Electrical Engineering, and a B.S. in Electrical Engineering and Computer Science from the University of California, Berkeley. Dr. Jacobs was selected to serve on our board of directors because of his extensive business, operations, and management experience.</w:t>
      </w:r>
    </w:p>
    <w:p>
      <w:pPr>
        <w:spacing w:after="0" w:line="200" w:lineRule="exact"/>
        <w:rPr>
          <w:sz w:val="20"/>
          <w:szCs w:val="20"/>
          <w:color w:val="auto"/>
        </w:rPr>
      </w:pPr>
    </w:p>
    <w:p>
      <w:pPr>
        <w:spacing w:after="0" w:line="367" w:lineRule="exact"/>
        <w:rPr>
          <w:sz w:val="20"/>
          <w:szCs w:val="20"/>
          <w:color w:val="auto"/>
        </w:rPr>
      </w:pPr>
    </w:p>
    <w:p>
      <w:pPr>
        <w:ind w:left="544" w:hanging="544"/>
        <w:spacing w:after="0"/>
        <w:tabs>
          <w:tab w:leader="none" w:pos="544" w:val="left"/>
        </w:tabs>
        <w:numPr>
          <w:ilvl w:val="0"/>
          <w:numId w:val="20"/>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24"/>
          </w:cols>
          <w:pgMar w:left="1156" w:top="263" w:right="1219" w:bottom="1440" w:gutter="0" w:footer="0" w:header="0"/>
        </w:sectPr>
      </w:pPr>
    </w:p>
    <w:bookmarkStart w:id="12" w:name="page13"/>
    <w:bookmarkEnd w:id="12"/>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34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379"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0063A6"/>
        </w:rPr>
        <w:t>SARA MATHEW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55245</wp:posOffset>
            </wp:positionV>
            <wp:extent cx="5991860" cy="19456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5991860" cy="1945640"/>
                    </a:xfrm>
                    <a:prstGeom prst="rect">
                      <a:avLst/>
                    </a:prstGeom>
                    <a:noFill/>
                  </pic:spPr>
                </pic:pic>
              </a:graphicData>
            </a:graphic>
          </wp:anchor>
        </w:drawing>
      </w:r>
    </w:p>
    <w:p>
      <w:pPr>
        <w:spacing w:after="0" w:line="215"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66</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2021</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COMMITTEES: </w:t>
      </w:r>
      <w:r>
        <w:rPr>
          <w:rFonts w:ascii="Arial" w:cs="Arial" w:eastAsia="Arial" w:hAnsi="Arial"/>
          <w:sz w:val="16"/>
          <w:szCs w:val="16"/>
          <w:color w:val="auto"/>
        </w:rPr>
        <w:t>Audit; Compensation</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INDEPENDENT DIRECTOR</w:t>
      </w:r>
    </w:p>
    <w:p>
      <w:pPr>
        <w:spacing w:after="0" w:line="194" w:lineRule="exact"/>
        <w:rPr>
          <w:sz w:val="20"/>
          <w:szCs w:val="20"/>
          <w:color w:val="auto"/>
        </w:rPr>
      </w:pPr>
    </w:p>
    <w:p>
      <w:pPr>
        <w:ind w:left="3660" w:right="780"/>
        <w:spacing w:after="0" w:line="248" w:lineRule="auto"/>
        <w:rPr>
          <w:sz w:val="20"/>
          <w:szCs w:val="20"/>
          <w:color w:val="auto"/>
        </w:rPr>
      </w:pPr>
      <w:r>
        <w:rPr>
          <w:rFonts w:ascii="Arial" w:cs="Arial" w:eastAsia="Arial" w:hAnsi="Arial"/>
          <w:sz w:val="16"/>
          <w:szCs w:val="16"/>
          <w:b w:val="1"/>
          <w:bCs w:val="1"/>
          <w:color w:val="auto"/>
        </w:rPr>
        <w:t xml:space="preserve">EXPERIENCE: </w:t>
      </w:r>
      <w:r>
        <w:rPr>
          <w:rFonts w:ascii="Arial" w:cs="Arial" w:eastAsia="Arial" w:hAnsi="Arial"/>
          <w:sz w:val="16"/>
          <w:szCs w:val="16"/>
          <w:color w:val="auto"/>
        </w:rPr>
        <w:t>Ms. Mathew has served as a member of our board of directors since July</w:t>
      </w:r>
      <w:r>
        <w:rPr>
          <w:rFonts w:ascii="Arial" w:cs="Arial" w:eastAsia="Arial" w:hAnsi="Arial"/>
          <w:sz w:val="16"/>
          <w:szCs w:val="16"/>
          <w:b w:val="1"/>
          <w:bCs w:val="1"/>
          <w:color w:val="auto"/>
        </w:rPr>
        <w:t xml:space="preserve"> </w:t>
      </w:r>
      <w:r>
        <w:rPr>
          <w:rFonts w:ascii="Arial" w:cs="Arial" w:eastAsia="Arial" w:hAnsi="Arial"/>
          <w:sz w:val="16"/>
          <w:szCs w:val="16"/>
          <w:color w:val="auto"/>
        </w:rPr>
        <w:t>2021. From January 2010 to October 2013, Ms. Mathew served as Chief Executive Officer of Dun and Bradstreet Corporation, or Dun and Bradstreet, a commercial data analytics company, as its President and Chief Operating Officer from March 2007 to January 2010 and as its Chief Financial Officer from August 2001 to March 2007. Ms. Mathew also served as a member of the board of directors of Dun and Bradstreet from January 2008 to October 2013, including as Chairwoman from July 2010 to October 2013. Prior to joining Dun and Bradstreet, Ms. Mathew served for eighteen years in a number of executive-level finance positions for the Procter &amp; Gamble Company, or P&amp;G, a consumer goods company.</w:t>
      </w:r>
    </w:p>
    <w:p>
      <w:pPr>
        <w:spacing w:after="0" w:line="6" w:lineRule="exact"/>
        <w:rPr>
          <w:sz w:val="20"/>
          <w:szCs w:val="20"/>
          <w:color w:val="auto"/>
        </w:rPr>
      </w:pPr>
    </w:p>
    <w:p>
      <w:pPr>
        <w:ind w:left="3660" w:right="780"/>
        <w:spacing w:after="0" w:line="248" w:lineRule="auto"/>
        <w:rPr>
          <w:sz w:val="20"/>
          <w:szCs w:val="20"/>
          <w:color w:val="auto"/>
        </w:rPr>
      </w:pPr>
      <w:r>
        <w:rPr>
          <w:rFonts w:ascii="Arial" w:cs="Arial" w:eastAsia="Arial" w:hAnsi="Arial"/>
          <w:sz w:val="16"/>
          <w:szCs w:val="16"/>
          <w:color w:val="auto"/>
        </w:rPr>
        <w:t>Ms. Mathew currently serves as the non-executive Chairwoman of the board of directors for the Federal Home Loan Mortgage Company, a government-sponsored mortgage securitization company. Ms. Mathew also serves as a member of the board of directors for NextGen Acquisition Corporation, a special purpose acquisition company, Reckitt Benckiser PLC, a health and hygiene company and State Street Corporation, a financial services company. Ms. Mathew previously served as a member of the board of directors of Avon Products, Inc. a beauty, household and personal care products manufacturer, Campbell Soup Company, Inc., a consumer food company, and Shire PLC, a biopharmaceutical company. Ms. Mathew holds an M.B.A. from Xavier University and a B.S. in physics, mathematics and chemistry from the University of Madras. Ms. Mathew was selected to serve on our board of directors because of her experience leading multi-national enterprises and valuable financial, strategy and operational expertise.</w:t>
      </w:r>
    </w:p>
    <w:p>
      <w:pPr>
        <w:spacing w:after="0" w:line="200" w:lineRule="exact"/>
        <w:rPr>
          <w:sz w:val="20"/>
          <w:szCs w:val="20"/>
          <w:color w:val="auto"/>
        </w:rPr>
      </w:pPr>
    </w:p>
    <w:p>
      <w:pPr>
        <w:spacing w:after="0" w:line="365"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0063A6"/>
        </w:rPr>
        <w:t>ABHAY PARASNIS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55245</wp:posOffset>
            </wp:positionV>
            <wp:extent cx="5991860" cy="19456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5991860" cy="1945640"/>
                    </a:xfrm>
                    <a:prstGeom prst="rect">
                      <a:avLst/>
                    </a:prstGeom>
                    <a:noFill/>
                  </pic:spPr>
                </pic:pic>
              </a:graphicData>
            </a:graphic>
          </wp:anchor>
        </w:drawing>
      </w:r>
    </w:p>
    <w:p>
      <w:pPr>
        <w:spacing w:after="0" w:line="215"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47</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2022</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 xml:space="preserve">COMMITTEES: </w:t>
      </w:r>
      <w:r>
        <w:rPr>
          <w:rFonts w:ascii="Arial" w:cs="Arial" w:eastAsia="Arial" w:hAnsi="Arial"/>
          <w:sz w:val="16"/>
          <w:szCs w:val="16"/>
          <w:color w:val="auto"/>
        </w:rPr>
        <w:t>Compensation</w:t>
      </w:r>
    </w:p>
    <w:p>
      <w:pPr>
        <w:spacing w:after="0" w:line="194" w:lineRule="exact"/>
        <w:rPr>
          <w:sz w:val="20"/>
          <w:szCs w:val="20"/>
          <w:color w:val="auto"/>
        </w:rPr>
      </w:pPr>
    </w:p>
    <w:p>
      <w:pPr>
        <w:ind w:left="3660"/>
        <w:spacing w:after="0"/>
        <w:rPr>
          <w:sz w:val="20"/>
          <w:szCs w:val="20"/>
          <w:color w:val="auto"/>
        </w:rPr>
      </w:pPr>
      <w:r>
        <w:rPr>
          <w:rFonts w:ascii="Arial" w:cs="Arial" w:eastAsia="Arial" w:hAnsi="Arial"/>
          <w:sz w:val="16"/>
          <w:szCs w:val="16"/>
          <w:b w:val="1"/>
          <w:bCs w:val="1"/>
          <w:color w:val="auto"/>
        </w:rPr>
        <w:t>INDEPENDENT DIRECTOR</w:t>
      </w:r>
    </w:p>
    <w:p>
      <w:pPr>
        <w:spacing w:after="0" w:line="194" w:lineRule="exact"/>
        <w:rPr>
          <w:sz w:val="20"/>
          <w:szCs w:val="20"/>
          <w:color w:val="auto"/>
        </w:rPr>
      </w:pPr>
    </w:p>
    <w:p>
      <w:pPr>
        <w:ind w:left="3660" w:right="780"/>
        <w:spacing w:after="0" w:line="248" w:lineRule="auto"/>
        <w:rPr>
          <w:sz w:val="20"/>
          <w:szCs w:val="20"/>
          <w:color w:val="auto"/>
        </w:rPr>
      </w:pPr>
      <w:r>
        <w:rPr>
          <w:rFonts w:ascii="Arial" w:cs="Arial" w:eastAsia="Arial" w:hAnsi="Arial"/>
          <w:sz w:val="16"/>
          <w:szCs w:val="16"/>
          <w:b w:val="1"/>
          <w:bCs w:val="1"/>
          <w:color w:val="auto"/>
        </w:rPr>
        <w:t xml:space="preserve">EXPERIENCE: </w:t>
      </w:r>
      <w:r>
        <w:rPr>
          <w:rFonts w:ascii="Arial" w:cs="Arial" w:eastAsia="Arial" w:hAnsi="Arial"/>
          <w:sz w:val="16"/>
          <w:szCs w:val="16"/>
          <w:color w:val="auto"/>
        </w:rPr>
        <w:t>Mr. Parasnis has served as a member of our board of directors since March</w:t>
      </w:r>
      <w:r>
        <w:rPr>
          <w:rFonts w:ascii="Arial" w:cs="Arial" w:eastAsia="Arial" w:hAnsi="Arial"/>
          <w:sz w:val="16"/>
          <w:szCs w:val="16"/>
          <w:b w:val="1"/>
          <w:bCs w:val="1"/>
          <w:color w:val="auto"/>
        </w:rPr>
        <w:t xml:space="preserve"> </w:t>
      </w:r>
      <w:r>
        <w:rPr>
          <w:rFonts w:ascii="Arial" w:cs="Arial" w:eastAsia="Arial" w:hAnsi="Arial"/>
          <w:sz w:val="16"/>
          <w:szCs w:val="16"/>
          <w:color w:val="auto"/>
        </w:rPr>
        <w:t>2022. From July 2015 to February 2022, Mr. Parasnis served as Chief Technology Officer of Adobe Inc., during which time Mr. Parasnis also held additional titles, including Executive Vice President from January 2016 to February 2022, Chief Strategy Officer from February 2020 to December 2020, and Chief Product Officer from December 2020 to February 2022. Prior to joining Adobe, Mr. Parasnis served in executive level positions with Kony, Inc., Oracle Corporation and Microsoft Corporation. Mr. Parasnis holds a B.S. in Electronics &amp; Telecommunications from the College of Engineering Pune in Pune, India and an Advanced Diploma in Computer Science from the National Institute of Information Technology.</w:t>
      </w:r>
    </w:p>
    <w:p>
      <w:pPr>
        <w:spacing w:after="0" w:line="6" w:lineRule="exact"/>
        <w:rPr>
          <w:sz w:val="20"/>
          <w:szCs w:val="20"/>
          <w:color w:val="auto"/>
        </w:rPr>
      </w:pPr>
    </w:p>
    <w:p>
      <w:pPr>
        <w:jc w:val="both"/>
        <w:ind w:left="3660" w:right="1140"/>
        <w:spacing w:after="0" w:line="256" w:lineRule="auto"/>
        <w:rPr>
          <w:sz w:val="20"/>
          <w:szCs w:val="20"/>
          <w:color w:val="auto"/>
        </w:rPr>
      </w:pPr>
      <w:r>
        <w:rPr>
          <w:rFonts w:ascii="Arial" w:cs="Arial" w:eastAsia="Arial" w:hAnsi="Arial"/>
          <w:sz w:val="16"/>
          <w:szCs w:val="16"/>
          <w:color w:val="auto"/>
        </w:rPr>
        <w:t>Mr. Parasnis was selected to serve on our board of directors because of his extensive technical, product, and operational expertise and his experience leading and growing a multi-product portfolio.</w:t>
      </w:r>
    </w:p>
    <w:p>
      <w:pPr>
        <w:spacing w:after="0" w:line="200" w:lineRule="exact"/>
        <w:rPr>
          <w:sz w:val="20"/>
          <w:szCs w:val="20"/>
          <w:color w:val="auto"/>
        </w:rPr>
      </w:pPr>
    </w:p>
    <w:p>
      <w:pPr>
        <w:spacing w:after="0" w:line="361"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80" w:type="dxa"/>
            <w:vAlign w:val="bottom"/>
          </w:tcPr>
          <w:p>
            <w:pPr>
              <w:ind w:left="440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040" w:type="dxa"/>
            <w:vAlign w:val="bottom"/>
          </w:tcPr>
          <w:p>
            <w:pPr>
              <w:jc w:val="right"/>
              <w:ind w:right="648"/>
              <w:spacing w:after="0"/>
              <w:rPr>
                <w:sz w:val="20"/>
                <w:szCs w:val="20"/>
                <w:color w:val="auto"/>
              </w:rPr>
            </w:pPr>
            <w:r>
              <w:rPr>
                <w:rFonts w:ascii="Arial" w:cs="Arial" w:eastAsia="Arial" w:hAnsi="Arial"/>
                <w:sz w:val="14"/>
                <w:szCs w:val="14"/>
                <w:b w:val="1"/>
                <w:bCs w:val="1"/>
                <w:color w:val="auto"/>
              </w:rPr>
              <w:t>9</w:t>
            </w:r>
          </w:p>
        </w:tc>
      </w:tr>
      <w:tr>
        <w:trPr>
          <w:trHeight w:val="157"/>
        </w:trPr>
        <w:tc>
          <w:tcPr>
            <w:tcW w:w="998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13" w:name="page14"/>
    <w:bookmarkEnd w:id="13"/>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right="52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379"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0063A6"/>
        </w:rPr>
        <w:t>KAREN PEACOCK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55245</wp:posOffset>
            </wp:positionV>
            <wp:extent cx="5991860" cy="19456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5991860" cy="1945640"/>
                    </a:xfrm>
                    <a:prstGeom prst="rect">
                      <a:avLst/>
                    </a:prstGeom>
                    <a:noFill/>
                  </pic:spPr>
                </pic:pic>
              </a:graphicData>
            </a:graphic>
          </wp:anchor>
        </w:drawing>
      </w:r>
    </w:p>
    <w:p>
      <w:pPr>
        <w:spacing w:after="0" w:line="215"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49</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2019</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COMMITTEES: </w:t>
      </w:r>
      <w:r>
        <w:rPr>
          <w:rFonts w:ascii="Arial" w:cs="Arial" w:eastAsia="Arial" w:hAnsi="Arial"/>
          <w:sz w:val="16"/>
          <w:szCs w:val="16"/>
          <w:color w:val="auto"/>
        </w:rPr>
        <w:t>Compensation (</w:t>
      </w:r>
      <w:r>
        <w:rPr>
          <w:rFonts w:ascii="Arial" w:cs="Arial" w:eastAsia="Arial" w:hAnsi="Arial"/>
          <w:sz w:val="16"/>
          <w:szCs w:val="16"/>
          <w:i w:val="1"/>
          <w:iCs w:val="1"/>
          <w:color w:val="auto"/>
        </w:rPr>
        <w:t>Chair</w:t>
      </w:r>
      <w:r>
        <w:rPr>
          <w:rFonts w:ascii="Arial" w:cs="Arial" w:eastAsia="Arial" w:hAnsi="Arial"/>
          <w:sz w:val="16"/>
          <w:szCs w:val="16"/>
          <w:color w:val="auto"/>
        </w:rPr>
        <w:t>)</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INDEPENDENT DIRECTOR</w:t>
      </w:r>
    </w:p>
    <w:p>
      <w:pPr>
        <w:spacing w:after="0" w:line="194" w:lineRule="exact"/>
        <w:rPr>
          <w:sz w:val="20"/>
          <w:szCs w:val="20"/>
          <w:color w:val="auto"/>
        </w:rPr>
      </w:pPr>
    </w:p>
    <w:p>
      <w:pPr>
        <w:ind w:left="2944" w:right="160"/>
        <w:spacing w:after="0" w:line="248" w:lineRule="auto"/>
        <w:rPr>
          <w:sz w:val="20"/>
          <w:szCs w:val="20"/>
          <w:color w:val="auto"/>
        </w:rPr>
      </w:pPr>
      <w:r>
        <w:rPr>
          <w:rFonts w:ascii="Arial" w:cs="Arial" w:eastAsia="Arial" w:hAnsi="Arial"/>
          <w:sz w:val="16"/>
          <w:szCs w:val="16"/>
          <w:b w:val="1"/>
          <w:bCs w:val="1"/>
          <w:color w:val="auto"/>
        </w:rPr>
        <w:t xml:space="preserve">EXPERIENCE: </w:t>
      </w:r>
      <w:r>
        <w:rPr>
          <w:rFonts w:ascii="Arial" w:cs="Arial" w:eastAsia="Arial" w:hAnsi="Arial"/>
          <w:sz w:val="16"/>
          <w:szCs w:val="16"/>
          <w:color w:val="auto"/>
        </w:rPr>
        <w:t>Ms. Peacock has served as a member of our board of directors since</w:t>
      </w:r>
      <w:r>
        <w:rPr>
          <w:rFonts w:ascii="Arial" w:cs="Arial" w:eastAsia="Arial" w:hAnsi="Arial"/>
          <w:sz w:val="16"/>
          <w:szCs w:val="16"/>
          <w:b w:val="1"/>
          <w:bCs w:val="1"/>
          <w:color w:val="auto"/>
        </w:rPr>
        <w:t xml:space="preserve"> </w:t>
      </w:r>
      <w:r>
        <w:rPr>
          <w:rFonts w:ascii="Arial" w:cs="Arial" w:eastAsia="Arial" w:hAnsi="Arial"/>
          <w:sz w:val="16"/>
          <w:szCs w:val="16"/>
          <w:color w:val="auto"/>
        </w:rPr>
        <w:t>August 2019. Since July 2020, Ms. Peacock has served as Chief Executive Officer for Intercom, Inc., or Intercom, a corporation that develops and markets business messaging and communication software, and from May 2017 to July 2020, Ms. Peacock served as Chief Operating Officer for Intercom. From January 2016 to March 2017, Ms. Peacock served as Senior Vice President, Small Business at Intuit Inc., or Intuit, and from 2014 to January 2016, she served as VP, General Manager of Intuit’s Employee Management Solutions division. Ms. Peacock has also held other senior roles at Intuit, including Vice President of Marketing and Product Management. Prior to joining Intuit in 2002,</w:t>
      </w:r>
    </w:p>
    <w:p>
      <w:pPr>
        <w:spacing w:after="0" w:line="6" w:lineRule="exact"/>
        <w:rPr>
          <w:sz w:val="20"/>
          <w:szCs w:val="20"/>
          <w:color w:val="auto"/>
        </w:rPr>
      </w:pPr>
    </w:p>
    <w:p>
      <w:pPr>
        <w:ind w:left="2944"/>
        <w:spacing w:after="0" w:line="250" w:lineRule="auto"/>
        <w:rPr>
          <w:sz w:val="20"/>
          <w:szCs w:val="20"/>
          <w:color w:val="auto"/>
        </w:rPr>
      </w:pPr>
      <w:r>
        <w:rPr>
          <w:rFonts w:ascii="Arial" w:cs="Arial" w:eastAsia="Arial" w:hAnsi="Arial"/>
          <w:sz w:val="16"/>
          <w:szCs w:val="16"/>
          <w:color w:val="auto"/>
        </w:rPr>
        <w:t>Ms. Peacock was Director of Product Management at Allegis Corporation and prior to that, was a management consultant with the Boston Consulting Group. Ms. Peacock holds an M.B.A. from Stanford Graduate School of Business and a B.A. in Applied Mathematics from Harvard University. She was selected to serve on our board of directors because of her valuable expertise in business, industry, and her extensive experience in executive-level operational roles.</w:t>
      </w:r>
    </w:p>
    <w:p>
      <w:pPr>
        <w:spacing w:after="0" w:line="200" w:lineRule="exact"/>
        <w:rPr>
          <w:sz w:val="20"/>
          <w:szCs w:val="20"/>
          <w:color w:val="auto"/>
        </w:rPr>
      </w:pPr>
    </w:p>
    <w:p>
      <w:pPr>
        <w:spacing w:after="0" w:line="322"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0063A6"/>
        </w:rPr>
        <w:t>MICHAEL SEIBEL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55245</wp:posOffset>
            </wp:positionV>
            <wp:extent cx="5991860" cy="19456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5991860" cy="1945640"/>
                    </a:xfrm>
                    <a:prstGeom prst="rect">
                      <a:avLst/>
                    </a:prstGeom>
                    <a:noFill/>
                  </pic:spPr>
                </pic:pic>
              </a:graphicData>
            </a:graphic>
          </wp:anchor>
        </w:drawing>
      </w:r>
    </w:p>
    <w:p>
      <w:pPr>
        <w:spacing w:after="0" w:line="215"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39</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2020</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 xml:space="preserve">COMMITTEES: </w:t>
      </w:r>
      <w:r>
        <w:rPr>
          <w:rFonts w:ascii="Arial" w:cs="Arial" w:eastAsia="Arial" w:hAnsi="Arial"/>
          <w:sz w:val="16"/>
          <w:szCs w:val="16"/>
          <w:color w:val="auto"/>
        </w:rPr>
        <w:t>Compensation</w:t>
      </w:r>
    </w:p>
    <w:p>
      <w:pPr>
        <w:spacing w:after="0" w:line="194" w:lineRule="exact"/>
        <w:rPr>
          <w:sz w:val="20"/>
          <w:szCs w:val="20"/>
          <w:color w:val="auto"/>
        </w:rPr>
      </w:pPr>
    </w:p>
    <w:p>
      <w:pPr>
        <w:ind w:left="2944"/>
        <w:spacing w:after="0"/>
        <w:rPr>
          <w:sz w:val="20"/>
          <w:szCs w:val="20"/>
          <w:color w:val="auto"/>
        </w:rPr>
      </w:pPr>
      <w:r>
        <w:rPr>
          <w:rFonts w:ascii="Arial" w:cs="Arial" w:eastAsia="Arial" w:hAnsi="Arial"/>
          <w:sz w:val="16"/>
          <w:szCs w:val="16"/>
          <w:b w:val="1"/>
          <w:bCs w:val="1"/>
          <w:color w:val="auto"/>
        </w:rPr>
        <w:t>INDEPENDENT DIRECTOR</w:t>
      </w:r>
    </w:p>
    <w:p>
      <w:pPr>
        <w:spacing w:after="0" w:line="194" w:lineRule="exact"/>
        <w:rPr>
          <w:sz w:val="20"/>
          <w:szCs w:val="20"/>
          <w:color w:val="auto"/>
        </w:rPr>
      </w:pPr>
    </w:p>
    <w:p>
      <w:pPr>
        <w:ind w:left="2944"/>
        <w:spacing w:after="0" w:line="251" w:lineRule="auto"/>
        <w:rPr>
          <w:sz w:val="20"/>
          <w:szCs w:val="20"/>
          <w:color w:val="auto"/>
        </w:rPr>
      </w:pPr>
      <w:r>
        <w:rPr>
          <w:rFonts w:ascii="Arial" w:cs="Arial" w:eastAsia="Arial" w:hAnsi="Arial"/>
          <w:sz w:val="16"/>
          <w:szCs w:val="16"/>
          <w:b w:val="1"/>
          <w:bCs w:val="1"/>
          <w:color w:val="auto"/>
        </w:rPr>
        <w:t xml:space="preserve">EXPERIENCE: </w:t>
      </w:r>
      <w:r>
        <w:rPr>
          <w:rFonts w:ascii="Arial" w:cs="Arial" w:eastAsia="Arial" w:hAnsi="Arial"/>
          <w:sz w:val="16"/>
          <w:szCs w:val="16"/>
          <w:color w:val="auto"/>
        </w:rPr>
        <w:t>Mr. Seibel has served as a member of our board of directors since</w:t>
      </w:r>
      <w:r>
        <w:rPr>
          <w:rFonts w:ascii="Arial" w:cs="Arial" w:eastAsia="Arial" w:hAnsi="Arial"/>
          <w:sz w:val="16"/>
          <w:szCs w:val="16"/>
          <w:b w:val="1"/>
          <w:bCs w:val="1"/>
          <w:color w:val="auto"/>
        </w:rPr>
        <w:t xml:space="preserve"> </w:t>
      </w:r>
      <w:r>
        <w:rPr>
          <w:rFonts w:ascii="Arial" w:cs="Arial" w:eastAsia="Arial" w:hAnsi="Arial"/>
          <w:sz w:val="16"/>
          <w:szCs w:val="16"/>
          <w:color w:val="auto"/>
        </w:rPr>
        <w:t>December 2020. Mr. Seibel has served as a Partner at Y Combinator, an accelerator and investment company for early-stage technology companies since October 2014 and is also currently the Managing Director of YC Early Stage. From February 2012 to August 2012, Mr. Seibel served as Chief Executive Officer of Socialcam, Inc., a social media company, and from June 2007 to October 2011, Mr. Seibel served as Chief Executive Officer of Justin.tv (now known as Twitch.tv), an online video broadcasting company. Mr. Seibel holds a B.A. in Political Science from Yale University. Mr. Seibel was selected to serve on our board of directors because of his financial and managerial experience.</w:t>
      </w:r>
    </w:p>
    <w:p>
      <w:pPr>
        <w:spacing w:after="0" w:line="200" w:lineRule="exact"/>
        <w:rPr>
          <w:sz w:val="20"/>
          <w:szCs w:val="20"/>
          <w:color w:val="auto"/>
        </w:rPr>
      </w:pPr>
    </w:p>
    <w:p>
      <w:pPr>
        <w:spacing w:after="0" w:line="368" w:lineRule="exact"/>
        <w:rPr>
          <w:sz w:val="20"/>
          <w:szCs w:val="20"/>
          <w:color w:val="auto"/>
        </w:rPr>
      </w:pPr>
    </w:p>
    <w:p>
      <w:pPr>
        <w:ind w:left="524" w:hanging="524"/>
        <w:spacing w:after="0"/>
        <w:tabs>
          <w:tab w:leader="none" w:pos="524" w:val="left"/>
        </w:tabs>
        <w:numPr>
          <w:ilvl w:val="0"/>
          <w:numId w:val="21"/>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484"/>
          </w:cols>
          <w:pgMar w:left="1156" w:top="263" w:right="1259" w:bottom="1440" w:gutter="0" w:footer="0" w:header="0"/>
        </w:sectPr>
      </w:pPr>
    </w:p>
    <w:bookmarkStart w:id="14" w:name="page15"/>
    <w:bookmarkEnd w:id="14"/>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34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53"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Director Independence</w:t>
      </w:r>
    </w:p>
    <w:p>
      <w:pPr>
        <w:spacing w:after="0" w:line="179" w:lineRule="exact"/>
        <w:rPr>
          <w:sz w:val="20"/>
          <w:szCs w:val="20"/>
          <w:color w:val="auto"/>
        </w:rPr>
      </w:pPr>
    </w:p>
    <w:p>
      <w:pPr>
        <w:ind w:left="720" w:right="1040"/>
        <w:spacing w:after="0" w:line="256" w:lineRule="auto"/>
        <w:rPr>
          <w:sz w:val="20"/>
          <w:szCs w:val="20"/>
          <w:color w:val="auto"/>
        </w:rPr>
      </w:pPr>
      <w:r>
        <w:rPr>
          <w:rFonts w:ascii="Arial" w:cs="Arial" w:eastAsia="Arial" w:hAnsi="Arial"/>
          <w:sz w:val="16"/>
          <w:szCs w:val="16"/>
          <w:color w:val="auto"/>
        </w:rPr>
        <w:t>Under the listing rules of Nasdaq, independent directors must comprise a majority of a listed company’s board of directors. In addition, Nasdaq rules require that, subject to specified exceptions, each member of a listed company’s audit, compensation, and nominating and corporate governance committees be independent. Under Nasdaq rules, a director will only qualify as an “independent director” if, in the opinion of the company’s board of directors, the director does not have a relationship that would interfere with the exercise of independent judgment in carrying out the responsibilities of a director.</w:t>
      </w:r>
    </w:p>
    <w:p>
      <w:pPr>
        <w:spacing w:after="0" w:line="126" w:lineRule="exact"/>
        <w:rPr>
          <w:sz w:val="20"/>
          <w:szCs w:val="20"/>
          <w:color w:val="auto"/>
        </w:rPr>
      </w:pPr>
    </w:p>
    <w:p>
      <w:pPr>
        <w:ind w:left="720" w:right="760"/>
        <w:spacing w:after="0" w:line="250" w:lineRule="auto"/>
        <w:rPr>
          <w:sz w:val="20"/>
          <w:szCs w:val="20"/>
          <w:color w:val="auto"/>
        </w:rPr>
      </w:pPr>
      <w:r>
        <w:rPr>
          <w:rFonts w:ascii="Arial" w:cs="Arial" w:eastAsia="Arial" w:hAnsi="Arial"/>
          <w:sz w:val="16"/>
          <w:szCs w:val="16"/>
          <w:color w:val="auto"/>
        </w:rPr>
        <w:t>Our board of directors has undertaken a review of the independence of each director. Based on information provided by each director concerning his or her background, employment, and affiliations, our board of directors has determined that Dr. Jacobs, Messrs. Blair, Parasnis and Seibel, and Mss. Campbell, Mathew and Peacock do not have a relationship that would interfere with the exercise of independent judgment in carrying out the responsibilities of a director and that each of these directors is “independent” as that term is defined under Nasdaq listing rules. In making these determinations, our board of directors considered the current and prior relationships that each non-employee director has with our company and all other facts and circumstances our board of directors deemed relevant in determining their independence, including the beneficial ownership of our capital stock by each non-employee director, and the transactions involving them, if any, described in the section titled “</w:t>
      </w:r>
      <w:r>
        <w:rPr>
          <w:rFonts w:ascii="Arial" w:cs="Arial" w:eastAsia="Arial" w:hAnsi="Arial"/>
          <w:sz w:val="16"/>
          <w:szCs w:val="16"/>
          <w:i w:val="1"/>
          <w:iCs w:val="1"/>
          <w:color w:val="auto"/>
        </w:rPr>
        <w:t>Certain Relationships and Related Party</w:t>
      </w:r>
      <w:r>
        <w:rPr>
          <w:rFonts w:ascii="Arial" w:cs="Arial" w:eastAsia="Arial" w:hAnsi="Arial"/>
          <w:sz w:val="16"/>
          <w:szCs w:val="16"/>
          <w:color w:val="auto"/>
        </w:rPr>
        <w:t xml:space="preserve"> </w:t>
      </w:r>
      <w:r>
        <w:rPr>
          <w:rFonts w:ascii="Arial" w:cs="Arial" w:eastAsia="Arial" w:hAnsi="Arial"/>
          <w:sz w:val="16"/>
          <w:szCs w:val="16"/>
          <w:i w:val="1"/>
          <w:iCs w:val="1"/>
          <w:color w:val="auto"/>
        </w:rPr>
        <w:t>Transactions</w:t>
      </w:r>
      <w:r>
        <w:rPr>
          <w:rFonts w:ascii="Arial" w:cs="Arial" w:eastAsia="Arial" w:hAnsi="Arial"/>
          <w:sz w:val="16"/>
          <w:szCs w:val="16"/>
          <w:color w:val="auto"/>
        </w:rPr>
        <w:t>.” In addition, the board of directors determined that Mr. Mylod, who served as a director until his resignation in July</w:t>
      </w:r>
      <w:r>
        <w:rPr>
          <w:rFonts w:ascii="Arial" w:cs="Arial" w:eastAsia="Arial" w:hAnsi="Arial"/>
          <w:sz w:val="16"/>
          <w:szCs w:val="16"/>
          <w:i w:val="1"/>
          <w:iCs w:val="1"/>
          <w:color w:val="auto"/>
        </w:rPr>
        <w:t xml:space="preserve"> </w:t>
      </w:r>
      <w:r>
        <w:rPr>
          <w:rFonts w:ascii="Arial" w:cs="Arial" w:eastAsia="Arial" w:hAnsi="Arial"/>
          <w:sz w:val="16"/>
          <w:szCs w:val="16"/>
          <w:color w:val="auto"/>
        </w:rPr>
        <w:t>2021, and Dr. Rice, who served as a director until our 2021 annual stockholder meeting at which she did not stand for re-election as a member of our board of directors in May 2021, were independent during the 2021 fiscal year.</w:t>
      </w:r>
    </w:p>
    <w:p>
      <w:pPr>
        <w:spacing w:after="0" w:line="330"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Board Leadership Structure and Role of the Lead Independent Director</w:t>
      </w:r>
    </w:p>
    <w:p>
      <w:pPr>
        <w:spacing w:after="0" w:line="179" w:lineRule="exact"/>
        <w:rPr>
          <w:sz w:val="20"/>
          <w:szCs w:val="20"/>
          <w:color w:val="auto"/>
        </w:rPr>
      </w:pPr>
    </w:p>
    <w:p>
      <w:pPr>
        <w:ind w:left="720" w:right="1100"/>
        <w:spacing w:after="0" w:line="286" w:lineRule="auto"/>
        <w:rPr>
          <w:sz w:val="20"/>
          <w:szCs w:val="20"/>
          <w:color w:val="auto"/>
        </w:rPr>
      </w:pPr>
      <w:r>
        <w:rPr>
          <w:rFonts w:ascii="Arial" w:cs="Arial" w:eastAsia="Arial" w:hAnsi="Arial"/>
          <w:sz w:val="16"/>
          <w:szCs w:val="16"/>
          <w:color w:val="auto"/>
        </w:rPr>
        <w:t>Mr. Houston currently serves as both the chairman of our board of directors and as our chief executive officer. As our co-founder, Mr. Houston is best positioned to identify strategic priorities, lead critical discussion, and execute our business plans.</w:t>
      </w:r>
    </w:p>
    <w:p>
      <w:pPr>
        <w:spacing w:after="0" w:line="102" w:lineRule="exact"/>
        <w:rPr>
          <w:sz w:val="20"/>
          <w:szCs w:val="20"/>
          <w:color w:val="auto"/>
        </w:rPr>
      </w:pPr>
    </w:p>
    <w:p>
      <w:pPr>
        <w:ind w:left="720" w:right="740"/>
        <w:spacing w:after="0" w:line="252" w:lineRule="auto"/>
        <w:rPr>
          <w:sz w:val="20"/>
          <w:szCs w:val="20"/>
          <w:color w:val="auto"/>
        </w:rPr>
      </w:pPr>
      <w:r>
        <w:rPr>
          <w:rFonts w:ascii="Arial" w:cs="Arial" w:eastAsia="Arial" w:hAnsi="Arial"/>
          <w:sz w:val="16"/>
          <w:szCs w:val="16"/>
          <w:color w:val="auto"/>
        </w:rPr>
        <w:t>Our board of directors has adopted Corporate Governance Guidelines that provide that one of our independent directors should serve as our lead independent director at any time when the chairman of our board of directors is not independent, including when our chief executive officer serves as the chairman of our board of directors. Because Mr. Houston is our chairman and is not an “independent” director as defined in Nasdaq’s listing rules, our board of directors has determined that it is advisable and in the best interests of stockholders to have a lead independent director to, among other things, preside over meetings of the independent directors and help set the agenda for Board meetings. Mr. Blair has served as our lead independent director since March 2020. As our lead independent director, Mr. Blair presides over periodic meetings of our independent directors, serves as a liaison between Mr. Houston and our independent directors, and performs such additional duties as our board of directors may otherwise determine and delegate.</w:t>
      </w:r>
    </w:p>
    <w:p>
      <w:pPr>
        <w:spacing w:after="0" w:line="129" w:lineRule="exact"/>
        <w:rPr>
          <w:sz w:val="20"/>
          <w:szCs w:val="20"/>
          <w:color w:val="auto"/>
        </w:rPr>
      </w:pPr>
    </w:p>
    <w:p>
      <w:pPr>
        <w:ind w:left="720" w:right="920"/>
        <w:spacing w:after="0" w:line="259" w:lineRule="auto"/>
        <w:rPr>
          <w:sz w:val="20"/>
          <w:szCs w:val="20"/>
          <w:color w:val="auto"/>
        </w:rPr>
      </w:pPr>
      <w:r>
        <w:rPr>
          <w:rFonts w:ascii="Arial" w:cs="Arial" w:eastAsia="Arial" w:hAnsi="Arial"/>
          <w:sz w:val="16"/>
          <w:szCs w:val="16"/>
          <w:color w:val="auto"/>
        </w:rPr>
        <w:t>Only independent directors serve on the audit committee, the compensation committee, and the nominating and corporate governance committee of our board of directors. Our independent directors meet at least quarterly in executive sessions chaired by the lead independent director, which include discussions and recommendations regarding guidance to be provided to the chief executive officer, and such topics as the independent directors may determine.</w:t>
      </w:r>
    </w:p>
    <w:p>
      <w:pPr>
        <w:spacing w:after="0" w:line="124" w:lineRule="exact"/>
        <w:rPr>
          <w:sz w:val="20"/>
          <w:szCs w:val="20"/>
          <w:color w:val="auto"/>
        </w:rPr>
      </w:pPr>
    </w:p>
    <w:p>
      <w:pPr>
        <w:ind w:left="720" w:right="760"/>
        <w:spacing w:after="0" w:line="253" w:lineRule="auto"/>
        <w:rPr>
          <w:sz w:val="20"/>
          <w:szCs w:val="20"/>
          <w:color w:val="auto"/>
        </w:rPr>
      </w:pPr>
      <w:r>
        <w:rPr>
          <w:rFonts w:ascii="Arial" w:cs="Arial" w:eastAsia="Arial" w:hAnsi="Arial"/>
          <w:sz w:val="16"/>
          <w:szCs w:val="16"/>
          <w:color w:val="auto"/>
        </w:rPr>
        <w:t>As a result of the board of directors’ committee system and the existence of a majority of independent directors, the board of directors believes it maintains effective oversight of our business operations, including independent oversight of our financial statements, executive compensation, selection of director candidates, and corporate governance programs. We believe that the leadership structure of our board of directors, including Mr. Blair’s role as lead independent director, as well as the strong independent committees of our board of directors is appropriate and enhances our board of directors’ ability to effectively carry out its roles and responsibilities on behalf of our stockholders, while Mr. Houston’s combined role enables strong leadership, creates clear accountability and enhances our ability to communicate our message and strategy clearly and consistently to stockholders.</w:t>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4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080" w:type="dxa"/>
            <w:vAlign w:val="bottom"/>
          </w:tcPr>
          <w:p>
            <w:pPr>
              <w:jc w:val="right"/>
              <w:ind w:right="648"/>
              <w:spacing w:after="0"/>
              <w:rPr>
                <w:sz w:val="20"/>
                <w:szCs w:val="20"/>
                <w:color w:val="auto"/>
              </w:rPr>
            </w:pPr>
            <w:r>
              <w:rPr>
                <w:rFonts w:ascii="Arial" w:cs="Arial" w:eastAsia="Arial" w:hAnsi="Arial"/>
                <w:sz w:val="14"/>
                <w:szCs w:val="14"/>
                <w:b w:val="1"/>
                <w:bCs w:val="1"/>
                <w:color w:val="auto"/>
              </w:rPr>
              <w:t>11</w:t>
            </w:r>
          </w:p>
        </w:tc>
      </w:tr>
      <w:tr>
        <w:trPr>
          <w:trHeight w:val="171"/>
        </w:trPr>
        <w:tc>
          <w:tcPr>
            <w:tcW w:w="9940" w:type="dxa"/>
            <w:vAlign w:val="bottom"/>
            <w:tcBorders>
              <w:bottom w:val="single" w:sz="8" w:color="auto"/>
            </w:tcBorders>
          </w:tcPr>
          <w:p>
            <w:pPr>
              <w:spacing w:after="0"/>
              <w:rPr>
                <w:sz w:val="14"/>
                <w:szCs w:val="14"/>
                <w:color w:val="auto"/>
              </w:rPr>
            </w:pPr>
          </w:p>
        </w:tc>
        <w:tc>
          <w:tcPr>
            <w:tcW w:w="108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15" w:name="page16"/>
    <w:bookmarkEnd w:id="15"/>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right="60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53" w:lineRule="exact"/>
        <w:rPr>
          <w:sz w:val="20"/>
          <w:szCs w:val="20"/>
          <w:color w:val="auto"/>
        </w:rPr>
      </w:pPr>
    </w:p>
    <w:p>
      <w:pPr>
        <w:ind w:left="4"/>
        <w:spacing w:after="0"/>
        <w:rPr>
          <w:sz w:val="20"/>
          <w:szCs w:val="20"/>
          <w:color w:val="auto"/>
        </w:rPr>
      </w:pPr>
      <w:r>
        <w:rPr>
          <w:rFonts w:ascii="Arial" w:cs="Arial" w:eastAsia="Arial" w:hAnsi="Arial"/>
          <w:sz w:val="26"/>
          <w:szCs w:val="26"/>
          <w:color w:val="0063A6"/>
        </w:rPr>
        <w:t>Board Committees</w:t>
      </w:r>
    </w:p>
    <w:p>
      <w:pPr>
        <w:spacing w:after="0" w:line="179" w:lineRule="exact"/>
        <w:rPr>
          <w:sz w:val="20"/>
          <w:szCs w:val="20"/>
          <w:color w:val="auto"/>
        </w:rPr>
      </w:pPr>
    </w:p>
    <w:p>
      <w:pPr>
        <w:jc w:val="both"/>
        <w:ind w:left="4" w:right="40"/>
        <w:spacing w:after="0" w:line="266" w:lineRule="auto"/>
        <w:rPr>
          <w:sz w:val="20"/>
          <w:szCs w:val="20"/>
          <w:color w:val="auto"/>
        </w:rPr>
      </w:pPr>
      <w:r>
        <w:rPr>
          <w:rFonts w:ascii="Arial" w:cs="Arial" w:eastAsia="Arial" w:hAnsi="Arial"/>
          <w:sz w:val="16"/>
          <w:szCs w:val="16"/>
          <w:color w:val="auto"/>
        </w:rPr>
        <w:t>Our board of directors has established an audit committee, a compensation committee, and a nominating and corporate governance committee. The composition and responsibilities of each of the committees of our board of directors is described below. Members will serve on these committees until their resignation or until as otherwise determined by our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83185</wp:posOffset>
            </wp:positionV>
            <wp:extent cx="6077585" cy="23914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077585" cy="2391410"/>
                    </a:xfrm>
                    <a:prstGeom prst="rect">
                      <a:avLst/>
                    </a:prstGeom>
                    <a:noFill/>
                  </pic:spPr>
                </pic:pic>
              </a:graphicData>
            </a:graphic>
          </wp:anchor>
        </w:drawing>
      </w:r>
    </w:p>
    <w:p>
      <w:pPr>
        <w:spacing w:after="0" w:line="111" w:lineRule="exact"/>
        <w:rPr>
          <w:sz w:val="20"/>
          <w:szCs w:val="20"/>
          <w:color w:val="auto"/>
        </w:rPr>
      </w:pPr>
    </w:p>
    <w:tbl>
      <w:tblPr>
        <w:tblLayout w:type="fixed"/>
        <w:tblInd w:w="4" w:type="dxa"/>
        <w:tblCellMar>
          <w:top w:w="0" w:type="dxa"/>
          <w:left w:w="0" w:type="dxa"/>
          <w:bottom w:w="0" w:type="dxa"/>
          <w:right w:w="0" w:type="dxa"/>
        </w:tblCellMar>
      </w:tblPr>
      <w:tr>
        <w:trPr>
          <w:trHeight w:val="261"/>
        </w:trPr>
        <w:tc>
          <w:tcPr>
            <w:tcW w:w="2640" w:type="dxa"/>
            <w:vAlign w:val="bottom"/>
            <w:shd w:val="clear" w:color="auto" w:fill="0063A6"/>
          </w:tcPr>
          <w:p>
            <w:pPr>
              <w:spacing w:after="0"/>
              <w:rPr>
                <w:sz w:val="22"/>
                <w:szCs w:val="22"/>
                <w:color w:val="auto"/>
              </w:rPr>
            </w:pPr>
          </w:p>
        </w:tc>
        <w:tc>
          <w:tcPr>
            <w:tcW w:w="2300" w:type="dxa"/>
            <w:vAlign w:val="bottom"/>
            <w:shd w:val="clear" w:color="auto" w:fill="0063A6"/>
          </w:tcPr>
          <w:p>
            <w:pPr>
              <w:spacing w:after="0"/>
              <w:rPr>
                <w:sz w:val="22"/>
                <w:szCs w:val="22"/>
                <w:color w:val="auto"/>
              </w:rPr>
            </w:pPr>
          </w:p>
        </w:tc>
        <w:tc>
          <w:tcPr>
            <w:tcW w:w="2200" w:type="dxa"/>
            <w:vAlign w:val="bottom"/>
            <w:shd w:val="clear" w:color="auto" w:fill="0063A6"/>
          </w:tcPr>
          <w:p>
            <w:pPr>
              <w:spacing w:after="0"/>
              <w:rPr>
                <w:sz w:val="22"/>
                <w:szCs w:val="22"/>
                <w:color w:val="auto"/>
              </w:rPr>
            </w:pPr>
          </w:p>
        </w:tc>
        <w:tc>
          <w:tcPr>
            <w:tcW w:w="2420" w:type="dxa"/>
            <w:vAlign w:val="bottom"/>
            <w:shd w:val="clear" w:color="auto" w:fill="0063A6"/>
          </w:tcPr>
          <w:p>
            <w:pPr>
              <w:jc w:val="center"/>
              <w:ind w:left="45"/>
              <w:spacing w:after="0"/>
              <w:rPr>
                <w:sz w:val="20"/>
                <w:szCs w:val="20"/>
                <w:color w:val="auto"/>
              </w:rPr>
            </w:pPr>
            <w:r>
              <w:rPr>
                <w:rFonts w:ascii="Arial" w:cs="Arial" w:eastAsia="Arial" w:hAnsi="Arial"/>
                <w:sz w:val="14"/>
                <w:szCs w:val="14"/>
                <w:b w:val="1"/>
                <w:bCs w:val="1"/>
                <w:color w:val="FFFFFF"/>
              </w:rPr>
              <w:t>Nominating and Corporate</w:t>
            </w:r>
          </w:p>
        </w:tc>
      </w:tr>
      <w:tr>
        <w:trPr>
          <w:trHeight w:val="219"/>
        </w:trPr>
        <w:tc>
          <w:tcPr>
            <w:tcW w:w="2640" w:type="dxa"/>
            <w:vAlign w:val="bottom"/>
            <w:tcBorders>
              <w:bottom w:val="single" w:sz="8" w:color="0063A6"/>
            </w:tcBorders>
            <w:shd w:val="clear" w:color="auto" w:fill="0063A6"/>
          </w:tcPr>
          <w:p>
            <w:pPr>
              <w:ind w:left="880"/>
              <w:spacing w:after="0"/>
              <w:rPr>
                <w:sz w:val="20"/>
                <w:szCs w:val="20"/>
                <w:color w:val="auto"/>
              </w:rPr>
            </w:pPr>
            <w:r>
              <w:rPr>
                <w:rFonts w:ascii="Arial" w:cs="Arial" w:eastAsia="Arial" w:hAnsi="Arial"/>
                <w:sz w:val="14"/>
                <w:szCs w:val="14"/>
                <w:b w:val="1"/>
                <w:bCs w:val="1"/>
                <w:color w:val="FFFFFF"/>
              </w:rPr>
              <w:t>Director</w:t>
            </w:r>
          </w:p>
        </w:tc>
        <w:tc>
          <w:tcPr>
            <w:tcW w:w="2300" w:type="dxa"/>
            <w:vAlign w:val="bottom"/>
            <w:tcBorders>
              <w:bottom w:val="single" w:sz="8" w:color="0063A6"/>
            </w:tcBorders>
            <w:shd w:val="clear" w:color="auto" w:fill="0063A6"/>
          </w:tcPr>
          <w:p>
            <w:pPr>
              <w:jc w:val="center"/>
              <w:ind w:right="302"/>
              <w:spacing w:after="0"/>
              <w:rPr>
                <w:sz w:val="20"/>
                <w:szCs w:val="20"/>
                <w:color w:val="auto"/>
              </w:rPr>
            </w:pPr>
            <w:r>
              <w:rPr>
                <w:rFonts w:ascii="Arial" w:cs="Arial" w:eastAsia="Arial" w:hAnsi="Arial"/>
                <w:sz w:val="14"/>
                <w:szCs w:val="14"/>
                <w:b w:val="1"/>
                <w:bCs w:val="1"/>
                <w:color w:val="FFFFFF"/>
              </w:rPr>
              <w:t>Audit</w:t>
            </w:r>
          </w:p>
        </w:tc>
        <w:tc>
          <w:tcPr>
            <w:tcW w:w="2200" w:type="dxa"/>
            <w:vAlign w:val="bottom"/>
            <w:tcBorders>
              <w:bottom w:val="single" w:sz="8" w:color="0063A6"/>
            </w:tcBorders>
            <w:shd w:val="clear" w:color="auto" w:fill="0063A6"/>
          </w:tcPr>
          <w:p>
            <w:pPr>
              <w:jc w:val="center"/>
              <w:spacing w:after="0"/>
              <w:rPr>
                <w:sz w:val="20"/>
                <w:szCs w:val="20"/>
                <w:color w:val="auto"/>
              </w:rPr>
            </w:pPr>
            <w:r>
              <w:rPr>
                <w:rFonts w:ascii="Arial" w:cs="Arial" w:eastAsia="Arial" w:hAnsi="Arial"/>
                <w:sz w:val="14"/>
                <w:szCs w:val="14"/>
                <w:b w:val="1"/>
                <w:bCs w:val="1"/>
                <w:color w:val="FFFFFF"/>
              </w:rPr>
              <w:t>Compensation</w:t>
            </w:r>
          </w:p>
        </w:tc>
        <w:tc>
          <w:tcPr>
            <w:tcW w:w="2420" w:type="dxa"/>
            <w:vAlign w:val="bottom"/>
            <w:tcBorders>
              <w:bottom w:val="single" w:sz="8" w:color="0063A6"/>
            </w:tcBorders>
            <w:shd w:val="clear" w:color="auto" w:fill="0063A6"/>
          </w:tcPr>
          <w:p>
            <w:pPr>
              <w:jc w:val="center"/>
              <w:ind w:left="85"/>
              <w:spacing w:after="0"/>
              <w:rPr>
                <w:sz w:val="20"/>
                <w:szCs w:val="20"/>
                <w:color w:val="auto"/>
              </w:rPr>
            </w:pPr>
            <w:r>
              <w:rPr>
                <w:rFonts w:ascii="Arial" w:cs="Arial" w:eastAsia="Arial" w:hAnsi="Arial"/>
                <w:sz w:val="14"/>
                <w:szCs w:val="14"/>
                <w:b w:val="1"/>
                <w:bCs w:val="1"/>
                <w:color w:val="FFFFFF"/>
              </w:rPr>
              <w:t>Governance</w:t>
            </w:r>
          </w:p>
        </w:tc>
      </w:tr>
      <w:tr>
        <w:trPr>
          <w:trHeight w:val="304"/>
        </w:trPr>
        <w:tc>
          <w:tcPr>
            <w:tcW w:w="2640" w:type="dxa"/>
            <w:vAlign w:val="bottom"/>
            <w:tcBorders>
              <w:bottom w:val="single" w:sz="8" w:color="F2F2F2"/>
            </w:tcBorders>
            <w:shd w:val="clear" w:color="auto" w:fill="F2F2F2"/>
          </w:tcPr>
          <w:p>
            <w:pPr>
              <w:ind w:left="80"/>
              <w:spacing w:after="0"/>
              <w:rPr>
                <w:sz w:val="20"/>
                <w:szCs w:val="20"/>
                <w:color w:val="auto"/>
              </w:rPr>
            </w:pPr>
            <w:r>
              <w:rPr>
                <w:rFonts w:ascii="Arial" w:cs="Arial" w:eastAsia="Arial" w:hAnsi="Arial"/>
                <w:sz w:val="16"/>
                <w:szCs w:val="16"/>
                <w:b w:val="1"/>
                <w:bCs w:val="1"/>
                <w:color w:val="auto"/>
              </w:rPr>
              <w:t>Andrew W. Houston</w:t>
            </w:r>
          </w:p>
        </w:tc>
        <w:tc>
          <w:tcPr>
            <w:tcW w:w="2300" w:type="dxa"/>
            <w:vAlign w:val="bottom"/>
            <w:tcBorders>
              <w:bottom w:val="single" w:sz="8" w:color="F2F2F2"/>
            </w:tcBorders>
            <w:shd w:val="clear" w:color="auto" w:fill="F2F2F2"/>
          </w:tcPr>
          <w:p>
            <w:pPr>
              <w:spacing w:after="0"/>
              <w:rPr>
                <w:sz w:val="24"/>
                <w:szCs w:val="24"/>
                <w:color w:val="auto"/>
              </w:rPr>
            </w:pPr>
          </w:p>
        </w:tc>
        <w:tc>
          <w:tcPr>
            <w:tcW w:w="2200" w:type="dxa"/>
            <w:vAlign w:val="bottom"/>
            <w:tcBorders>
              <w:bottom w:val="single" w:sz="8" w:color="F2F2F2"/>
            </w:tcBorders>
            <w:shd w:val="clear" w:color="auto" w:fill="F2F2F2"/>
          </w:tcPr>
          <w:p>
            <w:pPr>
              <w:spacing w:after="0"/>
              <w:rPr>
                <w:sz w:val="24"/>
                <w:szCs w:val="24"/>
                <w:color w:val="auto"/>
              </w:rPr>
            </w:pPr>
          </w:p>
        </w:tc>
        <w:tc>
          <w:tcPr>
            <w:tcW w:w="2420" w:type="dxa"/>
            <w:vAlign w:val="bottom"/>
            <w:tcBorders>
              <w:bottom w:val="single" w:sz="8" w:color="F2F2F2"/>
            </w:tcBorders>
            <w:shd w:val="clear" w:color="auto" w:fill="F2F2F2"/>
          </w:tcPr>
          <w:p>
            <w:pPr>
              <w:spacing w:after="0"/>
              <w:rPr>
                <w:sz w:val="24"/>
                <w:szCs w:val="24"/>
                <w:color w:val="auto"/>
              </w:rPr>
            </w:pPr>
          </w:p>
        </w:tc>
      </w:tr>
      <w:tr>
        <w:trPr>
          <w:trHeight w:val="276"/>
        </w:trPr>
        <w:tc>
          <w:tcPr>
            <w:tcW w:w="2640" w:type="dxa"/>
            <w:vAlign w:val="bottom"/>
          </w:tcPr>
          <w:p>
            <w:pPr>
              <w:ind w:left="80"/>
              <w:spacing w:after="0"/>
              <w:rPr>
                <w:sz w:val="20"/>
                <w:szCs w:val="20"/>
                <w:color w:val="auto"/>
              </w:rPr>
            </w:pPr>
            <w:r>
              <w:rPr>
                <w:rFonts w:ascii="Arial" w:cs="Arial" w:eastAsia="Arial" w:hAnsi="Arial"/>
                <w:sz w:val="16"/>
                <w:szCs w:val="16"/>
                <w:b w:val="1"/>
                <w:bCs w:val="1"/>
                <w:color w:val="auto"/>
              </w:rPr>
              <w:t>Donald W. Blair</w:t>
            </w:r>
          </w:p>
        </w:tc>
        <w:tc>
          <w:tcPr>
            <w:tcW w:w="230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2420" w:type="dxa"/>
            <w:vAlign w:val="bottom"/>
          </w:tcPr>
          <w:p>
            <w:pPr>
              <w:spacing w:after="0"/>
              <w:rPr>
                <w:sz w:val="24"/>
                <w:szCs w:val="24"/>
                <w:color w:val="auto"/>
              </w:rPr>
            </w:pPr>
          </w:p>
        </w:tc>
      </w:tr>
      <w:tr>
        <w:trPr>
          <w:trHeight w:val="48"/>
        </w:trPr>
        <w:tc>
          <w:tcPr>
            <w:tcW w:w="2640" w:type="dxa"/>
            <w:vAlign w:val="bottom"/>
          </w:tcPr>
          <w:p>
            <w:pPr>
              <w:spacing w:after="0"/>
              <w:rPr>
                <w:sz w:val="4"/>
                <w:szCs w:val="4"/>
                <w:color w:val="auto"/>
              </w:rPr>
            </w:pPr>
          </w:p>
        </w:tc>
        <w:tc>
          <w:tcPr>
            <w:tcW w:w="2300" w:type="dxa"/>
            <w:vAlign w:val="bottom"/>
          </w:tcPr>
          <w:p>
            <w:pPr>
              <w:spacing w:after="0"/>
              <w:rPr>
                <w:sz w:val="4"/>
                <w:szCs w:val="4"/>
                <w:color w:val="auto"/>
              </w:rPr>
            </w:pPr>
          </w:p>
        </w:tc>
        <w:tc>
          <w:tcPr>
            <w:tcW w:w="2200" w:type="dxa"/>
            <w:vAlign w:val="bottom"/>
          </w:tcPr>
          <w:p>
            <w:pPr>
              <w:spacing w:after="0"/>
              <w:rPr>
                <w:sz w:val="4"/>
                <w:szCs w:val="4"/>
                <w:color w:val="auto"/>
              </w:rPr>
            </w:pPr>
          </w:p>
        </w:tc>
        <w:tc>
          <w:tcPr>
            <w:tcW w:w="2420" w:type="dxa"/>
            <w:vAlign w:val="bottom"/>
          </w:tcPr>
          <w:p>
            <w:pPr>
              <w:spacing w:after="0"/>
              <w:rPr>
                <w:sz w:val="4"/>
                <w:szCs w:val="4"/>
                <w:color w:val="auto"/>
              </w:rPr>
            </w:pPr>
          </w:p>
        </w:tc>
      </w:tr>
      <w:tr>
        <w:trPr>
          <w:trHeight w:val="304"/>
        </w:trPr>
        <w:tc>
          <w:tcPr>
            <w:tcW w:w="2640" w:type="dxa"/>
            <w:vAlign w:val="bottom"/>
            <w:tcBorders>
              <w:bottom w:val="single" w:sz="8" w:color="F2F2F2"/>
            </w:tcBorders>
            <w:shd w:val="clear" w:color="auto" w:fill="F2F2F2"/>
          </w:tcPr>
          <w:p>
            <w:pPr>
              <w:ind w:left="80"/>
              <w:spacing w:after="0"/>
              <w:rPr>
                <w:sz w:val="20"/>
                <w:szCs w:val="20"/>
                <w:color w:val="auto"/>
              </w:rPr>
            </w:pPr>
            <w:r>
              <w:rPr>
                <w:rFonts w:ascii="Arial" w:cs="Arial" w:eastAsia="Arial" w:hAnsi="Arial"/>
                <w:sz w:val="16"/>
                <w:szCs w:val="16"/>
                <w:b w:val="1"/>
                <w:bCs w:val="1"/>
                <w:color w:val="auto"/>
              </w:rPr>
              <w:t>Lisa Campbell</w:t>
            </w:r>
          </w:p>
        </w:tc>
        <w:tc>
          <w:tcPr>
            <w:tcW w:w="2300" w:type="dxa"/>
            <w:vAlign w:val="bottom"/>
            <w:tcBorders>
              <w:bottom w:val="single" w:sz="8" w:color="F2F2F2"/>
            </w:tcBorders>
            <w:shd w:val="clear" w:color="auto" w:fill="F2F2F2"/>
          </w:tcPr>
          <w:p>
            <w:pPr>
              <w:spacing w:after="0"/>
              <w:rPr>
                <w:sz w:val="24"/>
                <w:szCs w:val="24"/>
                <w:color w:val="auto"/>
              </w:rPr>
            </w:pPr>
          </w:p>
        </w:tc>
        <w:tc>
          <w:tcPr>
            <w:tcW w:w="2200" w:type="dxa"/>
            <w:vAlign w:val="bottom"/>
            <w:tcBorders>
              <w:bottom w:val="single" w:sz="8" w:color="F2F2F2"/>
            </w:tcBorders>
            <w:shd w:val="clear" w:color="auto" w:fill="F2F2F2"/>
          </w:tcPr>
          <w:p>
            <w:pPr>
              <w:spacing w:after="0"/>
              <w:rPr>
                <w:sz w:val="24"/>
                <w:szCs w:val="24"/>
                <w:color w:val="auto"/>
              </w:rPr>
            </w:pPr>
          </w:p>
        </w:tc>
        <w:tc>
          <w:tcPr>
            <w:tcW w:w="2420" w:type="dxa"/>
            <w:vAlign w:val="bottom"/>
            <w:tcBorders>
              <w:bottom w:val="single" w:sz="8" w:color="F2F2F2"/>
            </w:tcBorders>
            <w:shd w:val="clear" w:color="auto" w:fill="F2F2F2"/>
          </w:tcPr>
          <w:p>
            <w:pPr>
              <w:spacing w:after="0"/>
              <w:rPr>
                <w:sz w:val="24"/>
                <w:szCs w:val="24"/>
                <w:color w:val="auto"/>
              </w:rPr>
            </w:pPr>
          </w:p>
        </w:tc>
      </w:tr>
      <w:tr>
        <w:trPr>
          <w:trHeight w:val="276"/>
        </w:trPr>
        <w:tc>
          <w:tcPr>
            <w:tcW w:w="2640" w:type="dxa"/>
            <w:vAlign w:val="bottom"/>
          </w:tcPr>
          <w:p>
            <w:pPr>
              <w:ind w:left="80"/>
              <w:spacing w:after="0"/>
              <w:rPr>
                <w:sz w:val="20"/>
                <w:szCs w:val="20"/>
                <w:color w:val="auto"/>
              </w:rPr>
            </w:pPr>
            <w:r>
              <w:rPr>
                <w:rFonts w:ascii="Arial" w:cs="Arial" w:eastAsia="Arial" w:hAnsi="Arial"/>
                <w:sz w:val="16"/>
                <w:szCs w:val="16"/>
                <w:b w:val="1"/>
                <w:bCs w:val="1"/>
                <w:color w:val="auto"/>
              </w:rPr>
              <w:t>Paul E. Jacobs, Ph.D</w:t>
            </w:r>
          </w:p>
        </w:tc>
        <w:tc>
          <w:tcPr>
            <w:tcW w:w="230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2420" w:type="dxa"/>
            <w:vAlign w:val="bottom"/>
          </w:tcPr>
          <w:p>
            <w:pPr>
              <w:spacing w:after="0"/>
              <w:rPr>
                <w:sz w:val="24"/>
                <w:szCs w:val="24"/>
                <w:color w:val="auto"/>
              </w:rPr>
            </w:pPr>
          </w:p>
        </w:tc>
      </w:tr>
      <w:tr>
        <w:trPr>
          <w:trHeight w:val="48"/>
        </w:trPr>
        <w:tc>
          <w:tcPr>
            <w:tcW w:w="2640" w:type="dxa"/>
            <w:vAlign w:val="bottom"/>
          </w:tcPr>
          <w:p>
            <w:pPr>
              <w:spacing w:after="0"/>
              <w:rPr>
                <w:sz w:val="4"/>
                <w:szCs w:val="4"/>
                <w:color w:val="auto"/>
              </w:rPr>
            </w:pPr>
          </w:p>
        </w:tc>
        <w:tc>
          <w:tcPr>
            <w:tcW w:w="2300" w:type="dxa"/>
            <w:vAlign w:val="bottom"/>
          </w:tcPr>
          <w:p>
            <w:pPr>
              <w:spacing w:after="0"/>
              <w:rPr>
                <w:sz w:val="4"/>
                <w:szCs w:val="4"/>
                <w:color w:val="auto"/>
              </w:rPr>
            </w:pPr>
          </w:p>
        </w:tc>
        <w:tc>
          <w:tcPr>
            <w:tcW w:w="2200" w:type="dxa"/>
            <w:vAlign w:val="bottom"/>
          </w:tcPr>
          <w:p>
            <w:pPr>
              <w:spacing w:after="0"/>
              <w:rPr>
                <w:sz w:val="4"/>
                <w:szCs w:val="4"/>
                <w:color w:val="auto"/>
              </w:rPr>
            </w:pPr>
          </w:p>
        </w:tc>
        <w:tc>
          <w:tcPr>
            <w:tcW w:w="2420" w:type="dxa"/>
            <w:vAlign w:val="bottom"/>
          </w:tcPr>
          <w:p>
            <w:pPr>
              <w:spacing w:after="0"/>
              <w:rPr>
                <w:sz w:val="4"/>
                <w:szCs w:val="4"/>
                <w:color w:val="auto"/>
              </w:rPr>
            </w:pPr>
          </w:p>
        </w:tc>
      </w:tr>
      <w:tr>
        <w:trPr>
          <w:trHeight w:val="304"/>
        </w:trPr>
        <w:tc>
          <w:tcPr>
            <w:tcW w:w="2640" w:type="dxa"/>
            <w:vAlign w:val="bottom"/>
            <w:tcBorders>
              <w:bottom w:val="single" w:sz="8" w:color="F2F2F2"/>
            </w:tcBorders>
            <w:shd w:val="clear" w:color="auto" w:fill="F2F2F2"/>
          </w:tcPr>
          <w:p>
            <w:pPr>
              <w:ind w:left="80"/>
              <w:spacing w:after="0"/>
              <w:rPr>
                <w:sz w:val="20"/>
                <w:szCs w:val="20"/>
                <w:color w:val="auto"/>
              </w:rPr>
            </w:pPr>
            <w:r>
              <w:rPr>
                <w:rFonts w:ascii="Arial" w:cs="Arial" w:eastAsia="Arial" w:hAnsi="Arial"/>
                <w:sz w:val="16"/>
                <w:szCs w:val="16"/>
                <w:b w:val="1"/>
                <w:bCs w:val="1"/>
                <w:color w:val="auto"/>
              </w:rPr>
              <w:t>Sara Mathew</w:t>
            </w:r>
          </w:p>
        </w:tc>
        <w:tc>
          <w:tcPr>
            <w:tcW w:w="2300" w:type="dxa"/>
            <w:vAlign w:val="bottom"/>
            <w:tcBorders>
              <w:bottom w:val="single" w:sz="8" w:color="F2F2F2"/>
            </w:tcBorders>
            <w:shd w:val="clear" w:color="auto" w:fill="F2F2F2"/>
          </w:tcPr>
          <w:p>
            <w:pPr>
              <w:spacing w:after="0"/>
              <w:rPr>
                <w:sz w:val="24"/>
                <w:szCs w:val="24"/>
                <w:color w:val="auto"/>
              </w:rPr>
            </w:pPr>
          </w:p>
        </w:tc>
        <w:tc>
          <w:tcPr>
            <w:tcW w:w="2200" w:type="dxa"/>
            <w:vAlign w:val="bottom"/>
            <w:tcBorders>
              <w:bottom w:val="single" w:sz="8" w:color="F2F2F2"/>
            </w:tcBorders>
            <w:shd w:val="clear" w:color="auto" w:fill="F2F2F2"/>
          </w:tcPr>
          <w:p>
            <w:pPr>
              <w:spacing w:after="0"/>
              <w:rPr>
                <w:sz w:val="24"/>
                <w:szCs w:val="24"/>
                <w:color w:val="auto"/>
              </w:rPr>
            </w:pPr>
          </w:p>
        </w:tc>
        <w:tc>
          <w:tcPr>
            <w:tcW w:w="2420" w:type="dxa"/>
            <w:vAlign w:val="bottom"/>
            <w:tcBorders>
              <w:bottom w:val="single" w:sz="8" w:color="F2F2F2"/>
            </w:tcBorders>
            <w:shd w:val="clear" w:color="auto" w:fill="F2F2F2"/>
          </w:tcPr>
          <w:p>
            <w:pPr>
              <w:spacing w:after="0"/>
              <w:rPr>
                <w:sz w:val="24"/>
                <w:szCs w:val="24"/>
                <w:color w:val="auto"/>
              </w:rPr>
            </w:pPr>
          </w:p>
        </w:tc>
      </w:tr>
      <w:tr>
        <w:trPr>
          <w:trHeight w:val="276"/>
        </w:trPr>
        <w:tc>
          <w:tcPr>
            <w:tcW w:w="2640" w:type="dxa"/>
            <w:vAlign w:val="bottom"/>
          </w:tcPr>
          <w:p>
            <w:pPr>
              <w:ind w:left="80"/>
              <w:spacing w:after="0"/>
              <w:rPr>
                <w:sz w:val="20"/>
                <w:szCs w:val="20"/>
                <w:color w:val="auto"/>
              </w:rPr>
            </w:pPr>
            <w:r>
              <w:rPr>
                <w:rFonts w:ascii="Arial" w:cs="Arial" w:eastAsia="Arial" w:hAnsi="Arial"/>
                <w:sz w:val="16"/>
                <w:szCs w:val="16"/>
                <w:b w:val="1"/>
                <w:bCs w:val="1"/>
                <w:color w:val="auto"/>
              </w:rPr>
              <w:t>Abhay Parasnis</w:t>
            </w:r>
          </w:p>
        </w:tc>
        <w:tc>
          <w:tcPr>
            <w:tcW w:w="230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2420" w:type="dxa"/>
            <w:vAlign w:val="bottom"/>
          </w:tcPr>
          <w:p>
            <w:pPr>
              <w:spacing w:after="0"/>
              <w:rPr>
                <w:sz w:val="24"/>
                <w:szCs w:val="24"/>
                <w:color w:val="auto"/>
              </w:rPr>
            </w:pPr>
          </w:p>
        </w:tc>
      </w:tr>
      <w:tr>
        <w:trPr>
          <w:trHeight w:val="48"/>
        </w:trPr>
        <w:tc>
          <w:tcPr>
            <w:tcW w:w="2640" w:type="dxa"/>
            <w:vAlign w:val="bottom"/>
          </w:tcPr>
          <w:p>
            <w:pPr>
              <w:spacing w:after="0"/>
              <w:rPr>
                <w:sz w:val="4"/>
                <w:szCs w:val="4"/>
                <w:color w:val="auto"/>
              </w:rPr>
            </w:pPr>
          </w:p>
        </w:tc>
        <w:tc>
          <w:tcPr>
            <w:tcW w:w="2300" w:type="dxa"/>
            <w:vAlign w:val="bottom"/>
          </w:tcPr>
          <w:p>
            <w:pPr>
              <w:spacing w:after="0"/>
              <w:rPr>
                <w:sz w:val="4"/>
                <w:szCs w:val="4"/>
                <w:color w:val="auto"/>
              </w:rPr>
            </w:pPr>
          </w:p>
        </w:tc>
        <w:tc>
          <w:tcPr>
            <w:tcW w:w="2200" w:type="dxa"/>
            <w:vAlign w:val="bottom"/>
          </w:tcPr>
          <w:p>
            <w:pPr>
              <w:spacing w:after="0"/>
              <w:rPr>
                <w:sz w:val="4"/>
                <w:szCs w:val="4"/>
                <w:color w:val="auto"/>
              </w:rPr>
            </w:pPr>
          </w:p>
        </w:tc>
        <w:tc>
          <w:tcPr>
            <w:tcW w:w="2420" w:type="dxa"/>
            <w:vAlign w:val="bottom"/>
          </w:tcPr>
          <w:p>
            <w:pPr>
              <w:spacing w:after="0"/>
              <w:rPr>
                <w:sz w:val="4"/>
                <w:szCs w:val="4"/>
                <w:color w:val="auto"/>
              </w:rPr>
            </w:pPr>
          </w:p>
        </w:tc>
      </w:tr>
      <w:tr>
        <w:trPr>
          <w:trHeight w:val="304"/>
        </w:trPr>
        <w:tc>
          <w:tcPr>
            <w:tcW w:w="2640" w:type="dxa"/>
            <w:vAlign w:val="bottom"/>
            <w:tcBorders>
              <w:bottom w:val="single" w:sz="8" w:color="F2F2F2"/>
            </w:tcBorders>
            <w:shd w:val="clear" w:color="auto" w:fill="F2F2F2"/>
          </w:tcPr>
          <w:p>
            <w:pPr>
              <w:ind w:left="80"/>
              <w:spacing w:after="0"/>
              <w:rPr>
                <w:sz w:val="20"/>
                <w:szCs w:val="20"/>
                <w:color w:val="auto"/>
              </w:rPr>
            </w:pPr>
            <w:r>
              <w:rPr>
                <w:rFonts w:ascii="Arial" w:cs="Arial" w:eastAsia="Arial" w:hAnsi="Arial"/>
                <w:sz w:val="16"/>
                <w:szCs w:val="16"/>
                <w:b w:val="1"/>
                <w:bCs w:val="1"/>
                <w:color w:val="auto"/>
              </w:rPr>
              <w:t>Karen Peacock</w:t>
            </w:r>
          </w:p>
        </w:tc>
        <w:tc>
          <w:tcPr>
            <w:tcW w:w="2300" w:type="dxa"/>
            <w:vAlign w:val="bottom"/>
            <w:tcBorders>
              <w:bottom w:val="single" w:sz="8" w:color="F2F2F2"/>
            </w:tcBorders>
            <w:shd w:val="clear" w:color="auto" w:fill="F2F2F2"/>
          </w:tcPr>
          <w:p>
            <w:pPr>
              <w:spacing w:after="0"/>
              <w:rPr>
                <w:sz w:val="24"/>
                <w:szCs w:val="24"/>
                <w:color w:val="auto"/>
              </w:rPr>
            </w:pPr>
          </w:p>
        </w:tc>
        <w:tc>
          <w:tcPr>
            <w:tcW w:w="2200" w:type="dxa"/>
            <w:vAlign w:val="bottom"/>
            <w:tcBorders>
              <w:bottom w:val="single" w:sz="8" w:color="F2F2F2"/>
            </w:tcBorders>
            <w:shd w:val="clear" w:color="auto" w:fill="F2F2F2"/>
          </w:tcPr>
          <w:p>
            <w:pPr>
              <w:spacing w:after="0"/>
              <w:rPr>
                <w:sz w:val="24"/>
                <w:szCs w:val="24"/>
                <w:color w:val="auto"/>
              </w:rPr>
            </w:pPr>
          </w:p>
        </w:tc>
        <w:tc>
          <w:tcPr>
            <w:tcW w:w="2420" w:type="dxa"/>
            <w:vAlign w:val="bottom"/>
            <w:tcBorders>
              <w:bottom w:val="single" w:sz="8" w:color="F2F2F2"/>
            </w:tcBorders>
            <w:shd w:val="clear" w:color="auto" w:fill="F2F2F2"/>
          </w:tcPr>
          <w:p>
            <w:pPr>
              <w:spacing w:after="0"/>
              <w:rPr>
                <w:sz w:val="24"/>
                <w:szCs w:val="24"/>
                <w:color w:val="auto"/>
              </w:rPr>
            </w:pPr>
          </w:p>
        </w:tc>
      </w:tr>
      <w:tr>
        <w:trPr>
          <w:trHeight w:val="276"/>
        </w:trPr>
        <w:tc>
          <w:tcPr>
            <w:tcW w:w="2640" w:type="dxa"/>
            <w:vAlign w:val="bottom"/>
          </w:tcPr>
          <w:p>
            <w:pPr>
              <w:ind w:left="80"/>
              <w:spacing w:after="0"/>
              <w:rPr>
                <w:sz w:val="20"/>
                <w:szCs w:val="20"/>
                <w:color w:val="auto"/>
              </w:rPr>
            </w:pPr>
            <w:r>
              <w:rPr>
                <w:rFonts w:ascii="Arial" w:cs="Arial" w:eastAsia="Arial" w:hAnsi="Arial"/>
                <w:sz w:val="16"/>
                <w:szCs w:val="16"/>
                <w:b w:val="1"/>
                <w:bCs w:val="1"/>
                <w:color w:val="auto"/>
              </w:rPr>
              <w:t>Michael Seibel</w:t>
            </w:r>
          </w:p>
        </w:tc>
        <w:tc>
          <w:tcPr>
            <w:tcW w:w="230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2420" w:type="dxa"/>
            <w:vAlign w:val="bottom"/>
          </w:tcPr>
          <w:p>
            <w:pPr>
              <w:spacing w:after="0"/>
              <w:rPr>
                <w:sz w:val="24"/>
                <w:szCs w:val="24"/>
                <w:color w:val="auto"/>
              </w:rPr>
            </w:pPr>
          </w:p>
        </w:tc>
      </w:tr>
      <w:tr>
        <w:trPr>
          <w:trHeight w:val="48"/>
        </w:trPr>
        <w:tc>
          <w:tcPr>
            <w:tcW w:w="2640" w:type="dxa"/>
            <w:vAlign w:val="bottom"/>
          </w:tcPr>
          <w:p>
            <w:pPr>
              <w:spacing w:after="0"/>
              <w:rPr>
                <w:sz w:val="4"/>
                <w:szCs w:val="4"/>
                <w:color w:val="auto"/>
              </w:rPr>
            </w:pPr>
          </w:p>
        </w:tc>
        <w:tc>
          <w:tcPr>
            <w:tcW w:w="2300" w:type="dxa"/>
            <w:vAlign w:val="bottom"/>
          </w:tcPr>
          <w:p>
            <w:pPr>
              <w:spacing w:after="0"/>
              <w:rPr>
                <w:sz w:val="4"/>
                <w:szCs w:val="4"/>
                <w:color w:val="auto"/>
              </w:rPr>
            </w:pPr>
          </w:p>
        </w:tc>
        <w:tc>
          <w:tcPr>
            <w:tcW w:w="2200" w:type="dxa"/>
            <w:vAlign w:val="bottom"/>
          </w:tcPr>
          <w:p>
            <w:pPr>
              <w:spacing w:after="0"/>
              <w:rPr>
                <w:sz w:val="4"/>
                <w:szCs w:val="4"/>
                <w:color w:val="auto"/>
              </w:rPr>
            </w:pPr>
          </w:p>
        </w:tc>
        <w:tc>
          <w:tcPr>
            <w:tcW w:w="2420" w:type="dxa"/>
            <w:vAlign w:val="bottom"/>
          </w:tcPr>
          <w:p>
            <w:pPr>
              <w:spacing w:after="0"/>
              <w:rPr>
                <w:sz w:val="4"/>
                <w:szCs w:val="4"/>
                <w:color w:val="auto"/>
              </w:rPr>
            </w:pPr>
          </w:p>
        </w:tc>
      </w:tr>
      <w:tr>
        <w:trPr>
          <w:trHeight w:val="304"/>
        </w:trPr>
        <w:tc>
          <w:tcPr>
            <w:tcW w:w="2640" w:type="dxa"/>
            <w:vAlign w:val="bottom"/>
            <w:tcBorders>
              <w:bottom w:val="single" w:sz="8" w:color="F2F2F2"/>
            </w:tcBorders>
            <w:shd w:val="clear" w:color="auto" w:fill="F2F2F2"/>
          </w:tcPr>
          <w:p>
            <w:pPr>
              <w:ind w:left="80"/>
              <w:spacing w:after="0"/>
              <w:rPr>
                <w:sz w:val="20"/>
                <w:szCs w:val="20"/>
                <w:color w:val="auto"/>
              </w:rPr>
            </w:pPr>
            <w:r>
              <w:rPr>
                <w:rFonts w:ascii="Arial" w:cs="Arial" w:eastAsia="Arial" w:hAnsi="Arial"/>
                <w:sz w:val="16"/>
                <w:szCs w:val="16"/>
                <w:b w:val="1"/>
                <w:bCs w:val="1"/>
                <w:color w:val="auto"/>
              </w:rPr>
              <w:t>Number of Meetings</w:t>
            </w:r>
          </w:p>
        </w:tc>
        <w:tc>
          <w:tcPr>
            <w:tcW w:w="2300" w:type="dxa"/>
            <w:vAlign w:val="bottom"/>
            <w:tcBorders>
              <w:bottom w:val="single" w:sz="8" w:color="F2F2F2"/>
            </w:tcBorders>
            <w:shd w:val="clear" w:color="auto" w:fill="F2F2F2"/>
          </w:tcPr>
          <w:p>
            <w:pPr>
              <w:jc w:val="right"/>
              <w:ind w:right="1222"/>
              <w:spacing w:after="0"/>
              <w:rPr>
                <w:sz w:val="20"/>
                <w:szCs w:val="20"/>
                <w:color w:val="auto"/>
              </w:rPr>
            </w:pPr>
            <w:r>
              <w:rPr>
                <w:rFonts w:ascii="Arial" w:cs="Arial" w:eastAsia="Arial" w:hAnsi="Arial"/>
                <w:sz w:val="16"/>
                <w:szCs w:val="16"/>
                <w:color w:val="auto"/>
              </w:rPr>
              <w:t>5</w:t>
            </w:r>
          </w:p>
        </w:tc>
        <w:tc>
          <w:tcPr>
            <w:tcW w:w="2200" w:type="dxa"/>
            <w:vAlign w:val="bottom"/>
            <w:tcBorders>
              <w:bottom w:val="single" w:sz="8" w:color="F2F2F2"/>
            </w:tcBorders>
            <w:shd w:val="clear" w:color="auto" w:fill="F2F2F2"/>
          </w:tcPr>
          <w:p>
            <w:pPr>
              <w:jc w:val="right"/>
              <w:ind w:right="1002"/>
              <w:spacing w:after="0"/>
              <w:rPr>
                <w:sz w:val="20"/>
                <w:szCs w:val="20"/>
                <w:color w:val="auto"/>
              </w:rPr>
            </w:pPr>
            <w:r>
              <w:rPr>
                <w:rFonts w:ascii="Arial" w:cs="Arial" w:eastAsia="Arial" w:hAnsi="Arial"/>
                <w:sz w:val="16"/>
                <w:szCs w:val="16"/>
                <w:color w:val="auto"/>
              </w:rPr>
              <w:t>5</w:t>
            </w:r>
          </w:p>
        </w:tc>
        <w:tc>
          <w:tcPr>
            <w:tcW w:w="2420" w:type="dxa"/>
            <w:vAlign w:val="bottom"/>
            <w:tcBorders>
              <w:bottom w:val="single" w:sz="8" w:color="F2F2F2"/>
            </w:tcBorders>
            <w:shd w:val="clear" w:color="auto" w:fill="F2F2F2"/>
          </w:tcPr>
          <w:p>
            <w:pPr>
              <w:jc w:val="center"/>
              <w:ind w:left="85"/>
              <w:spacing w:after="0"/>
              <w:rPr>
                <w:sz w:val="20"/>
                <w:szCs w:val="20"/>
                <w:color w:val="auto"/>
              </w:rPr>
            </w:pPr>
            <w:r>
              <w:rPr>
                <w:rFonts w:ascii="Arial" w:cs="Arial" w:eastAsia="Arial" w:hAnsi="Arial"/>
                <w:sz w:val="16"/>
                <w:szCs w:val="16"/>
                <w:color w:val="auto"/>
              </w:rPr>
              <w:t>3</w:t>
            </w:r>
          </w:p>
        </w:tc>
      </w:tr>
      <w:tr>
        <w:trPr>
          <w:trHeight w:val="295"/>
        </w:trPr>
        <w:tc>
          <w:tcPr>
            <w:tcW w:w="2640" w:type="dxa"/>
            <w:vAlign w:val="bottom"/>
          </w:tcPr>
          <w:p>
            <w:pPr>
              <w:ind w:left="640"/>
              <w:spacing w:after="0"/>
              <w:rPr>
                <w:sz w:val="20"/>
                <w:szCs w:val="20"/>
                <w:color w:val="auto"/>
              </w:rPr>
            </w:pPr>
            <w:r>
              <w:rPr>
                <w:rFonts w:ascii="Arial" w:cs="Arial" w:eastAsia="Arial" w:hAnsi="Arial"/>
                <w:sz w:val="16"/>
                <w:szCs w:val="16"/>
                <w:color w:val="auto"/>
              </w:rPr>
              <w:t>Committee member</w:t>
            </w:r>
          </w:p>
        </w:tc>
        <w:tc>
          <w:tcPr>
            <w:tcW w:w="2300" w:type="dxa"/>
            <w:vAlign w:val="bottom"/>
          </w:tcPr>
          <w:p>
            <w:pPr>
              <w:ind w:left="560"/>
              <w:spacing w:after="0"/>
              <w:rPr>
                <w:sz w:val="20"/>
                <w:szCs w:val="20"/>
                <w:color w:val="auto"/>
              </w:rPr>
            </w:pPr>
            <w:r>
              <w:rPr>
                <w:rFonts w:ascii="Arial" w:cs="Arial" w:eastAsia="Arial" w:hAnsi="Arial"/>
                <w:sz w:val="16"/>
                <w:szCs w:val="16"/>
                <w:color w:val="auto"/>
              </w:rPr>
              <w:t>Committee chair</w:t>
            </w:r>
          </w:p>
        </w:tc>
        <w:tc>
          <w:tcPr>
            <w:tcW w:w="2200" w:type="dxa"/>
            <w:vAlign w:val="bottom"/>
          </w:tcPr>
          <w:p>
            <w:pPr>
              <w:ind w:left="700"/>
              <w:spacing w:after="0"/>
              <w:rPr>
                <w:sz w:val="20"/>
                <w:szCs w:val="20"/>
                <w:color w:val="auto"/>
              </w:rPr>
            </w:pPr>
            <w:r>
              <w:rPr>
                <w:rFonts w:ascii="Arial" w:cs="Arial" w:eastAsia="Arial" w:hAnsi="Arial"/>
                <w:sz w:val="16"/>
                <w:szCs w:val="16"/>
                <w:color w:val="auto"/>
              </w:rPr>
              <w:t>Financial expert</w:t>
            </w:r>
          </w:p>
        </w:tc>
        <w:tc>
          <w:tcPr>
            <w:tcW w:w="2420" w:type="dxa"/>
            <w:vAlign w:val="bottom"/>
          </w:tcPr>
          <w:p>
            <w:pPr>
              <w:spacing w:after="0"/>
              <w:rPr>
                <w:sz w:val="24"/>
                <w:szCs w:val="24"/>
                <w:color w:val="auto"/>
              </w:rPr>
            </w:pPr>
          </w:p>
        </w:tc>
      </w:tr>
    </w:tbl>
    <w:p>
      <w:pPr>
        <w:spacing w:after="0" w:line="258"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Audit Committee</w:t>
      </w:r>
    </w:p>
    <w:p>
      <w:pPr>
        <w:spacing w:after="0" w:line="39" w:lineRule="exact"/>
        <w:rPr>
          <w:sz w:val="20"/>
          <w:szCs w:val="20"/>
          <w:color w:val="auto"/>
        </w:rPr>
      </w:pPr>
    </w:p>
    <w:p>
      <w:pPr>
        <w:ind w:left="4"/>
        <w:spacing w:after="0" w:line="252" w:lineRule="auto"/>
        <w:rPr>
          <w:sz w:val="20"/>
          <w:szCs w:val="20"/>
          <w:color w:val="auto"/>
        </w:rPr>
      </w:pPr>
      <w:r>
        <w:rPr>
          <w:rFonts w:ascii="Arial" w:cs="Arial" w:eastAsia="Arial" w:hAnsi="Arial"/>
          <w:sz w:val="16"/>
          <w:szCs w:val="16"/>
          <w:color w:val="auto"/>
        </w:rPr>
        <w:t>Our audit committee consists of Mr. Blair and Mss. Campbell and Mathew, with Mr. Blair serving as chairperson. Mr. Mylod also served as a member of the audit committee until his resignation in July 2021. Ms. Mathew was appointed to the audit committee in July 2021. Each of the members of the audit committee meets the requirements for independence of audit committee members under Nasdaq listing rules and SEC rules and regulations and also meets the financial literacy and sophistication requirements of the Nasdaq listing rules. Our board of directors has determined that Mr. Blair and Ms. Mathew are audit committee financial experts within the meaning of Item 407(d) of Regulation S-K. Our audit committee is responsible for, among other things:</w:t>
      </w:r>
    </w:p>
    <w:p>
      <w:pPr>
        <w:spacing w:after="0" w:line="76" w:lineRule="exact"/>
        <w:rPr>
          <w:sz w:val="20"/>
          <w:szCs w:val="20"/>
          <w:color w:val="auto"/>
        </w:rPr>
      </w:pPr>
    </w:p>
    <w:p>
      <w:pPr>
        <w:ind w:left="284" w:hanging="284"/>
        <w:spacing w:after="0"/>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selecting a qualified firm to serve as the independent registered public accounting firm to audit our financial statements;</w:t>
      </w:r>
    </w:p>
    <w:p>
      <w:pPr>
        <w:spacing w:after="0" w:line="113" w:lineRule="exact"/>
        <w:rPr>
          <w:rFonts w:ascii="Arial" w:cs="Arial" w:eastAsia="Arial" w:hAnsi="Arial"/>
          <w:sz w:val="16"/>
          <w:szCs w:val="16"/>
          <w:color w:val="0063A6"/>
        </w:rPr>
      </w:pPr>
    </w:p>
    <w:p>
      <w:pPr>
        <w:ind w:left="284" w:hanging="284"/>
        <w:spacing w:after="0"/>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helping to ensure the independence and overseeing performance of the independent registered public accounting firm;</w:t>
      </w:r>
    </w:p>
    <w:p>
      <w:pPr>
        <w:spacing w:after="0" w:line="113" w:lineRule="exact"/>
        <w:rPr>
          <w:rFonts w:ascii="Arial" w:cs="Arial" w:eastAsia="Arial" w:hAnsi="Arial"/>
          <w:sz w:val="16"/>
          <w:szCs w:val="16"/>
          <w:color w:val="0063A6"/>
        </w:rPr>
      </w:pPr>
    </w:p>
    <w:p>
      <w:pPr>
        <w:ind w:left="284" w:hanging="284"/>
        <w:spacing w:after="0" w:line="275" w:lineRule="auto"/>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reviewing and discussing the scope and results of the audit with the independent registered public accounting firm, and reviewing, with management, internal audit and the independent registered public accounting firm, our interim and year-end operating results;</w:t>
      </w:r>
    </w:p>
    <w:p>
      <w:pPr>
        <w:spacing w:after="0" w:line="253" w:lineRule="exact"/>
        <w:rPr>
          <w:rFonts w:ascii="Arial" w:cs="Arial" w:eastAsia="Arial" w:hAnsi="Arial"/>
          <w:sz w:val="16"/>
          <w:szCs w:val="16"/>
          <w:color w:val="0063A6"/>
        </w:rPr>
      </w:pPr>
    </w:p>
    <w:p>
      <w:pPr>
        <w:ind w:left="284" w:hanging="284"/>
        <w:spacing w:after="0"/>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reviewing our financial statements and our critical accounting policies and estimates;</w:t>
      </w:r>
    </w:p>
    <w:p>
      <w:pPr>
        <w:spacing w:after="0" w:line="113" w:lineRule="exact"/>
        <w:rPr>
          <w:rFonts w:ascii="Arial" w:cs="Arial" w:eastAsia="Arial" w:hAnsi="Arial"/>
          <w:sz w:val="16"/>
          <w:szCs w:val="16"/>
          <w:color w:val="0063A6"/>
        </w:rPr>
      </w:pPr>
    </w:p>
    <w:p>
      <w:pPr>
        <w:ind w:left="284" w:right="80" w:hanging="284"/>
        <w:spacing w:after="0" w:line="286" w:lineRule="auto"/>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overseeing and monitoring the integrity of our financial statements and our compliance with legal and regulatory requirements as they relate to financial statements or accounting matters;</w:t>
      </w:r>
    </w:p>
    <w:p>
      <w:pPr>
        <w:spacing w:after="0" w:line="47" w:lineRule="exact"/>
        <w:rPr>
          <w:rFonts w:ascii="Arial" w:cs="Arial" w:eastAsia="Arial" w:hAnsi="Arial"/>
          <w:sz w:val="16"/>
          <w:szCs w:val="16"/>
          <w:color w:val="0063A6"/>
        </w:rPr>
      </w:pPr>
    </w:p>
    <w:p>
      <w:pPr>
        <w:ind w:left="284" w:hanging="284"/>
        <w:spacing w:after="0"/>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reviewing and approving any amendments to the internal audit charter;</w:t>
      </w:r>
    </w:p>
    <w:p>
      <w:pPr>
        <w:spacing w:after="0" w:line="113" w:lineRule="exact"/>
        <w:rPr>
          <w:rFonts w:ascii="Arial" w:cs="Arial" w:eastAsia="Arial" w:hAnsi="Arial"/>
          <w:sz w:val="16"/>
          <w:szCs w:val="16"/>
          <w:color w:val="0063A6"/>
        </w:rPr>
      </w:pPr>
    </w:p>
    <w:p>
      <w:pPr>
        <w:ind w:left="284" w:hanging="284"/>
        <w:spacing w:after="0"/>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reviewing the design, implementation, adequacy, and effectiveness of our internal controls;</w:t>
      </w:r>
    </w:p>
    <w:p>
      <w:pPr>
        <w:spacing w:after="0" w:line="113" w:lineRule="exact"/>
        <w:rPr>
          <w:rFonts w:ascii="Arial" w:cs="Arial" w:eastAsia="Arial" w:hAnsi="Arial"/>
          <w:sz w:val="16"/>
          <w:szCs w:val="16"/>
          <w:color w:val="0063A6"/>
        </w:rPr>
      </w:pPr>
    </w:p>
    <w:p>
      <w:pPr>
        <w:ind w:left="284" w:hanging="284"/>
        <w:spacing w:after="0"/>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overseeing the performance of our internal audit department, which functionally reports to the audit committee;</w:t>
      </w:r>
    </w:p>
    <w:p>
      <w:pPr>
        <w:spacing w:after="0" w:line="113" w:lineRule="exact"/>
        <w:rPr>
          <w:rFonts w:ascii="Arial" w:cs="Arial" w:eastAsia="Arial" w:hAnsi="Arial"/>
          <w:sz w:val="16"/>
          <w:szCs w:val="16"/>
          <w:color w:val="0063A6"/>
        </w:rPr>
      </w:pPr>
    </w:p>
    <w:p>
      <w:pPr>
        <w:ind w:left="284" w:right="480" w:hanging="284"/>
        <w:spacing w:after="0" w:line="286" w:lineRule="auto"/>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developing procedures for employees to submit concerns anonymously about questionable accounting, internal accounting controls, or audit matters;</w:t>
      </w:r>
    </w:p>
    <w:p>
      <w:pPr>
        <w:spacing w:after="0" w:line="47" w:lineRule="exact"/>
        <w:rPr>
          <w:rFonts w:ascii="Arial" w:cs="Arial" w:eastAsia="Arial" w:hAnsi="Arial"/>
          <w:sz w:val="16"/>
          <w:szCs w:val="16"/>
          <w:color w:val="0063A6"/>
        </w:rPr>
      </w:pPr>
    </w:p>
    <w:p>
      <w:pPr>
        <w:ind w:left="284" w:hanging="284"/>
        <w:spacing w:after="0"/>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overseeing management’s assessment and mitigation of enterprise risks;</w:t>
      </w:r>
    </w:p>
    <w:p>
      <w:pPr>
        <w:spacing w:after="0" w:line="113" w:lineRule="exact"/>
        <w:rPr>
          <w:rFonts w:ascii="Arial" w:cs="Arial" w:eastAsia="Arial" w:hAnsi="Arial"/>
          <w:sz w:val="16"/>
          <w:szCs w:val="16"/>
          <w:color w:val="0063A6"/>
        </w:rPr>
      </w:pPr>
    </w:p>
    <w:p>
      <w:pPr>
        <w:ind w:left="284" w:hanging="284"/>
        <w:spacing w:after="0"/>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overseeing compliance with our code of business conduct and ethics;</w:t>
      </w:r>
    </w:p>
    <w:p>
      <w:pPr>
        <w:spacing w:after="0" w:line="113" w:lineRule="exact"/>
        <w:rPr>
          <w:rFonts w:ascii="Arial" w:cs="Arial" w:eastAsia="Arial" w:hAnsi="Arial"/>
          <w:sz w:val="16"/>
          <w:szCs w:val="16"/>
          <w:color w:val="0063A6"/>
        </w:rPr>
      </w:pPr>
    </w:p>
    <w:p>
      <w:pPr>
        <w:ind w:left="284" w:right="460" w:hanging="284"/>
        <w:spacing w:after="0" w:line="286" w:lineRule="auto"/>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overseeing programs and policies with respect to assessing and managing risks pertaining to our operational infrastructure, particularly reliability, business continuity, cybersecurity, and data privacy;</w:t>
      </w:r>
    </w:p>
    <w:p>
      <w:pPr>
        <w:spacing w:after="0" w:line="47" w:lineRule="exact"/>
        <w:rPr>
          <w:rFonts w:ascii="Arial" w:cs="Arial" w:eastAsia="Arial" w:hAnsi="Arial"/>
          <w:sz w:val="16"/>
          <w:szCs w:val="16"/>
          <w:color w:val="0063A6"/>
        </w:rPr>
      </w:pPr>
    </w:p>
    <w:p>
      <w:pPr>
        <w:ind w:left="284" w:hanging="284"/>
        <w:spacing w:after="0"/>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reviewing and approving related party transactions; and</w:t>
      </w:r>
    </w:p>
    <w:p>
      <w:pPr>
        <w:spacing w:after="0" w:line="113" w:lineRule="exact"/>
        <w:rPr>
          <w:rFonts w:ascii="Arial" w:cs="Arial" w:eastAsia="Arial" w:hAnsi="Arial"/>
          <w:sz w:val="16"/>
          <w:szCs w:val="16"/>
          <w:color w:val="0063A6"/>
        </w:rPr>
      </w:pPr>
    </w:p>
    <w:p>
      <w:pPr>
        <w:ind w:left="284" w:right="260" w:hanging="284"/>
        <w:spacing w:after="0" w:line="286" w:lineRule="auto"/>
        <w:tabs>
          <w:tab w:leader="none" w:pos="284" w:val="left"/>
        </w:tabs>
        <w:numPr>
          <w:ilvl w:val="0"/>
          <w:numId w:val="22"/>
        </w:numPr>
        <w:rPr>
          <w:rFonts w:ascii="Arial" w:cs="Arial" w:eastAsia="Arial" w:hAnsi="Arial"/>
          <w:sz w:val="16"/>
          <w:szCs w:val="16"/>
          <w:color w:val="0063A6"/>
        </w:rPr>
      </w:pPr>
      <w:r>
        <w:rPr>
          <w:rFonts w:ascii="Arial" w:cs="Arial" w:eastAsia="Arial" w:hAnsi="Arial"/>
          <w:sz w:val="16"/>
          <w:szCs w:val="16"/>
          <w:color w:val="auto"/>
        </w:rPr>
        <w:t>pre-approving all audit and all permissible non-audit services to be performed by the independent registered public accounting firm.</w:t>
      </w:r>
    </w:p>
    <w:p>
      <w:pPr>
        <w:sectPr>
          <w:pgSz w:w="11900" w:h="16838" w:orient="portrait"/>
          <w:cols w:equalWidth="0" w:num="1">
            <w:col w:w="9564"/>
          </w:cols>
          <w:pgMar w:left="1156" w:top="263" w:right="1179" w:bottom="1440" w:gutter="0" w:footer="0" w:header="0"/>
        </w:sectPr>
      </w:pPr>
    </w:p>
    <w:p>
      <w:pPr>
        <w:spacing w:after="0" w:line="160" w:lineRule="exact"/>
        <w:rPr>
          <w:sz w:val="20"/>
          <w:szCs w:val="20"/>
          <w:color w:val="auto"/>
        </w:rPr>
      </w:pPr>
    </w:p>
    <w:p>
      <w:pPr>
        <w:ind w:left="524" w:hanging="524"/>
        <w:spacing w:after="0"/>
        <w:tabs>
          <w:tab w:leader="none" w:pos="524" w:val="left"/>
        </w:tabs>
        <w:numPr>
          <w:ilvl w:val="0"/>
          <w:numId w:val="23"/>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126365</wp:posOffset>
            </wp:positionV>
            <wp:extent cx="6995160" cy="171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type w:val="continuous"/>
        </w:sectPr>
      </w:pPr>
    </w:p>
    <w:bookmarkStart w:id="16" w:name="page17"/>
    <w:bookmarkEnd w:id="16"/>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34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71" w:lineRule="exact"/>
        <w:rPr>
          <w:sz w:val="20"/>
          <w:szCs w:val="20"/>
          <w:color w:val="auto"/>
        </w:rPr>
      </w:pPr>
    </w:p>
    <w:p>
      <w:pPr>
        <w:jc w:val="both"/>
        <w:ind w:left="720" w:right="1100"/>
        <w:spacing w:after="0" w:line="266" w:lineRule="auto"/>
        <w:rPr>
          <w:sz w:val="20"/>
          <w:szCs w:val="20"/>
          <w:color w:val="auto"/>
        </w:rPr>
      </w:pPr>
      <w:r>
        <w:rPr>
          <w:rFonts w:ascii="Arial" w:cs="Arial" w:eastAsia="Arial" w:hAnsi="Arial"/>
          <w:sz w:val="16"/>
          <w:szCs w:val="16"/>
          <w:color w:val="auto"/>
        </w:rPr>
        <w:t>Our audit committee operates under a written charter that satisfies the applicable rules and regulations of the SEC and the listing standards of Nasdaq. A copy of the charter for our audit committee is available on our website at investors.dropbox.com. During 2021, our audit committee held five meetings.</w:t>
      </w:r>
    </w:p>
    <w:p>
      <w:pPr>
        <w:spacing w:after="0" w:line="333"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Compensation Committee</w:t>
      </w:r>
    </w:p>
    <w:p>
      <w:pPr>
        <w:spacing w:after="0" w:line="46" w:lineRule="exact"/>
        <w:rPr>
          <w:sz w:val="20"/>
          <w:szCs w:val="20"/>
          <w:color w:val="auto"/>
        </w:rPr>
      </w:pPr>
    </w:p>
    <w:p>
      <w:pPr>
        <w:ind w:left="720" w:right="780"/>
        <w:spacing w:after="0" w:line="249" w:lineRule="auto"/>
        <w:rPr>
          <w:sz w:val="20"/>
          <w:szCs w:val="20"/>
          <w:color w:val="auto"/>
        </w:rPr>
      </w:pPr>
      <w:r>
        <w:rPr>
          <w:rFonts w:ascii="Arial" w:cs="Arial" w:eastAsia="Arial" w:hAnsi="Arial"/>
          <w:sz w:val="16"/>
          <w:szCs w:val="16"/>
          <w:color w:val="auto"/>
        </w:rPr>
        <w:t>Our compensation committee consists of Mss. Peacock and Mathew and Messrs. Parasnis and Seibel, with Ms. Peacock serving as chairperson. Mr. Mylod served as a member of our compensation committee until his resignation as a member of the board of directors in July 2021. Dr. Rice served as chairperson of the compensation committee until our 2021 annual stockholder meeting, at which she did not stand for re-election as a member of the board of directors, in May 2021. Ms. Mathew was appointed to the compensation committee in July 2021 and Mr. Parasnis was appointed to the compensation committee in March 2022. Each member of the compensation committee meets the requirements for independence for compensation committee members under the listing standards of Nasdaq. Each member of our compensation committee is also a non-employee director, as defined pursuant to</w:t>
      </w:r>
    </w:p>
    <w:p>
      <w:pPr>
        <w:spacing w:after="0" w:line="3" w:lineRule="exact"/>
        <w:rPr>
          <w:sz w:val="20"/>
          <w:szCs w:val="20"/>
          <w:color w:val="auto"/>
        </w:rPr>
      </w:pPr>
    </w:p>
    <w:p>
      <w:pPr>
        <w:ind w:left="720" w:right="1700"/>
        <w:spacing w:after="0" w:line="265" w:lineRule="auto"/>
        <w:rPr>
          <w:sz w:val="20"/>
          <w:szCs w:val="20"/>
          <w:color w:val="auto"/>
        </w:rPr>
      </w:pPr>
      <w:r>
        <w:rPr>
          <w:rFonts w:ascii="Arial" w:cs="Arial" w:eastAsia="Arial" w:hAnsi="Arial"/>
          <w:sz w:val="16"/>
          <w:szCs w:val="16"/>
          <w:color w:val="auto"/>
        </w:rPr>
        <w:t>Rule 16b-3 promulgated under the Securities Exchange Act of 1934, as amended (“</w:t>
      </w:r>
      <w:r>
        <w:rPr>
          <w:rFonts w:ascii="Arial" w:cs="Arial" w:eastAsia="Arial" w:hAnsi="Arial"/>
          <w:sz w:val="16"/>
          <w:szCs w:val="16"/>
          <w:b w:val="1"/>
          <w:bCs w:val="1"/>
          <w:i w:val="1"/>
          <w:iCs w:val="1"/>
          <w:color w:val="auto"/>
        </w:rPr>
        <w:t>Exchange Act</w:t>
      </w:r>
      <w:r>
        <w:rPr>
          <w:rFonts w:ascii="Arial" w:cs="Arial" w:eastAsia="Arial" w:hAnsi="Arial"/>
          <w:sz w:val="16"/>
          <w:szCs w:val="16"/>
          <w:color w:val="auto"/>
        </w:rPr>
        <w:t>”), or Rule 16b-3. Our compensation committee is responsible for, among other things:</w:t>
      </w:r>
    </w:p>
    <w:p>
      <w:pPr>
        <w:spacing w:after="0" w:line="118" w:lineRule="exact"/>
        <w:rPr>
          <w:sz w:val="20"/>
          <w:szCs w:val="20"/>
          <w:color w:val="auto"/>
        </w:rPr>
      </w:pPr>
    </w:p>
    <w:p>
      <w:pPr>
        <w:ind w:left="1000" w:right="820" w:hanging="284"/>
        <w:spacing w:after="0" w:line="286" w:lineRule="auto"/>
        <w:tabs>
          <w:tab w:leader="none" w:pos="1000" w:val="left"/>
        </w:tabs>
        <w:numPr>
          <w:ilvl w:val="0"/>
          <w:numId w:val="24"/>
        </w:numPr>
        <w:rPr>
          <w:rFonts w:ascii="Arial" w:cs="Arial" w:eastAsia="Arial" w:hAnsi="Arial"/>
          <w:sz w:val="16"/>
          <w:szCs w:val="16"/>
          <w:color w:val="0063A6"/>
        </w:rPr>
      </w:pPr>
      <w:r>
        <w:rPr>
          <w:rFonts w:ascii="Arial" w:cs="Arial" w:eastAsia="Arial" w:hAnsi="Arial"/>
          <w:sz w:val="16"/>
          <w:szCs w:val="16"/>
          <w:color w:val="auto"/>
        </w:rPr>
        <w:t>reviewing, approving, and determining, or making recommendations to our board of directors regarding, the compensation of our executive officers, including our chief executive officer;</w:t>
      </w:r>
    </w:p>
    <w:p>
      <w:pPr>
        <w:spacing w:after="0" w:line="101" w:lineRule="exact"/>
        <w:rPr>
          <w:rFonts w:ascii="Arial" w:cs="Arial" w:eastAsia="Arial" w:hAnsi="Arial"/>
          <w:sz w:val="16"/>
          <w:szCs w:val="16"/>
          <w:color w:val="0063A6"/>
        </w:rPr>
      </w:pPr>
    </w:p>
    <w:p>
      <w:pPr>
        <w:ind w:left="1000" w:hanging="284"/>
        <w:spacing w:after="0"/>
        <w:tabs>
          <w:tab w:leader="none" w:pos="1000" w:val="left"/>
        </w:tabs>
        <w:numPr>
          <w:ilvl w:val="0"/>
          <w:numId w:val="24"/>
        </w:numPr>
        <w:rPr>
          <w:rFonts w:ascii="Arial" w:cs="Arial" w:eastAsia="Arial" w:hAnsi="Arial"/>
          <w:sz w:val="16"/>
          <w:szCs w:val="16"/>
          <w:color w:val="0063A6"/>
        </w:rPr>
      </w:pPr>
      <w:r>
        <w:rPr>
          <w:rFonts w:ascii="Arial" w:cs="Arial" w:eastAsia="Arial" w:hAnsi="Arial"/>
          <w:sz w:val="16"/>
          <w:szCs w:val="16"/>
          <w:color w:val="auto"/>
        </w:rPr>
        <w:t>administering our equity compensation plans;</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24"/>
        </w:numPr>
        <w:rPr>
          <w:rFonts w:ascii="Arial" w:cs="Arial" w:eastAsia="Arial" w:hAnsi="Arial"/>
          <w:sz w:val="16"/>
          <w:szCs w:val="16"/>
          <w:color w:val="0063A6"/>
        </w:rPr>
      </w:pPr>
      <w:r>
        <w:rPr>
          <w:rFonts w:ascii="Arial" w:cs="Arial" w:eastAsia="Arial" w:hAnsi="Arial"/>
          <w:sz w:val="16"/>
          <w:szCs w:val="16"/>
          <w:color w:val="auto"/>
        </w:rPr>
        <w:t>reviewing, approving, and administering incentive compensation and equity compensation plans;</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24"/>
        </w:numPr>
        <w:rPr>
          <w:rFonts w:ascii="Arial" w:cs="Arial" w:eastAsia="Arial" w:hAnsi="Arial"/>
          <w:sz w:val="16"/>
          <w:szCs w:val="16"/>
          <w:color w:val="0063A6"/>
        </w:rPr>
      </w:pPr>
      <w:r>
        <w:rPr>
          <w:rFonts w:ascii="Arial" w:cs="Arial" w:eastAsia="Arial" w:hAnsi="Arial"/>
          <w:sz w:val="16"/>
          <w:szCs w:val="16"/>
          <w:color w:val="auto"/>
        </w:rPr>
        <w:t>reviewing and approving our overall compensation philosophy; and</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24"/>
        </w:numPr>
        <w:rPr>
          <w:rFonts w:ascii="Arial" w:cs="Arial" w:eastAsia="Arial" w:hAnsi="Arial"/>
          <w:sz w:val="16"/>
          <w:szCs w:val="16"/>
          <w:color w:val="0063A6"/>
        </w:rPr>
      </w:pPr>
      <w:r>
        <w:rPr>
          <w:rFonts w:ascii="Arial" w:cs="Arial" w:eastAsia="Arial" w:hAnsi="Arial"/>
          <w:sz w:val="16"/>
          <w:szCs w:val="16"/>
          <w:color w:val="auto"/>
        </w:rPr>
        <w:t>making recommendations regarding non-employee director compensation to our full board of directors.</w:t>
      </w:r>
    </w:p>
    <w:p>
      <w:pPr>
        <w:spacing w:after="0" w:line="167" w:lineRule="exact"/>
        <w:rPr>
          <w:sz w:val="20"/>
          <w:szCs w:val="20"/>
          <w:color w:val="auto"/>
        </w:rPr>
      </w:pPr>
    </w:p>
    <w:p>
      <w:pPr>
        <w:ind w:left="720" w:right="900"/>
        <w:spacing w:after="0" w:line="266" w:lineRule="auto"/>
        <w:rPr>
          <w:sz w:val="20"/>
          <w:szCs w:val="20"/>
          <w:color w:val="auto"/>
        </w:rPr>
      </w:pPr>
      <w:r>
        <w:rPr>
          <w:rFonts w:ascii="Arial" w:cs="Arial" w:eastAsia="Arial" w:hAnsi="Arial"/>
          <w:sz w:val="16"/>
          <w:szCs w:val="16"/>
          <w:color w:val="auto"/>
        </w:rPr>
        <w:t>Our compensation committee operates under a written charter that satisfies the applicable rules and regulations of the SEC and the listing standards of Nasdaq. A copy of the charter for our compensation committee is available on our website at investors.dropbox.com. During 2021, our compensation committee held five meetings.</w:t>
      </w:r>
    </w:p>
    <w:p>
      <w:pPr>
        <w:spacing w:after="0" w:line="347"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Nominating and Corporate Governance Committee</w:t>
      </w:r>
    </w:p>
    <w:p>
      <w:pPr>
        <w:spacing w:after="0" w:line="39" w:lineRule="exact"/>
        <w:rPr>
          <w:sz w:val="20"/>
          <w:szCs w:val="20"/>
          <w:color w:val="auto"/>
        </w:rPr>
      </w:pPr>
    </w:p>
    <w:p>
      <w:pPr>
        <w:ind w:left="720" w:right="840"/>
        <w:spacing w:after="0" w:line="262" w:lineRule="auto"/>
        <w:rPr>
          <w:sz w:val="20"/>
          <w:szCs w:val="20"/>
          <w:color w:val="auto"/>
        </w:rPr>
      </w:pPr>
      <w:r>
        <w:rPr>
          <w:rFonts w:ascii="Arial" w:cs="Arial" w:eastAsia="Arial" w:hAnsi="Arial"/>
          <w:sz w:val="16"/>
          <w:szCs w:val="16"/>
          <w:color w:val="auto"/>
        </w:rPr>
        <w:t>Our nominating and corporate governance committee consists of Ms. Campbell and Dr. Jacobs, with Dr. Jacobs serving as chairperson. Each member of the nominating and corporate governance committee meets the requirements for independence under the listing standards of Nasdaq. Our nominating and corporate governance committee is responsible for, among other things:</w:t>
      </w:r>
    </w:p>
    <w:p>
      <w:pPr>
        <w:spacing w:after="0" w:line="120" w:lineRule="exact"/>
        <w:rPr>
          <w:sz w:val="20"/>
          <w:szCs w:val="20"/>
          <w:color w:val="auto"/>
        </w:rPr>
      </w:pPr>
    </w:p>
    <w:p>
      <w:pPr>
        <w:ind w:left="1000" w:right="1020" w:hanging="284"/>
        <w:spacing w:after="0" w:line="286" w:lineRule="auto"/>
        <w:tabs>
          <w:tab w:leader="none" w:pos="1000" w:val="left"/>
        </w:tabs>
        <w:numPr>
          <w:ilvl w:val="0"/>
          <w:numId w:val="25"/>
        </w:numPr>
        <w:rPr>
          <w:rFonts w:ascii="Arial" w:cs="Arial" w:eastAsia="Arial" w:hAnsi="Arial"/>
          <w:sz w:val="16"/>
          <w:szCs w:val="16"/>
          <w:color w:val="0063A6"/>
        </w:rPr>
      </w:pPr>
      <w:r>
        <w:rPr>
          <w:rFonts w:ascii="Arial" w:cs="Arial" w:eastAsia="Arial" w:hAnsi="Arial"/>
          <w:sz w:val="16"/>
          <w:szCs w:val="16"/>
          <w:color w:val="auto"/>
        </w:rPr>
        <w:t>identifying, evaluating, and making recommendations to our board of directors regarding nominees for election to our board of directors and its committees;</w:t>
      </w:r>
    </w:p>
    <w:p>
      <w:pPr>
        <w:spacing w:after="0" w:line="101" w:lineRule="exact"/>
        <w:rPr>
          <w:rFonts w:ascii="Arial" w:cs="Arial" w:eastAsia="Arial" w:hAnsi="Arial"/>
          <w:sz w:val="16"/>
          <w:szCs w:val="16"/>
          <w:color w:val="0063A6"/>
        </w:rPr>
      </w:pPr>
    </w:p>
    <w:p>
      <w:pPr>
        <w:ind w:left="1000" w:hanging="284"/>
        <w:spacing w:after="0"/>
        <w:tabs>
          <w:tab w:leader="none" w:pos="1000" w:val="left"/>
        </w:tabs>
        <w:numPr>
          <w:ilvl w:val="0"/>
          <w:numId w:val="25"/>
        </w:numPr>
        <w:rPr>
          <w:rFonts w:ascii="Arial" w:cs="Arial" w:eastAsia="Arial" w:hAnsi="Arial"/>
          <w:sz w:val="16"/>
          <w:szCs w:val="16"/>
          <w:color w:val="0063A6"/>
        </w:rPr>
      </w:pPr>
      <w:r>
        <w:rPr>
          <w:rFonts w:ascii="Arial" w:cs="Arial" w:eastAsia="Arial" w:hAnsi="Arial"/>
          <w:sz w:val="16"/>
          <w:szCs w:val="16"/>
          <w:color w:val="auto"/>
        </w:rPr>
        <w:t>overseeing the evaluation of the performance of our board of directors and of individual directors;</w:t>
      </w:r>
    </w:p>
    <w:p>
      <w:pPr>
        <w:spacing w:after="0" w:line="167" w:lineRule="exact"/>
        <w:rPr>
          <w:rFonts w:ascii="Arial" w:cs="Arial" w:eastAsia="Arial" w:hAnsi="Arial"/>
          <w:sz w:val="16"/>
          <w:szCs w:val="16"/>
          <w:color w:val="0063A6"/>
        </w:rPr>
      </w:pPr>
    </w:p>
    <w:p>
      <w:pPr>
        <w:ind w:left="1000" w:right="1020" w:hanging="284"/>
        <w:spacing w:after="0" w:line="286" w:lineRule="auto"/>
        <w:tabs>
          <w:tab w:leader="none" w:pos="1000" w:val="left"/>
        </w:tabs>
        <w:numPr>
          <w:ilvl w:val="0"/>
          <w:numId w:val="25"/>
        </w:numPr>
        <w:rPr>
          <w:rFonts w:ascii="Arial" w:cs="Arial" w:eastAsia="Arial" w:hAnsi="Arial"/>
          <w:sz w:val="16"/>
          <w:szCs w:val="16"/>
          <w:color w:val="0063A6"/>
        </w:rPr>
      </w:pPr>
      <w:r>
        <w:rPr>
          <w:rFonts w:ascii="Arial" w:cs="Arial" w:eastAsia="Arial" w:hAnsi="Arial"/>
          <w:sz w:val="16"/>
          <w:szCs w:val="16"/>
          <w:color w:val="auto"/>
        </w:rPr>
        <w:t>considering and making recommendations to our board of directors regarding the composition of our board of directors and its committees;</w:t>
      </w:r>
    </w:p>
    <w:p>
      <w:pPr>
        <w:spacing w:after="0" w:line="101" w:lineRule="exact"/>
        <w:rPr>
          <w:rFonts w:ascii="Arial" w:cs="Arial" w:eastAsia="Arial" w:hAnsi="Arial"/>
          <w:sz w:val="16"/>
          <w:szCs w:val="16"/>
          <w:color w:val="0063A6"/>
        </w:rPr>
      </w:pPr>
    </w:p>
    <w:p>
      <w:pPr>
        <w:ind w:left="1000" w:hanging="284"/>
        <w:spacing w:after="0"/>
        <w:tabs>
          <w:tab w:leader="none" w:pos="1000" w:val="left"/>
        </w:tabs>
        <w:numPr>
          <w:ilvl w:val="0"/>
          <w:numId w:val="25"/>
        </w:numPr>
        <w:rPr>
          <w:rFonts w:ascii="Arial" w:cs="Arial" w:eastAsia="Arial" w:hAnsi="Arial"/>
          <w:sz w:val="16"/>
          <w:szCs w:val="16"/>
          <w:color w:val="0063A6"/>
        </w:rPr>
      </w:pPr>
      <w:r>
        <w:rPr>
          <w:rFonts w:ascii="Arial" w:cs="Arial" w:eastAsia="Arial" w:hAnsi="Arial"/>
          <w:sz w:val="16"/>
          <w:szCs w:val="16"/>
          <w:color w:val="auto"/>
        </w:rPr>
        <w:t>overseeing our corporate governance practices;</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25"/>
        </w:numPr>
        <w:rPr>
          <w:rFonts w:ascii="Arial" w:cs="Arial" w:eastAsia="Arial" w:hAnsi="Arial"/>
          <w:sz w:val="16"/>
          <w:szCs w:val="16"/>
          <w:color w:val="0063A6"/>
        </w:rPr>
      </w:pPr>
      <w:r>
        <w:rPr>
          <w:rFonts w:ascii="Arial" w:cs="Arial" w:eastAsia="Arial" w:hAnsi="Arial"/>
          <w:sz w:val="16"/>
          <w:szCs w:val="16"/>
          <w:color w:val="auto"/>
        </w:rPr>
        <w:t>contributing to succession planning; and</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25"/>
        </w:numPr>
        <w:rPr>
          <w:rFonts w:ascii="Arial" w:cs="Arial" w:eastAsia="Arial" w:hAnsi="Arial"/>
          <w:sz w:val="16"/>
          <w:szCs w:val="16"/>
          <w:color w:val="0063A6"/>
        </w:rPr>
      </w:pPr>
      <w:r>
        <w:rPr>
          <w:rFonts w:ascii="Arial" w:cs="Arial" w:eastAsia="Arial" w:hAnsi="Arial"/>
          <w:sz w:val="16"/>
          <w:szCs w:val="16"/>
          <w:color w:val="auto"/>
        </w:rPr>
        <w:t>developing and making recommendations to our board of directors regarding corporate governance guidelines and matters.</w:t>
      </w:r>
    </w:p>
    <w:p>
      <w:pPr>
        <w:spacing w:after="0" w:line="167" w:lineRule="exact"/>
        <w:rPr>
          <w:sz w:val="20"/>
          <w:szCs w:val="20"/>
          <w:color w:val="auto"/>
        </w:rPr>
      </w:pPr>
    </w:p>
    <w:p>
      <w:pPr>
        <w:ind w:left="720" w:right="1080"/>
        <w:spacing w:after="0" w:line="266" w:lineRule="auto"/>
        <w:rPr>
          <w:sz w:val="20"/>
          <w:szCs w:val="20"/>
          <w:color w:val="auto"/>
        </w:rPr>
      </w:pPr>
      <w:r>
        <w:rPr>
          <w:rFonts w:ascii="Arial" w:cs="Arial" w:eastAsia="Arial" w:hAnsi="Arial"/>
          <w:sz w:val="16"/>
          <w:szCs w:val="16"/>
          <w:color w:val="auto"/>
        </w:rPr>
        <w:t>Our nominating and corporate governance committee operates under a written charter that satisfies the applicable Nasdaq listing standards. A copy of the charter for our nominating and corporate governance committee is available on our website at investors.dropbox.com. During 2021, our nominating and corporate governance committee held three meetings.</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13</w:t>
            </w:r>
          </w:p>
        </w:tc>
      </w:tr>
      <w:tr>
        <w:trPr>
          <w:trHeight w:val="171"/>
        </w:trPr>
        <w:tc>
          <w:tcPr>
            <w:tcW w:w="99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17" w:name="page18"/>
    <w:bookmarkEnd w:id="17"/>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right="58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53" w:lineRule="exact"/>
        <w:rPr>
          <w:sz w:val="20"/>
          <w:szCs w:val="20"/>
          <w:color w:val="auto"/>
        </w:rPr>
      </w:pPr>
    </w:p>
    <w:p>
      <w:pPr>
        <w:ind w:left="4"/>
        <w:spacing w:after="0"/>
        <w:rPr>
          <w:sz w:val="20"/>
          <w:szCs w:val="20"/>
          <w:color w:val="auto"/>
        </w:rPr>
      </w:pPr>
      <w:r>
        <w:rPr>
          <w:rFonts w:ascii="Arial" w:cs="Arial" w:eastAsia="Arial" w:hAnsi="Arial"/>
          <w:sz w:val="26"/>
          <w:szCs w:val="26"/>
          <w:color w:val="0063A6"/>
        </w:rPr>
        <w:t>Attendance at Board and Stockholder Meetings</w:t>
      </w:r>
    </w:p>
    <w:p>
      <w:pPr>
        <w:spacing w:after="0" w:line="179" w:lineRule="exact"/>
        <w:rPr>
          <w:sz w:val="20"/>
          <w:szCs w:val="20"/>
          <w:color w:val="auto"/>
        </w:rPr>
      </w:pPr>
    </w:p>
    <w:p>
      <w:pPr>
        <w:ind w:left="4" w:right="180"/>
        <w:spacing w:after="0" w:line="259" w:lineRule="auto"/>
        <w:rPr>
          <w:sz w:val="20"/>
          <w:szCs w:val="20"/>
          <w:color w:val="auto"/>
        </w:rPr>
      </w:pPr>
      <w:r>
        <w:rPr>
          <w:rFonts w:ascii="Arial" w:cs="Arial" w:eastAsia="Arial" w:hAnsi="Arial"/>
          <w:sz w:val="16"/>
          <w:szCs w:val="16"/>
          <w:color w:val="auto"/>
        </w:rPr>
        <w:t>During our fiscal year ended December 31, 2021, our board of directors held seven meetings (including regularly scheduled and special meetings), and each director attended at least 75% of the aggregate of (i) the total number of meetings of our board of directors held during the period for which he or she has been a director and (ii) the total number of meetings held by all committees of our board of directors on which he or she served during the periods that he or she served.</w:t>
      </w:r>
    </w:p>
    <w:p>
      <w:pPr>
        <w:spacing w:after="0" w:line="124" w:lineRule="exact"/>
        <w:rPr>
          <w:sz w:val="20"/>
          <w:szCs w:val="20"/>
          <w:color w:val="auto"/>
        </w:rPr>
      </w:pPr>
    </w:p>
    <w:p>
      <w:pPr>
        <w:ind w:left="4" w:right="80"/>
        <w:spacing w:after="0" w:line="266" w:lineRule="auto"/>
        <w:rPr>
          <w:sz w:val="20"/>
          <w:szCs w:val="20"/>
          <w:color w:val="auto"/>
        </w:rPr>
      </w:pPr>
      <w:r>
        <w:rPr>
          <w:rFonts w:ascii="Arial" w:cs="Arial" w:eastAsia="Arial" w:hAnsi="Arial"/>
          <w:sz w:val="16"/>
          <w:szCs w:val="16"/>
          <w:color w:val="auto"/>
        </w:rPr>
        <w:t>Although we do not have a formal policy regarding attendance by members of our board of directors at annual meetings of stockholders, we strongly encourage, but do not require, our directors to attend. All directors who then served on the board attended our 2021 annual meeting of our stockholders.</w:t>
      </w:r>
    </w:p>
    <w:p>
      <w:pPr>
        <w:spacing w:after="0" w:line="274" w:lineRule="exact"/>
        <w:rPr>
          <w:sz w:val="20"/>
          <w:szCs w:val="20"/>
          <w:color w:val="auto"/>
        </w:rPr>
      </w:pPr>
    </w:p>
    <w:p>
      <w:pPr>
        <w:ind w:left="4"/>
        <w:spacing w:after="0"/>
        <w:rPr>
          <w:sz w:val="20"/>
          <w:szCs w:val="20"/>
          <w:color w:val="auto"/>
        </w:rPr>
      </w:pPr>
      <w:r>
        <w:rPr>
          <w:rFonts w:ascii="Arial" w:cs="Arial" w:eastAsia="Arial" w:hAnsi="Arial"/>
          <w:sz w:val="26"/>
          <w:szCs w:val="26"/>
          <w:color w:val="0063A6"/>
        </w:rPr>
        <w:t>Compensation Committee Interlocks and Insider Participation</w:t>
      </w:r>
    </w:p>
    <w:p>
      <w:pPr>
        <w:spacing w:after="0" w:line="179" w:lineRule="exact"/>
        <w:rPr>
          <w:sz w:val="20"/>
          <w:szCs w:val="20"/>
          <w:color w:val="auto"/>
        </w:rPr>
      </w:pPr>
    </w:p>
    <w:p>
      <w:pPr>
        <w:jc w:val="both"/>
        <w:ind w:left="4" w:right="120"/>
        <w:spacing w:after="0" w:line="259" w:lineRule="auto"/>
        <w:rPr>
          <w:sz w:val="20"/>
          <w:szCs w:val="20"/>
          <w:color w:val="auto"/>
        </w:rPr>
      </w:pPr>
      <w:r>
        <w:rPr>
          <w:rFonts w:ascii="Arial" w:cs="Arial" w:eastAsia="Arial" w:hAnsi="Arial"/>
          <w:sz w:val="16"/>
          <w:szCs w:val="16"/>
          <w:color w:val="auto"/>
        </w:rPr>
        <w:t>None of the members of our compensation committee is or has been an officer or employee of our company. None of our executive officers currently serves, or in the past year has served, as a member of the board of directors or compensation committee (or other board committee performing equivalent functions) of any entity that has one or more of its executive officers serving on our board of directors or compensation committee.</w:t>
      </w:r>
    </w:p>
    <w:p>
      <w:pPr>
        <w:spacing w:after="0" w:line="294" w:lineRule="exact"/>
        <w:rPr>
          <w:sz w:val="20"/>
          <w:szCs w:val="20"/>
          <w:color w:val="auto"/>
        </w:rPr>
      </w:pPr>
    </w:p>
    <w:p>
      <w:pPr>
        <w:ind w:left="4"/>
        <w:spacing w:after="0"/>
        <w:rPr>
          <w:sz w:val="20"/>
          <w:szCs w:val="20"/>
          <w:color w:val="auto"/>
        </w:rPr>
      </w:pPr>
      <w:r>
        <w:rPr>
          <w:rFonts w:ascii="Arial" w:cs="Arial" w:eastAsia="Arial" w:hAnsi="Arial"/>
          <w:sz w:val="26"/>
          <w:szCs w:val="26"/>
          <w:color w:val="0063A6"/>
        </w:rPr>
        <w:t>Considerations in Evaluating Director Nominees</w:t>
      </w:r>
    </w:p>
    <w:p>
      <w:pPr>
        <w:spacing w:after="0" w:line="179" w:lineRule="exact"/>
        <w:rPr>
          <w:sz w:val="20"/>
          <w:szCs w:val="20"/>
          <w:color w:val="auto"/>
        </w:rPr>
      </w:pPr>
    </w:p>
    <w:p>
      <w:pPr>
        <w:ind w:left="4"/>
        <w:spacing w:after="0" w:line="249" w:lineRule="auto"/>
        <w:rPr>
          <w:sz w:val="20"/>
          <w:szCs w:val="20"/>
          <w:color w:val="auto"/>
        </w:rPr>
      </w:pPr>
      <w:r>
        <w:rPr>
          <w:rFonts w:ascii="Arial" w:cs="Arial" w:eastAsia="Arial" w:hAnsi="Arial"/>
          <w:sz w:val="16"/>
          <w:szCs w:val="16"/>
          <w:color w:val="auto"/>
        </w:rPr>
        <w:t>Our nominating and corporate governance committee uses a variety of methods, including engaging the services of outside consultants and search firms, to identify and evaluate director nominees. In its evaluation of director candidates, our nominating and corporate governance committee considers the current size and composition, organization, and governance of our board of directors and the needs of our board of directors and the respective committees of our board of directors. Some of the qualifications that our nominating and corporate governance committee considers include, without limitation, issues of character, integrity, judgment, business experience, and diversity, and with respect to diversity, such factors as gender, race, ethnicity, sexual orientation, gender identity, differences in professional background, education, skill and other individual qualities and attributes that contribute to the total mix of viewpoints and experience represented on the board of directors, potential conflicts of interest and other commitments. Nominees must also have the highest personal and professional ethics and the ability to offer advice and guidance to our chief executive officer and other members of management based on proven achievement and leadership in the companies or institutions with which they are affiliated. Director candidates must understand the fiduciary responsibilities that are required of a member of our board of directors and have sufficient time available, in the judgment of our nominating and corporate governance committee, to perform all board of director and applicable committee responsibilities. Members of our board of directors are expected to prepare for, attend, and participate in all board of directors and applicable committee meetings. Our nominating and corporate governance committee may also consider such other factors as it may deem, from time to time, are in our and our stockholders’ best interests.</w:t>
      </w:r>
    </w:p>
    <w:p>
      <w:pPr>
        <w:spacing w:after="0" w:line="134" w:lineRule="exact"/>
        <w:rPr>
          <w:sz w:val="20"/>
          <w:szCs w:val="20"/>
          <w:color w:val="auto"/>
        </w:rPr>
      </w:pPr>
    </w:p>
    <w:p>
      <w:pPr>
        <w:ind w:left="4" w:right="60"/>
        <w:spacing w:after="0" w:line="253" w:lineRule="auto"/>
        <w:rPr>
          <w:sz w:val="20"/>
          <w:szCs w:val="20"/>
          <w:color w:val="auto"/>
        </w:rPr>
      </w:pPr>
      <w:r>
        <w:rPr>
          <w:rFonts w:ascii="Arial" w:cs="Arial" w:eastAsia="Arial" w:hAnsi="Arial"/>
          <w:sz w:val="16"/>
          <w:szCs w:val="16"/>
          <w:color w:val="auto"/>
        </w:rPr>
        <w:t>The nominating and corporate governance committee considers the suitability of each director candidate, including current directors, in light of the current size and composition of our board. Although we do not maintain a specific policy with respect to board diversity, our board of directors believes that our board of directors should be a diverse body, and our nominating and corporate governance committee considers a broad range of backgrounds and experiences. In making determinations regarding nominations of directors, our nominating and corporate governance committee may take into account the benefits of diverse viewpoints. After completing its review and evaluation of director candidates, including incumbent directors, our nominating and corporate governance committee recommends to our full board of directors the director nominees for selection.</w:t>
      </w:r>
    </w:p>
    <w:p>
      <w:pPr>
        <w:spacing w:after="0" w:line="298" w:lineRule="exact"/>
        <w:rPr>
          <w:sz w:val="20"/>
          <w:szCs w:val="20"/>
          <w:color w:val="auto"/>
        </w:rPr>
      </w:pPr>
    </w:p>
    <w:p>
      <w:pPr>
        <w:ind w:left="4"/>
        <w:spacing w:after="0"/>
        <w:rPr>
          <w:sz w:val="20"/>
          <w:szCs w:val="20"/>
          <w:color w:val="auto"/>
        </w:rPr>
      </w:pPr>
      <w:r>
        <w:rPr>
          <w:rFonts w:ascii="Arial" w:cs="Arial" w:eastAsia="Arial" w:hAnsi="Arial"/>
          <w:sz w:val="26"/>
          <w:szCs w:val="26"/>
          <w:color w:val="0063A6"/>
        </w:rPr>
        <w:t>Board Evaluations</w:t>
      </w:r>
    </w:p>
    <w:p>
      <w:pPr>
        <w:spacing w:after="0" w:line="179" w:lineRule="exact"/>
        <w:rPr>
          <w:sz w:val="20"/>
          <w:szCs w:val="20"/>
          <w:color w:val="auto"/>
        </w:rPr>
      </w:pPr>
    </w:p>
    <w:p>
      <w:pPr>
        <w:ind w:left="4" w:right="160"/>
        <w:spacing w:after="0" w:line="266" w:lineRule="auto"/>
        <w:rPr>
          <w:sz w:val="20"/>
          <w:szCs w:val="20"/>
          <w:color w:val="auto"/>
        </w:rPr>
      </w:pPr>
      <w:r>
        <w:rPr>
          <w:rFonts w:ascii="Arial" w:cs="Arial" w:eastAsia="Arial" w:hAnsi="Arial"/>
          <w:sz w:val="16"/>
          <w:szCs w:val="16"/>
          <w:color w:val="auto"/>
        </w:rPr>
        <w:t>The effectiveness of our board of directors and its committees is critical to our success. To maintain and improve that effectiveness, our nominating and corporate governance committee, in partnership with our lead independent director, oversees the design and implementation of an annual assessment of our board and its committees.</w:t>
      </w:r>
    </w:p>
    <w:p>
      <w:pPr>
        <w:spacing w:after="0" w:line="117" w:lineRule="exact"/>
        <w:rPr>
          <w:sz w:val="20"/>
          <w:szCs w:val="20"/>
          <w:color w:val="auto"/>
        </w:rPr>
      </w:pPr>
    </w:p>
    <w:p>
      <w:pPr>
        <w:ind w:left="4"/>
        <w:spacing w:after="0" w:line="286" w:lineRule="auto"/>
        <w:rPr>
          <w:sz w:val="20"/>
          <w:szCs w:val="20"/>
          <w:color w:val="auto"/>
        </w:rPr>
      </w:pPr>
      <w:r>
        <w:rPr>
          <w:rFonts w:ascii="Arial" w:cs="Arial" w:eastAsia="Arial" w:hAnsi="Arial"/>
          <w:sz w:val="16"/>
          <w:szCs w:val="16"/>
          <w:color w:val="auto"/>
        </w:rPr>
        <w:t>In 2021, our board of directors engaged a board governance consultant (the “</w:t>
      </w:r>
      <w:r>
        <w:rPr>
          <w:rFonts w:ascii="Arial" w:cs="Arial" w:eastAsia="Arial" w:hAnsi="Arial"/>
          <w:sz w:val="16"/>
          <w:szCs w:val="16"/>
          <w:b w:val="1"/>
          <w:bCs w:val="1"/>
          <w:i w:val="1"/>
          <w:iCs w:val="1"/>
          <w:color w:val="auto"/>
        </w:rPr>
        <w:t>Consultant</w:t>
      </w:r>
      <w:r>
        <w:rPr>
          <w:rFonts w:ascii="Arial" w:cs="Arial" w:eastAsia="Arial" w:hAnsi="Arial"/>
          <w:sz w:val="16"/>
          <w:szCs w:val="16"/>
          <w:color w:val="auto"/>
        </w:rPr>
        <w:t>”) to help enhance this assessment process. The Consultant prepared a list of interview questions in close partnership with our nominating and governance committee,</w:t>
      </w:r>
    </w:p>
    <w:p>
      <w:pPr>
        <w:spacing w:after="0" w:line="160" w:lineRule="exact"/>
        <w:rPr>
          <w:sz w:val="20"/>
          <w:szCs w:val="20"/>
          <w:color w:val="auto"/>
        </w:rPr>
      </w:pPr>
    </w:p>
    <w:p>
      <w:pPr>
        <w:ind w:left="524" w:hanging="524"/>
        <w:spacing w:after="0"/>
        <w:tabs>
          <w:tab w:leader="none" w:pos="524" w:val="left"/>
        </w:tabs>
        <w:numPr>
          <w:ilvl w:val="0"/>
          <w:numId w:val="26"/>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44"/>
          </w:cols>
          <w:pgMar w:left="1156" w:top="263" w:right="1199" w:bottom="1440" w:gutter="0" w:footer="0" w:header="0"/>
        </w:sectPr>
      </w:pPr>
    </w:p>
    <w:bookmarkStart w:id="18" w:name="page19"/>
    <w:bookmarkEnd w:id="18"/>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34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71" w:lineRule="exact"/>
        <w:rPr>
          <w:sz w:val="20"/>
          <w:szCs w:val="20"/>
          <w:color w:val="auto"/>
        </w:rPr>
      </w:pPr>
    </w:p>
    <w:p>
      <w:pPr>
        <w:ind w:left="720" w:right="820"/>
        <w:spacing w:after="0" w:line="266" w:lineRule="auto"/>
        <w:rPr>
          <w:sz w:val="20"/>
          <w:szCs w:val="20"/>
          <w:color w:val="auto"/>
        </w:rPr>
      </w:pPr>
      <w:r>
        <w:rPr>
          <w:rFonts w:ascii="Arial" w:cs="Arial" w:eastAsia="Arial" w:hAnsi="Arial"/>
          <w:sz w:val="16"/>
          <w:szCs w:val="16"/>
          <w:color w:val="auto"/>
        </w:rPr>
        <w:t>in-house legal team, and lead independent director, and conducted individual oral interviews with members of our board and our senior management team. The Consultant then consolidated this feedback and led a discussion with the board regarding results and opportunities to increase effectiveness.</w:t>
      </w:r>
    </w:p>
    <w:p>
      <w:pPr>
        <w:spacing w:after="0" w:line="117" w:lineRule="exact"/>
        <w:rPr>
          <w:sz w:val="20"/>
          <w:szCs w:val="20"/>
          <w:color w:val="auto"/>
        </w:rPr>
      </w:pPr>
    </w:p>
    <w:p>
      <w:pPr>
        <w:ind w:left="720" w:right="880"/>
        <w:spacing w:after="0" w:line="286" w:lineRule="auto"/>
        <w:rPr>
          <w:sz w:val="20"/>
          <w:szCs w:val="20"/>
          <w:color w:val="auto"/>
        </w:rPr>
      </w:pPr>
      <w:r>
        <w:rPr>
          <w:rFonts w:ascii="Arial" w:cs="Arial" w:eastAsia="Arial" w:hAnsi="Arial"/>
          <w:sz w:val="16"/>
          <w:szCs w:val="16"/>
          <w:color w:val="auto"/>
        </w:rPr>
        <w:t>Our board of directors and its committees implement improvements and take further actions, as appropriate, based on opportunities identified during its evaluation.</w:t>
      </w:r>
    </w:p>
    <w:p>
      <w:pPr>
        <w:spacing w:after="0" w:line="218"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Stockholder Recommendations and Nominations to the Board of Directors</w:t>
      </w:r>
    </w:p>
    <w:p>
      <w:pPr>
        <w:spacing w:after="0" w:line="179" w:lineRule="exact"/>
        <w:rPr>
          <w:sz w:val="20"/>
          <w:szCs w:val="20"/>
          <w:color w:val="auto"/>
        </w:rPr>
      </w:pPr>
    </w:p>
    <w:p>
      <w:pPr>
        <w:ind w:left="720" w:right="740"/>
        <w:spacing w:after="0" w:line="249" w:lineRule="auto"/>
        <w:rPr>
          <w:sz w:val="20"/>
          <w:szCs w:val="20"/>
          <w:color w:val="auto"/>
        </w:rPr>
      </w:pPr>
      <w:r>
        <w:rPr>
          <w:rFonts w:ascii="Arial" w:cs="Arial" w:eastAsia="Arial" w:hAnsi="Arial"/>
          <w:sz w:val="16"/>
          <w:szCs w:val="16"/>
          <w:color w:val="auto"/>
        </w:rPr>
        <w:t>Our nominating and corporate governance committee will consider director candidates recommended by stockholders holding at least one percent (1%) of the fully diluted capitalization of Dropbox, Inc. continuously for at least 12 months prior to the date of the submission of the recommendation, so long as such recommendations comply with our amended and restated certificate of incorporation, amended and restated bylaws, and applicable laws, rules and regulations, including those promulgated by the SEC. Our nominating and corporate governance committee will evaluate such recommendations in accordance with its charter, our amended and restated bylaws and our policies and procedures for director candidates, as well as the regular director nominee criteria described above. This process is designed to ensure that our board of directors includes members with diverse backgrounds, skills, and experience, including appropriate financial and other expertise relevant to our business. Eligible stockholders wishing to recommend a candidate for nomination should contact our Corporate Secretary or legal department in writing. Such recommendations must include information about the candidate, a statement of support by the recommending stockholder, evidence of the recommending stockholder’s ownership of our capital stock, a signed letter from the candidate confirming willingness to serve on our board of directors and any additional information required by our amended and restated bylaws. Our nominating and corporate governance committee has discretion to decide which individuals to recommend for nomination as directors.</w:t>
      </w:r>
    </w:p>
    <w:p>
      <w:pPr>
        <w:spacing w:after="0" w:line="137" w:lineRule="exact"/>
        <w:rPr>
          <w:sz w:val="20"/>
          <w:szCs w:val="20"/>
          <w:color w:val="auto"/>
        </w:rPr>
      </w:pPr>
    </w:p>
    <w:p>
      <w:pPr>
        <w:ind w:left="720" w:right="760"/>
        <w:spacing w:after="0" w:line="254" w:lineRule="auto"/>
        <w:rPr>
          <w:sz w:val="20"/>
          <w:szCs w:val="20"/>
          <w:color w:val="auto"/>
        </w:rPr>
      </w:pPr>
      <w:r>
        <w:rPr>
          <w:rFonts w:ascii="Arial" w:cs="Arial" w:eastAsia="Arial" w:hAnsi="Arial"/>
          <w:sz w:val="16"/>
          <w:szCs w:val="16"/>
          <w:color w:val="auto"/>
        </w:rPr>
        <w:t>Under our amended and restated bylaws, stockholders may also directly nominate persons for our board of directors. Any nomination must comply with the requirements set forth in our amended and restated bylaws and should be sent in writing to our Corporate Secretary at Dropbox, Inc., 1800 Owens Street San Francisco, California 94158. To be timely for the 2023 annual meeting of stockholders, nominations must be received by our Corporate Secretary observing the same deadlines for stockholder proposals discussed above under “</w:t>
      </w:r>
      <w:r>
        <w:rPr>
          <w:rFonts w:ascii="Arial" w:cs="Arial" w:eastAsia="Arial" w:hAnsi="Arial"/>
          <w:sz w:val="16"/>
          <w:szCs w:val="16"/>
          <w:i w:val="1"/>
          <w:iCs w:val="1"/>
          <w:color w:val="auto"/>
        </w:rPr>
        <w:t>What is the deadline to propose actions for consideration at next year’s annual meeting of stockholders or to</w:t>
      </w:r>
      <w:r>
        <w:rPr>
          <w:rFonts w:ascii="Arial" w:cs="Arial" w:eastAsia="Arial" w:hAnsi="Arial"/>
          <w:sz w:val="16"/>
          <w:szCs w:val="16"/>
          <w:color w:val="auto"/>
        </w:rPr>
        <w:t xml:space="preserve"> </w:t>
      </w:r>
      <w:r>
        <w:rPr>
          <w:rFonts w:ascii="Arial" w:cs="Arial" w:eastAsia="Arial" w:hAnsi="Arial"/>
          <w:sz w:val="16"/>
          <w:szCs w:val="16"/>
          <w:i w:val="1"/>
          <w:iCs w:val="1"/>
          <w:color w:val="auto"/>
        </w:rPr>
        <w:t>nominate individuals to serve as directors? – Stockholder Proposals.</w:t>
      </w:r>
      <w:r>
        <w:rPr>
          <w:rFonts w:ascii="Arial" w:cs="Arial" w:eastAsia="Arial" w:hAnsi="Arial"/>
          <w:sz w:val="16"/>
          <w:szCs w:val="16"/>
          <w:color w:val="auto"/>
        </w:rPr>
        <w:t>”</w:t>
      </w:r>
    </w:p>
    <w:p>
      <w:pPr>
        <w:spacing w:after="0" w:line="244"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Communications with the Board of Directors</w:t>
      </w:r>
    </w:p>
    <w:p>
      <w:pPr>
        <w:spacing w:after="0" w:line="179" w:lineRule="exact"/>
        <w:rPr>
          <w:sz w:val="20"/>
          <w:szCs w:val="20"/>
          <w:color w:val="auto"/>
        </w:rPr>
      </w:pPr>
    </w:p>
    <w:p>
      <w:pPr>
        <w:ind w:left="720" w:right="760"/>
        <w:spacing w:after="0" w:line="256" w:lineRule="auto"/>
        <w:rPr>
          <w:sz w:val="20"/>
          <w:szCs w:val="20"/>
          <w:color w:val="auto"/>
        </w:rPr>
      </w:pPr>
      <w:r>
        <w:rPr>
          <w:rFonts w:ascii="Arial" w:cs="Arial" w:eastAsia="Arial" w:hAnsi="Arial"/>
          <w:sz w:val="16"/>
          <w:szCs w:val="16"/>
          <w:color w:val="auto"/>
        </w:rPr>
        <w:t>Interested parties wishing to communicate with non-management members of our board of directors may do so by writing and mailing the correspondence to our Corporate Secretary at Dropbox, Inc., 1800 Owens Street, San Francisco, California 94158. Each communication should set forth (i) the name and address of the stockholder, as it appears on our books, and if the shares of our common stock are held by a broker, bank or nominee, the name and address of the beneficial owner of such shares, and (ii) the class and number of shares of our common stock that are owned of record by the record holder and beneficially by the beneficial owner.</w:t>
      </w:r>
    </w:p>
    <w:p>
      <w:pPr>
        <w:spacing w:after="0" w:line="126" w:lineRule="exact"/>
        <w:rPr>
          <w:sz w:val="20"/>
          <w:szCs w:val="20"/>
          <w:color w:val="auto"/>
        </w:rPr>
      </w:pPr>
    </w:p>
    <w:p>
      <w:pPr>
        <w:ind w:left="720" w:right="980"/>
        <w:spacing w:after="0" w:line="266" w:lineRule="auto"/>
        <w:rPr>
          <w:sz w:val="20"/>
          <w:szCs w:val="20"/>
          <w:color w:val="auto"/>
        </w:rPr>
      </w:pPr>
      <w:r>
        <w:rPr>
          <w:rFonts w:ascii="Arial" w:cs="Arial" w:eastAsia="Arial" w:hAnsi="Arial"/>
          <w:sz w:val="16"/>
          <w:szCs w:val="16"/>
          <w:color w:val="auto"/>
        </w:rPr>
        <w:t>Our Corporate Secretary or legal department, in consultation with appropriate members of our board of directors as necessary, will review all incoming communications and, if appropriate, such communications will be forwarded to the appropriate member or members of our board of directors, or if none are specified, to the chairman of our board of directors.</w:t>
      </w:r>
    </w:p>
    <w:p>
      <w:pPr>
        <w:spacing w:after="0" w:line="117" w:lineRule="exact"/>
        <w:rPr>
          <w:sz w:val="20"/>
          <w:szCs w:val="20"/>
          <w:color w:val="auto"/>
        </w:rPr>
      </w:pPr>
    </w:p>
    <w:p>
      <w:pPr>
        <w:ind w:left="720" w:right="740"/>
        <w:spacing w:after="0" w:line="259" w:lineRule="auto"/>
        <w:rPr>
          <w:sz w:val="20"/>
          <w:szCs w:val="20"/>
          <w:color w:val="auto"/>
        </w:rPr>
      </w:pPr>
      <w:r>
        <w:rPr>
          <w:rFonts w:ascii="Arial" w:cs="Arial" w:eastAsia="Arial" w:hAnsi="Arial"/>
          <w:sz w:val="16"/>
          <w:szCs w:val="16"/>
          <w:color w:val="auto"/>
        </w:rPr>
        <w:t>This procedure does not apply to (i) communications to non-management directors from our officers or directors who are stockholders or (ii) stockholder proposals submitted pursuant to Rule 14a-8 under the Exchange Act, which are discussed further in the section titled “</w:t>
      </w:r>
      <w:r>
        <w:rPr>
          <w:rFonts w:ascii="Arial" w:cs="Arial" w:eastAsia="Arial" w:hAnsi="Arial"/>
          <w:sz w:val="16"/>
          <w:szCs w:val="16"/>
          <w:i w:val="1"/>
          <w:iCs w:val="1"/>
          <w:color w:val="auto"/>
        </w:rPr>
        <w:t>What is the deadline to propose actions for consideration at next year’s annual meeting of stockholders or to nominate</w:t>
      </w:r>
      <w:r>
        <w:rPr>
          <w:rFonts w:ascii="Arial" w:cs="Arial" w:eastAsia="Arial" w:hAnsi="Arial"/>
          <w:sz w:val="16"/>
          <w:szCs w:val="16"/>
          <w:color w:val="auto"/>
        </w:rPr>
        <w:t xml:space="preserve"> </w:t>
      </w:r>
      <w:r>
        <w:rPr>
          <w:rFonts w:ascii="Arial" w:cs="Arial" w:eastAsia="Arial" w:hAnsi="Arial"/>
          <w:sz w:val="16"/>
          <w:szCs w:val="16"/>
          <w:i w:val="1"/>
          <w:iCs w:val="1"/>
          <w:color w:val="auto"/>
        </w:rPr>
        <w:t>individuals to serve as directors?—Stockholder Proposals</w:t>
      </w:r>
      <w:r>
        <w:rPr>
          <w:rFonts w:ascii="Arial" w:cs="Arial" w:eastAsia="Arial" w:hAnsi="Arial"/>
          <w:sz w:val="16"/>
          <w:szCs w:val="16"/>
          <w:color w:val="auto"/>
        </w:rPr>
        <w:t>” described above in this proxy statement.</w:t>
      </w:r>
    </w:p>
    <w:p>
      <w:pPr>
        <w:spacing w:after="0" w:line="240"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Corporate Governance Guidelines and Code of Business Conduct and Ethics</w:t>
      </w:r>
    </w:p>
    <w:p>
      <w:pPr>
        <w:spacing w:after="0" w:line="179" w:lineRule="exact"/>
        <w:rPr>
          <w:sz w:val="20"/>
          <w:szCs w:val="20"/>
          <w:color w:val="auto"/>
        </w:rPr>
      </w:pPr>
    </w:p>
    <w:p>
      <w:pPr>
        <w:ind w:left="720" w:right="960"/>
        <w:spacing w:after="0" w:line="259" w:lineRule="auto"/>
        <w:rPr>
          <w:sz w:val="20"/>
          <w:szCs w:val="20"/>
          <w:color w:val="auto"/>
        </w:rPr>
      </w:pPr>
      <w:r>
        <w:rPr>
          <w:rFonts w:ascii="Arial" w:cs="Arial" w:eastAsia="Arial" w:hAnsi="Arial"/>
          <w:sz w:val="16"/>
          <w:szCs w:val="16"/>
          <w:color w:val="auto"/>
        </w:rPr>
        <w:t>Our board of directors has adopted Corporate Governance Guidelines that address items such as the qualifications and responsibilities of our directors and director candidates, including independence standards, and corporate governance policies and standards applicable to us in general. In addition, our board of directors has adopted a Code of Business Conduct and Ethics that applies to all of our employees, officers and directors, including our Chief Executive Officer, Chief Financial Officer and other</w:t>
      </w:r>
    </w:p>
    <w:p>
      <w:pPr>
        <w:spacing w:after="0" w:line="183"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15</w:t>
            </w:r>
          </w:p>
        </w:tc>
      </w:tr>
      <w:tr>
        <w:trPr>
          <w:trHeight w:val="158"/>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19" w:name="page20"/>
    <w:bookmarkEnd w:id="19"/>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right="60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71" w:lineRule="exact"/>
        <w:rPr>
          <w:sz w:val="20"/>
          <w:szCs w:val="20"/>
          <w:color w:val="auto"/>
        </w:rPr>
      </w:pPr>
    </w:p>
    <w:p>
      <w:pPr>
        <w:jc w:val="both"/>
        <w:ind w:left="4" w:right="120"/>
        <w:spacing w:after="0" w:line="259" w:lineRule="auto"/>
        <w:rPr>
          <w:sz w:val="20"/>
          <w:szCs w:val="20"/>
          <w:color w:val="auto"/>
        </w:rPr>
      </w:pPr>
      <w:r>
        <w:rPr>
          <w:rFonts w:ascii="Arial" w:cs="Arial" w:eastAsia="Arial" w:hAnsi="Arial"/>
          <w:sz w:val="16"/>
          <w:szCs w:val="16"/>
          <w:color w:val="auto"/>
        </w:rPr>
        <w:t>executive and senior financial officers. The full text of our Corporate Governance Guidelines and our Code of Business Conduct and Ethics is posted on our website at investors.dropbox.com. We will post amendments to our Code of Business Conduct and Ethics or any waivers of our Code of Business Conduct and Ethics for directors and executive officers on the same website or in filings under the Exchange Act.</w:t>
      </w:r>
    </w:p>
    <w:p>
      <w:pPr>
        <w:spacing w:after="0" w:line="159" w:lineRule="exact"/>
        <w:rPr>
          <w:sz w:val="20"/>
          <w:szCs w:val="20"/>
          <w:color w:val="auto"/>
        </w:rPr>
      </w:pPr>
    </w:p>
    <w:p>
      <w:pPr>
        <w:ind w:left="4"/>
        <w:spacing w:after="0"/>
        <w:rPr>
          <w:sz w:val="20"/>
          <w:szCs w:val="20"/>
          <w:color w:val="auto"/>
        </w:rPr>
      </w:pPr>
      <w:r>
        <w:rPr>
          <w:rFonts w:ascii="Arial" w:cs="Arial" w:eastAsia="Arial" w:hAnsi="Arial"/>
          <w:sz w:val="26"/>
          <w:szCs w:val="26"/>
          <w:color w:val="0063A6"/>
        </w:rPr>
        <w:t>Role of Board in Risk Oversight Process</w:t>
      </w:r>
    </w:p>
    <w:p>
      <w:pPr>
        <w:spacing w:after="0" w:line="179" w:lineRule="exact"/>
        <w:rPr>
          <w:sz w:val="20"/>
          <w:szCs w:val="20"/>
          <w:color w:val="auto"/>
        </w:rPr>
      </w:pPr>
    </w:p>
    <w:p>
      <w:pPr>
        <w:ind w:left="4" w:right="20"/>
        <w:spacing w:after="0" w:line="251" w:lineRule="auto"/>
        <w:rPr>
          <w:sz w:val="20"/>
          <w:szCs w:val="20"/>
          <w:color w:val="auto"/>
        </w:rPr>
      </w:pPr>
      <w:r>
        <w:rPr>
          <w:rFonts w:ascii="Arial" w:cs="Arial" w:eastAsia="Arial" w:hAnsi="Arial"/>
          <w:sz w:val="16"/>
          <w:szCs w:val="16"/>
          <w:color w:val="auto"/>
        </w:rPr>
        <w:t>Risk is inherent with every business, and we face a number of risks, including strategic, financial, business and operational, legal and compliance, and reputational, in the pursuit and achievement of our strategic objectives. We have designed and implemented processes to manage risk in our operations. Management is responsible for the day-to-day oversight and management of strategic, operational, legal and compliance, cybersecurity, and financial risks, while our board of directors, as a whole and assisted by its committees, has responsibility for the oversight of our risk management framework, which is designed to identify, assess, and manage risks to which our company is exposed, as well as to foster a corporate culture of integrity. Consistent with this approach, our board regularly reviews our strategic and operational risks in the context of discussions with management, question and answer sessions, and reports from the management team at each regular board meeting. Our board also receives regular reports on all significant committee activities at each regular board meeting, and evaluates the risks inherent in significant transactions.</w:t>
      </w:r>
    </w:p>
    <w:p>
      <w:pPr>
        <w:spacing w:after="0" w:line="131" w:lineRule="exact"/>
        <w:rPr>
          <w:sz w:val="20"/>
          <w:szCs w:val="20"/>
          <w:color w:val="auto"/>
        </w:rPr>
      </w:pPr>
    </w:p>
    <w:p>
      <w:pPr>
        <w:ind w:left="4" w:right="80"/>
        <w:spacing w:after="0" w:line="250" w:lineRule="auto"/>
        <w:rPr>
          <w:sz w:val="20"/>
          <w:szCs w:val="20"/>
          <w:color w:val="auto"/>
        </w:rPr>
      </w:pPr>
      <w:r>
        <w:rPr>
          <w:rFonts w:ascii="Arial" w:cs="Arial" w:eastAsia="Arial" w:hAnsi="Arial"/>
          <w:sz w:val="16"/>
          <w:szCs w:val="16"/>
          <w:color w:val="auto"/>
        </w:rPr>
        <w:t>In addition, our board has tasked designated standing committees with oversight of certain categories of risk management. Our audit committee assists our board in fulfilling its oversight responsibilities with respect to risk management in the areas of internal control over financial reporting and disclosure controls and procedures, as well as legal and regulatory compliance. The audit committee further oversees our initiatives related to our operational infrastructure, particularly reliability, business continuity, cybersecurity, and data privacy, as well as our enterprise-risk management program. Our audit committee also, among other things, discusses with management and the independent auditor guidelines and policies with respect to risk assessment and risk management. Our compensation committee assesses risks relating to our executive compensation plans and arrangements, and whether our compensation policies and programs have the potential to encourage excessive risk-taking. Our nominating and corporate governance committee assesses risks relating to our corporate governance practices, the independence of the board, and potential conflicts of interest. These committees provide regular reports on our risk management efforts to the full board.</w:t>
      </w:r>
    </w:p>
    <w:p>
      <w:pPr>
        <w:spacing w:after="0" w:line="189" w:lineRule="exact"/>
        <w:rPr>
          <w:sz w:val="20"/>
          <w:szCs w:val="20"/>
          <w:color w:val="auto"/>
        </w:rPr>
      </w:pPr>
    </w:p>
    <w:p>
      <w:pPr>
        <w:ind w:left="4"/>
        <w:spacing w:after="0"/>
        <w:rPr>
          <w:sz w:val="20"/>
          <w:szCs w:val="20"/>
          <w:color w:val="auto"/>
        </w:rPr>
      </w:pPr>
      <w:r>
        <w:rPr>
          <w:rFonts w:ascii="Arial" w:cs="Arial" w:eastAsia="Arial" w:hAnsi="Arial"/>
          <w:sz w:val="16"/>
          <w:szCs w:val="16"/>
          <w:color w:val="auto"/>
        </w:rPr>
        <w:t>Our board of directors believes its current leadership structure supports the risk oversight function of the board.</w:t>
      </w:r>
    </w:p>
    <w:p>
      <w:pPr>
        <w:spacing w:after="0" w:line="202" w:lineRule="exact"/>
        <w:rPr>
          <w:sz w:val="20"/>
          <w:szCs w:val="20"/>
          <w:color w:val="auto"/>
        </w:rPr>
      </w:pPr>
    </w:p>
    <w:p>
      <w:pPr>
        <w:ind w:left="4"/>
        <w:spacing w:after="0"/>
        <w:rPr>
          <w:sz w:val="20"/>
          <w:szCs w:val="20"/>
          <w:color w:val="auto"/>
        </w:rPr>
      </w:pPr>
      <w:r>
        <w:rPr>
          <w:rFonts w:ascii="Arial" w:cs="Arial" w:eastAsia="Arial" w:hAnsi="Arial"/>
          <w:sz w:val="26"/>
          <w:szCs w:val="26"/>
          <w:color w:val="0063A6"/>
        </w:rPr>
        <w:t>Corporate Social Responsibility Highlights</w:t>
      </w:r>
    </w:p>
    <w:p>
      <w:pPr>
        <w:spacing w:after="0" w:line="179" w:lineRule="exact"/>
        <w:rPr>
          <w:sz w:val="20"/>
          <w:szCs w:val="20"/>
          <w:color w:val="auto"/>
        </w:rPr>
      </w:pPr>
    </w:p>
    <w:p>
      <w:pPr>
        <w:ind w:left="4"/>
        <w:spacing w:after="0" w:line="259" w:lineRule="auto"/>
        <w:rPr>
          <w:sz w:val="20"/>
          <w:szCs w:val="20"/>
          <w:color w:val="auto"/>
        </w:rPr>
      </w:pPr>
      <w:r>
        <w:rPr>
          <w:rFonts w:ascii="Arial" w:cs="Arial" w:eastAsia="Arial" w:hAnsi="Arial"/>
          <w:sz w:val="16"/>
          <w:szCs w:val="16"/>
          <w:color w:val="auto"/>
        </w:rPr>
        <w:t>We are committed to conducting business in an ethical and transparent way, and to being accountable to our customers, our employees, our stockholders, the communities in which we operate, and all our other stakeholders for the manner in which we run our business. Furthermore, our board of directors and its committees receive updates on issues related to corporate social responsibility that are important to our company.</w:t>
      </w:r>
    </w:p>
    <w:p>
      <w:pPr>
        <w:spacing w:after="0" w:line="124" w:lineRule="exact"/>
        <w:rPr>
          <w:sz w:val="20"/>
          <w:szCs w:val="20"/>
          <w:color w:val="auto"/>
        </w:rPr>
      </w:pPr>
    </w:p>
    <w:p>
      <w:pPr>
        <w:ind w:left="4" w:right="200"/>
        <w:spacing w:after="0" w:line="259" w:lineRule="auto"/>
        <w:rPr>
          <w:sz w:val="20"/>
          <w:szCs w:val="20"/>
          <w:color w:val="auto"/>
        </w:rPr>
      </w:pPr>
      <w:r>
        <w:rPr>
          <w:rFonts w:ascii="Arial" w:cs="Arial" w:eastAsia="Arial" w:hAnsi="Arial"/>
          <w:sz w:val="16"/>
          <w:szCs w:val="16"/>
          <w:color w:val="auto"/>
        </w:rPr>
        <w:t>In addition, we believe that operating sustainably drives long-term stockholder value. During the 2021 fiscal year, we continued to respond to the COVID-19 pandemic by supporting and protecting the health and safety of our employees, as well as assisting our communities. Described below are recent and ongoing efforts we have undertaken to benefit and support our various stakeholders, including in the face of challenges presented by the ongoing COVID-19 pandemic.</w:t>
      </w:r>
    </w:p>
    <w:p>
      <w:pPr>
        <w:spacing w:after="0" w:line="178"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Human Capital Management</w:t>
      </w:r>
    </w:p>
    <w:p>
      <w:pPr>
        <w:spacing w:after="0" w:line="142" w:lineRule="exact"/>
        <w:rPr>
          <w:sz w:val="20"/>
          <w:szCs w:val="20"/>
          <w:color w:val="auto"/>
        </w:rPr>
      </w:pPr>
    </w:p>
    <w:p>
      <w:pPr>
        <w:ind w:left="4"/>
        <w:spacing w:after="0"/>
        <w:rPr>
          <w:sz w:val="20"/>
          <w:szCs w:val="20"/>
          <w:color w:val="auto"/>
        </w:rPr>
      </w:pPr>
      <w:r>
        <w:rPr>
          <w:rFonts w:ascii="Arial" w:cs="Arial" w:eastAsia="Arial" w:hAnsi="Arial"/>
          <w:sz w:val="16"/>
          <w:szCs w:val="16"/>
          <w:i w:val="1"/>
          <w:iCs w:val="1"/>
          <w:color w:val="auto"/>
        </w:rPr>
        <w:t>Employee Wellness and Development</w:t>
      </w:r>
    </w:p>
    <w:p>
      <w:pPr>
        <w:spacing w:after="0" w:line="165" w:lineRule="exact"/>
        <w:rPr>
          <w:sz w:val="20"/>
          <w:szCs w:val="20"/>
          <w:color w:val="auto"/>
        </w:rPr>
      </w:pPr>
    </w:p>
    <w:p>
      <w:pPr>
        <w:ind w:left="284" w:right="700" w:hanging="284"/>
        <w:spacing w:after="0" w:line="286" w:lineRule="auto"/>
        <w:tabs>
          <w:tab w:leader="none" w:pos="284" w:val="left"/>
        </w:tabs>
        <w:numPr>
          <w:ilvl w:val="0"/>
          <w:numId w:val="27"/>
        </w:numPr>
        <w:rPr>
          <w:rFonts w:ascii="Arial" w:cs="Arial" w:eastAsia="Arial" w:hAnsi="Arial"/>
          <w:sz w:val="16"/>
          <w:szCs w:val="16"/>
          <w:color w:val="0063A6"/>
        </w:rPr>
      </w:pPr>
      <w:r>
        <w:rPr>
          <w:rFonts w:ascii="Arial" w:cs="Arial" w:eastAsia="Arial" w:hAnsi="Arial"/>
          <w:sz w:val="16"/>
          <w:szCs w:val="16"/>
          <w:color w:val="auto"/>
        </w:rPr>
        <w:t>We are committed to supporting the well-being of our employees by providing 24 weeks of paid parental leave for all our employees, as well as mental and physical wellness benefits.</w:t>
      </w:r>
    </w:p>
    <w:p>
      <w:pPr>
        <w:spacing w:after="0" w:line="101" w:lineRule="exact"/>
        <w:rPr>
          <w:rFonts w:ascii="Arial" w:cs="Arial" w:eastAsia="Arial" w:hAnsi="Arial"/>
          <w:sz w:val="16"/>
          <w:szCs w:val="16"/>
          <w:color w:val="0063A6"/>
        </w:rPr>
      </w:pPr>
    </w:p>
    <w:p>
      <w:pPr>
        <w:ind w:left="284" w:right="80" w:hanging="284"/>
        <w:spacing w:after="0" w:line="266" w:lineRule="auto"/>
        <w:tabs>
          <w:tab w:leader="none" w:pos="284" w:val="left"/>
        </w:tabs>
        <w:numPr>
          <w:ilvl w:val="0"/>
          <w:numId w:val="27"/>
        </w:numPr>
        <w:rPr>
          <w:rFonts w:ascii="Arial" w:cs="Arial" w:eastAsia="Arial" w:hAnsi="Arial"/>
          <w:sz w:val="16"/>
          <w:szCs w:val="16"/>
          <w:color w:val="0063A6"/>
        </w:rPr>
      </w:pPr>
      <w:r>
        <w:rPr>
          <w:rFonts w:ascii="Arial" w:cs="Arial" w:eastAsia="Arial" w:hAnsi="Arial"/>
          <w:sz w:val="16"/>
          <w:szCs w:val="16"/>
          <w:color w:val="auto"/>
        </w:rPr>
        <w:t>The safety of our employees is paramount; we have a physical security policy applicable to all our employees in our global locations and our global physical security team is empowered to protect the safety of our employees in the event of emergencies or disasters.</w:t>
      </w:r>
    </w:p>
    <w:p>
      <w:pPr>
        <w:spacing w:after="0" w:line="117" w:lineRule="exact"/>
        <w:rPr>
          <w:rFonts w:ascii="Arial" w:cs="Arial" w:eastAsia="Arial" w:hAnsi="Arial"/>
          <w:sz w:val="16"/>
          <w:szCs w:val="16"/>
          <w:color w:val="0063A6"/>
        </w:rPr>
      </w:pPr>
    </w:p>
    <w:p>
      <w:pPr>
        <w:ind w:left="284" w:hanging="284"/>
        <w:spacing w:after="0"/>
        <w:tabs>
          <w:tab w:leader="none" w:pos="284" w:val="left"/>
        </w:tabs>
        <w:numPr>
          <w:ilvl w:val="0"/>
          <w:numId w:val="27"/>
        </w:numPr>
        <w:rPr>
          <w:rFonts w:ascii="Arial" w:cs="Arial" w:eastAsia="Arial" w:hAnsi="Arial"/>
          <w:sz w:val="16"/>
          <w:szCs w:val="16"/>
          <w:color w:val="0063A6"/>
        </w:rPr>
      </w:pPr>
      <w:r>
        <w:rPr>
          <w:rFonts w:ascii="Arial" w:cs="Arial" w:eastAsia="Arial" w:hAnsi="Arial"/>
          <w:sz w:val="16"/>
          <w:szCs w:val="16"/>
          <w:color w:val="auto"/>
        </w:rPr>
        <w:t>In addition, to protect the health and safety of our employees and to support their well-being during the COVID-19 pandemic:</w:t>
      </w:r>
    </w:p>
    <w:p>
      <w:pPr>
        <w:spacing w:after="0" w:line="167" w:lineRule="exact"/>
        <w:rPr>
          <w:rFonts w:ascii="Arial" w:cs="Arial" w:eastAsia="Arial" w:hAnsi="Arial"/>
          <w:sz w:val="16"/>
          <w:szCs w:val="16"/>
          <w:color w:val="0063A6"/>
        </w:rPr>
      </w:pPr>
    </w:p>
    <w:p>
      <w:pPr>
        <w:ind w:left="644" w:hanging="284"/>
        <w:spacing w:after="0"/>
        <w:tabs>
          <w:tab w:leader="none" w:pos="644" w:val="left"/>
        </w:tabs>
        <w:numPr>
          <w:ilvl w:val="1"/>
          <w:numId w:val="27"/>
        </w:numPr>
        <w:rPr>
          <w:rFonts w:ascii="Arial" w:cs="Arial" w:eastAsia="Arial" w:hAnsi="Arial"/>
          <w:sz w:val="16"/>
          <w:szCs w:val="16"/>
          <w:color w:val="0063A6"/>
        </w:rPr>
      </w:pPr>
      <w:r>
        <w:rPr>
          <w:rFonts w:ascii="Arial" w:cs="Arial" w:eastAsia="Arial" w:hAnsi="Arial"/>
          <w:sz w:val="16"/>
          <w:szCs w:val="16"/>
          <w:color w:val="auto"/>
        </w:rPr>
        <w:t>We shifted to a remote-work model for substantially all of our employees.</w:t>
      </w:r>
    </w:p>
    <w:p>
      <w:pPr>
        <w:spacing w:after="0" w:line="226" w:lineRule="exact"/>
        <w:rPr>
          <w:sz w:val="20"/>
          <w:szCs w:val="20"/>
          <w:color w:val="auto"/>
        </w:rPr>
      </w:pPr>
    </w:p>
    <w:p>
      <w:pPr>
        <w:ind w:left="524" w:hanging="524"/>
        <w:spacing w:after="0"/>
        <w:tabs>
          <w:tab w:leader="none" w:pos="524" w:val="left"/>
        </w:tabs>
        <w:numPr>
          <w:ilvl w:val="0"/>
          <w:numId w:val="28"/>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126365</wp:posOffset>
            </wp:positionV>
            <wp:extent cx="6995160" cy="171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20" w:name="page21"/>
    <w:bookmarkEnd w:id="20"/>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34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71" w:lineRule="exact"/>
        <w:rPr>
          <w:sz w:val="20"/>
          <w:szCs w:val="20"/>
          <w:color w:val="auto"/>
        </w:rPr>
      </w:pPr>
    </w:p>
    <w:p>
      <w:pPr>
        <w:ind w:left="1360" w:right="980" w:hanging="284"/>
        <w:spacing w:after="0" w:line="259" w:lineRule="auto"/>
        <w:tabs>
          <w:tab w:leader="none" w:pos="1360" w:val="left"/>
        </w:tabs>
        <w:numPr>
          <w:ilvl w:val="1"/>
          <w:numId w:val="29"/>
        </w:numPr>
        <w:rPr>
          <w:rFonts w:ascii="Arial" w:cs="Arial" w:eastAsia="Arial" w:hAnsi="Arial"/>
          <w:sz w:val="16"/>
          <w:szCs w:val="16"/>
          <w:color w:val="0063A6"/>
        </w:rPr>
      </w:pPr>
      <w:r>
        <w:rPr>
          <w:rFonts w:ascii="Arial" w:cs="Arial" w:eastAsia="Arial" w:hAnsi="Arial"/>
          <w:sz w:val="16"/>
          <w:szCs w:val="16"/>
          <w:color w:val="auto"/>
        </w:rPr>
        <w:t>We established Global COVID-19 Workplace Health &amp; Safety Standards for situations where it was necessary for employees or other personnel to enter our offices; these standards mandated locally-compliant health screening, social distancing and face covering practices and advised all visitors to follow personal health and hygiene best practices; these standards were reviewed and updated as we received further guidance from public health authorities.</w:t>
      </w:r>
    </w:p>
    <w:p>
      <w:pPr>
        <w:spacing w:after="0" w:line="123" w:lineRule="exact"/>
        <w:rPr>
          <w:rFonts w:ascii="Arial" w:cs="Arial" w:eastAsia="Arial" w:hAnsi="Arial"/>
          <w:sz w:val="16"/>
          <w:szCs w:val="16"/>
          <w:color w:val="0063A6"/>
        </w:rPr>
      </w:pPr>
    </w:p>
    <w:p>
      <w:pPr>
        <w:ind w:left="1360" w:right="1040" w:hanging="284"/>
        <w:spacing w:after="0" w:line="286" w:lineRule="auto"/>
        <w:tabs>
          <w:tab w:leader="none" w:pos="1360" w:val="left"/>
        </w:tabs>
        <w:numPr>
          <w:ilvl w:val="1"/>
          <w:numId w:val="29"/>
        </w:numPr>
        <w:rPr>
          <w:rFonts w:ascii="Arial" w:cs="Arial" w:eastAsia="Arial" w:hAnsi="Arial"/>
          <w:sz w:val="16"/>
          <w:szCs w:val="16"/>
          <w:color w:val="0063A6"/>
        </w:rPr>
      </w:pPr>
      <w:r>
        <w:rPr>
          <w:rFonts w:ascii="Arial" w:cs="Arial" w:eastAsia="Arial" w:hAnsi="Arial"/>
          <w:sz w:val="16"/>
          <w:szCs w:val="16"/>
          <w:color w:val="auto"/>
        </w:rPr>
        <w:t>We provided subsidized dependent care and access to dependent care resources, as well as supporting flexible working arrangements for our employees with caregiving obligations.</w:t>
      </w:r>
    </w:p>
    <w:p>
      <w:pPr>
        <w:spacing w:after="0" w:line="101" w:lineRule="exact"/>
        <w:rPr>
          <w:rFonts w:ascii="Arial" w:cs="Arial" w:eastAsia="Arial" w:hAnsi="Arial"/>
          <w:sz w:val="16"/>
          <w:szCs w:val="16"/>
          <w:color w:val="0063A6"/>
        </w:rPr>
      </w:pPr>
    </w:p>
    <w:p>
      <w:pPr>
        <w:ind w:left="1360" w:right="800" w:hanging="284"/>
        <w:spacing w:after="0" w:line="286" w:lineRule="auto"/>
        <w:tabs>
          <w:tab w:leader="none" w:pos="1360" w:val="left"/>
        </w:tabs>
        <w:numPr>
          <w:ilvl w:val="1"/>
          <w:numId w:val="29"/>
        </w:numPr>
        <w:rPr>
          <w:rFonts w:ascii="Arial" w:cs="Arial" w:eastAsia="Arial" w:hAnsi="Arial"/>
          <w:sz w:val="16"/>
          <w:szCs w:val="16"/>
          <w:color w:val="0063A6"/>
        </w:rPr>
      </w:pPr>
      <w:r>
        <w:rPr>
          <w:rFonts w:ascii="Arial" w:cs="Arial" w:eastAsia="Arial" w:hAnsi="Arial"/>
          <w:sz w:val="16"/>
          <w:szCs w:val="16"/>
          <w:color w:val="auto"/>
        </w:rPr>
        <w:t>We offer a program to help employees and their dependents manage their mental health through coaching, therapy, and on-demand resources.</w:t>
      </w:r>
    </w:p>
    <w:p>
      <w:pPr>
        <w:spacing w:after="0" w:line="101" w:lineRule="exact"/>
        <w:rPr>
          <w:rFonts w:ascii="Arial" w:cs="Arial" w:eastAsia="Arial" w:hAnsi="Arial"/>
          <w:sz w:val="16"/>
          <w:szCs w:val="16"/>
          <w:color w:val="0063A6"/>
        </w:rPr>
      </w:pPr>
    </w:p>
    <w:p>
      <w:pPr>
        <w:ind w:left="1360" w:right="800" w:hanging="284"/>
        <w:spacing w:after="0" w:line="286" w:lineRule="auto"/>
        <w:tabs>
          <w:tab w:leader="none" w:pos="1360" w:val="left"/>
        </w:tabs>
        <w:numPr>
          <w:ilvl w:val="1"/>
          <w:numId w:val="29"/>
        </w:numPr>
        <w:rPr>
          <w:rFonts w:ascii="Arial" w:cs="Arial" w:eastAsia="Arial" w:hAnsi="Arial"/>
          <w:sz w:val="16"/>
          <w:szCs w:val="16"/>
          <w:color w:val="0063A6"/>
        </w:rPr>
      </w:pPr>
      <w:r>
        <w:rPr>
          <w:rFonts w:ascii="Arial" w:cs="Arial" w:eastAsia="Arial" w:hAnsi="Arial"/>
          <w:sz w:val="16"/>
          <w:szCs w:val="16"/>
          <w:color w:val="auto"/>
        </w:rPr>
        <w:t>We continued to offer robust learning and development opportunities for our employees and managers, which included skill-building workshops as well as coaching pods to support connection and peer learning in a remote context.</w:t>
      </w:r>
    </w:p>
    <w:p>
      <w:pPr>
        <w:spacing w:after="0" w:line="101" w:lineRule="exact"/>
        <w:rPr>
          <w:rFonts w:ascii="Arial" w:cs="Arial" w:eastAsia="Arial" w:hAnsi="Arial"/>
          <w:sz w:val="16"/>
          <w:szCs w:val="16"/>
          <w:color w:val="0063A6"/>
        </w:rPr>
      </w:pPr>
    </w:p>
    <w:p>
      <w:pPr>
        <w:ind w:left="1000" w:right="900" w:hanging="284"/>
        <w:spacing w:after="0" w:line="286" w:lineRule="auto"/>
        <w:tabs>
          <w:tab w:leader="none" w:pos="1000" w:val="left"/>
        </w:tabs>
        <w:numPr>
          <w:ilvl w:val="0"/>
          <w:numId w:val="29"/>
        </w:numPr>
        <w:rPr>
          <w:rFonts w:ascii="Arial" w:cs="Arial" w:eastAsia="Arial" w:hAnsi="Arial"/>
          <w:sz w:val="16"/>
          <w:szCs w:val="16"/>
          <w:color w:val="0063A6"/>
        </w:rPr>
      </w:pPr>
      <w:r>
        <w:rPr>
          <w:rFonts w:ascii="Arial" w:cs="Arial" w:eastAsia="Arial" w:hAnsi="Arial"/>
          <w:sz w:val="16"/>
          <w:szCs w:val="16"/>
          <w:color w:val="auto"/>
        </w:rPr>
        <w:t>We have transitioned to our Virtual First work model, in which remote work has become the primary experience for substantially all of our employees; as part of our Virtual First workforce strategy we strive to support our employees by:</w:t>
      </w:r>
    </w:p>
    <w:p>
      <w:pPr>
        <w:spacing w:after="0" w:line="101" w:lineRule="exact"/>
        <w:rPr>
          <w:rFonts w:ascii="Arial" w:cs="Arial" w:eastAsia="Arial" w:hAnsi="Arial"/>
          <w:sz w:val="16"/>
          <w:szCs w:val="16"/>
          <w:color w:val="0063A6"/>
        </w:rPr>
      </w:pPr>
    </w:p>
    <w:p>
      <w:pPr>
        <w:ind w:left="1360" w:right="900" w:hanging="284"/>
        <w:spacing w:after="0" w:line="266" w:lineRule="auto"/>
        <w:tabs>
          <w:tab w:leader="none" w:pos="1360" w:val="left"/>
        </w:tabs>
        <w:numPr>
          <w:ilvl w:val="1"/>
          <w:numId w:val="29"/>
        </w:numPr>
        <w:rPr>
          <w:rFonts w:ascii="Arial" w:cs="Arial" w:eastAsia="Arial" w:hAnsi="Arial"/>
          <w:sz w:val="16"/>
          <w:szCs w:val="16"/>
          <w:color w:val="0063A6"/>
        </w:rPr>
      </w:pPr>
      <w:r>
        <w:rPr>
          <w:rFonts w:ascii="Arial" w:cs="Arial" w:eastAsia="Arial" w:hAnsi="Arial"/>
          <w:sz w:val="16"/>
          <w:szCs w:val="16"/>
          <w:color w:val="auto"/>
        </w:rPr>
        <w:t>Providing a flexible quarterly allowance that gives employees the flexibility to focus this benefit towards what really matters to them; this may include health and wellness, family and caregiver support, productivity and ergonomics, learning and development or financial wellness.</w:t>
      </w:r>
    </w:p>
    <w:p>
      <w:pPr>
        <w:spacing w:after="0" w:line="117" w:lineRule="exact"/>
        <w:rPr>
          <w:rFonts w:ascii="Arial" w:cs="Arial" w:eastAsia="Arial" w:hAnsi="Arial"/>
          <w:sz w:val="16"/>
          <w:szCs w:val="16"/>
          <w:color w:val="0063A6"/>
        </w:rPr>
      </w:pPr>
    </w:p>
    <w:p>
      <w:pPr>
        <w:ind w:left="1360" w:right="940" w:hanging="284"/>
        <w:spacing w:after="0" w:line="286" w:lineRule="auto"/>
        <w:tabs>
          <w:tab w:leader="none" w:pos="1360" w:val="left"/>
        </w:tabs>
        <w:numPr>
          <w:ilvl w:val="1"/>
          <w:numId w:val="29"/>
        </w:numPr>
        <w:rPr>
          <w:rFonts w:ascii="Arial" w:cs="Arial" w:eastAsia="Arial" w:hAnsi="Arial"/>
          <w:sz w:val="16"/>
          <w:szCs w:val="16"/>
          <w:color w:val="0063A6"/>
        </w:rPr>
      </w:pPr>
      <w:r>
        <w:rPr>
          <w:rFonts w:ascii="Arial" w:cs="Arial" w:eastAsia="Arial" w:hAnsi="Arial"/>
          <w:sz w:val="16"/>
          <w:szCs w:val="16"/>
          <w:color w:val="auto"/>
        </w:rPr>
        <w:t>Promoting work-life balance by empowering our employees to adopt flexible working arrangements and providing tools for efficient remote collaboration.</w:t>
      </w:r>
    </w:p>
    <w:p>
      <w:pPr>
        <w:spacing w:after="0" w:line="101" w:lineRule="exact"/>
        <w:rPr>
          <w:rFonts w:ascii="Arial" w:cs="Arial" w:eastAsia="Arial" w:hAnsi="Arial"/>
          <w:sz w:val="16"/>
          <w:szCs w:val="16"/>
          <w:color w:val="0063A6"/>
        </w:rPr>
      </w:pPr>
    </w:p>
    <w:p>
      <w:pPr>
        <w:ind w:left="1360" w:hanging="284"/>
        <w:spacing w:after="0"/>
        <w:tabs>
          <w:tab w:leader="none" w:pos="1360" w:val="left"/>
        </w:tabs>
        <w:numPr>
          <w:ilvl w:val="1"/>
          <w:numId w:val="29"/>
        </w:numPr>
        <w:rPr>
          <w:rFonts w:ascii="Arial" w:cs="Arial" w:eastAsia="Arial" w:hAnsi="Arial"/>
          <w:sz w:val="16"/>
          <w:szCs w:val="16"/>
          <w:color w:val="0063A6"/>
        </w:rPr>
      </w:pPr>
      <w:r>
        <w:rPr>
          <w:rFonts w:ascii="Arial" w:cs="Arial" w:eastAsia="Arial" w:hAnsi="Arial"/>
          <w:sz w:val="16"/>
          <w:szCs w:val="16"/>
          <w:color w:val="auto"/>
        </w:rPr>
        <w:t>Continuing to provide opportunities for in-person collaboration, when safe to do so, at our “Dropbox Studios” locations.</w:t>
      </w:r>
    </w:p>
    <w:p>
      <w:pPr>
        <w:spacing w:after="0" w:line="167" w:lineRule="exact"/>
        <w:rPr>
          <w:rFonts w:ascii="Arial" w:cs="Arial" w:eastAsia="Arial" w:hAnsi="Arial"/>
          <w:sz w:val="16"/>
          <w:szCs w:val="16"/>
          <w:color w:val="0063A6"/>
        </w:rPr>
      </w:pPr>
    </w:p>
    <w:p>
      <w:pPr>
        <w:ind w:left="1000" w:right="1100" w:hanging="284"/>
        <w:spacing w:after="0" w:line="286" w:lineRule="auto"/>
        <w:tabs>
          <w:tab w:leader="none" w:pos="1000" w:val="left"/>
        </w:tabs>
        <w:numPr>
          <w:ilvl w:val="0"/>
          <w:numId w:val="29"/>
        </w:numPr>
        <w:rPr>
          <w:rFonts w:ascii="Arial" w:cs="Arial" w:eastAsia="Arial" w:hAnsi="Arial"/>
          <w:sz w:val="16"/>
          <w:szCs w:val="16"/>
          <w:color w:val="0063A6"/>
        </w:rPr>
      </w:pPr>
      <w:r>
        <w:rPr>
          <w:rFonts w:ascii="Arial" w:cs="Arial" w:eastAsia="Arial" w:hAnsi="Arial"/>
          <w:sz w:val="16"/>
          <w:szCs w:val="16"/>
          <w:color w:val="auto"/>
        </w:rPr>
        <w:t>We conduct a bi-annual employee engagement survey, the results of which are used by management to refine our employee wellness and development initiatives.</w:t>
      </w:r>
    </w:p>
    <w:p>
      <w:pPr>
        <w:spacing w:after="0" w:line="158" w:lineRule="exact"/>
        <w:rPr>
          <w:sz w:val="20"/>
          <w:szCs w:val="20"/>
          <w:color w:val="auto"/>
        </w:rPr>
      </w:pPr>
    </w:p>
    <w:p>
      <w:pPr>
        <w:ind w:left="720"/>
        <w:spacing w:after="0"/>
        <w:rPr>
          <w:sz w:val="20"/>
          <w:szCs w:val="20"/>
          <w:color w:val="auto"/>
        </w:rPr>
      </w:pPr>
      <w:r>
        <w:rPr>
          <w:rFonts w:ascii="Arial" w:cs="Arial" w:eastAsia="Arial" w:hAnsi="Arial"/>
          <w:sz w:val="16"/>
          <w:szCs w:val="16"/>
          <w:i w:val="1"/>
          <w:iCs w:val="1"/>
          <w:color w:val="auto"/>
        </w:rPr>
        <w:t>Diversity, Equity and Inclusion</w:t>
      </w:r>
    </w:p>
    <w:p>
      <w:pPr>
        <w:spacing w:after="0" w:line="165" w:lineRule="exact"/>
        <w:rPr>
          <w:sz w:val="20"/>
          <w:szCs w:val="20"/>
          <w:color w:val="auto"/>
        </w:rPr>
      </w:pPr>
    </w:p>
    <w:p>
      <w:pPr>
        <w:ind w:left="1000" w:hanging="284"/>
        <w:spacing w:after="0"/>
        <w:tabs>
          <w:tab w:leader="none" w:pos="1000" w:val="left"/>
        </w:tabs>
        <w:numPr>
          <w:ilvl w:val="0"/>
          <w:numId w:val="30"/>
        </w:numPr>
        <w:rPr>
          <w:rFonts w:ascii="Arial" w:cs="Arial" w:eastAsia="Arial" w:hAnsi="Arial"/>
          <w:sz w:val="16"/>
          <w:szCs w:val="16"/>
          <w:color w:val="0063A6"/>
        </w:rPr>
      </w:pPr>
      <w:r>
        <w:rPr>
          <w:rFonts w:ascii="Arial" w:cs="Arial" w:eastAsia="Arial" w:hAnsi="Arial"/>
          <w:sz w:val="16"/>
          <w:szCs w:val="16"/>
          <w:color w:val="auto"/>
        </w:rPr>
        <w:t>We publish our gender and ethnic diversity data, as well as our diversity, equity and inclusion initiatives on an annual basis.</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30"/>
        </w:numPr>
        <w:rPr>
          <w:rFonts w:ascii="Arial" w:cs="Arial" w:eastAsia="Arial" w:hAnsi="Arial"/>
          <w:sz w:val="16"/>
          <w:szCs w:val="16"/>
          <w:color w:val="0063A6"/>
        </w:rPr>
      </w:pPr>
      <w:r>
        <w:rPr>
          <w:rFonts w:ascii="Arial" w:cs="Arial" w:eastAsia="Arial" w:hAnsi="Arial"/>
          <w:sz w:val="16"/>
          <w:szCs w:val="16"/>
          <w:color w:val="auto"/>
        </w:rPr>
        <w:t>We provide resources and training to employees at all levels to ensure that we are hiring, promoting and retaining diverse teams.</w:t>
      </w:r>
    </w:p>
    <w:p>
      <w:pPr>
        <w:spacing w:after="0" w:line="167" w:lineRule="exact"/>
        <w:rPr>
          <w:rFonts w:ascii="Arial" w:cs="Arial" w:eastAsia="Arial" w:hAnsi="Arial"/>
          <w:sz w:val="16"/>
          <w:szCs w:val="16"/>
          <w:color w:val="0063A6"/>
        </w:rPr>
      </w:pPr>
    </w:p>
    <w:p>
      <w:pPr>
        <w:ind w:left="1000" w:right="1200" w:hanging="284"/>
        <w:spacing w:after="0" w:line="266" w:lineRule="auto"/>
        <w:tabs>
          <w:tab w:leader="none" w:pos="1000" w:val="left"/>
        </w:tabs>
        <w:numPr>
          <w:ilvl w:val="0"/>
          <w:numId w:val="30"/>
        </w:numPr>
        <w:rPr>
          <w:rFonts w:ascii="Arial" w:cs="Arial" w:eastAsia="Arial" w:hAnsi="Arial"/>
          <w:sz w:val="16"/>
          <w:szCs w:val="16"/>
          <w:color w:val="0063A6"/>
        </w:rPr>
      </w:pPr>
      <w:r>
        <w:rPr>
          <w:rFonts w:ascii="Arial" w:cs="Arial" w:eastAsia="Arial" w:hAnsi="Arial"/>
          <w:sz w:val="16"/>
          <w:szCs w:val="16"/>
          <w:color w:val="auto"/>
        </w:rPr>
        <w:t>Our Employee Resource Groups, or ERGs, provide support for different identity groups within our workforce by fostering an inclusive environment and providing professional development and community-building opportunities; each ERG has an executive-level sponsor who champions ERG initiatives and programs.</w:t>
      </w:r>
    </w:p>
    <w:p>
      <w:pPr>
        <w:spacing w:after="0" w:line="117" w:lineRule="exact"/>
        <w:rPr>
          <w:rFonts w:ascii="Arial" w:cs="Arial" w:eastAsia="Arial" w:hAnsi="Arial"/>
          <w:sz w:val="16"/>
          <w:szCs w:val="16"/>
          <w:color w:val="0063A6"/>
        </w:rPr>
      </w:pPr>
    </w:p>
    <w:p>
      <w:pPr>
        <w:ind w:left="1000" w:right="1060" w:hanging="284"/>
        <w:spacing w:after="0" w:line="286" w:lineRule="auto"/>
        <w:tabs>
          <w:tab w:leader="none" w:pos="1000" w:val="left"/>
        </w:tabs>
        <w:numPr>
          <w:ilvl w:val="0"/>
          <w:numId w:val="30"/>
        </w:numPr>
        <w:rPr>
          <w:rFonts w:ascii="Arial" w:cs="Arial" w:eastAsia="Arial" w:hAnsi="Arial"/>
          <w:sz w:val="16"/>
          <w:szCs w:val="16"/>
          <w:color w:val="0063A6"/>
        </w:rPr>
      </w:pPr>
      <w:r>
        <w:rPr>
          <w:rFonts w:ascii="Arial" w:cs="Arial" w:eastAsia="Arial" w:hAnsi="Arial"/>
          <w:sz w:val="16"/>
          <w:szCs w:val="16"/>
          <w:color w:val="auto"/>
        </w:rPr>
        <w:t>We sponsor a number of professional development programs to support the advancement of underrepresented employees at Dropbox.</w:t>
      </w:r>
    </w:p>
    <w:p>
      <w:pPr>
        <w:spacing w:after="0" w:line="101" w:lineRule="exact"/>
        <w:rPr>
          <w:rFonts w:ascii="Arial" w:cs="Arial" w:eastAsia="Arial" w:hAnsi="Arial"/>
          <w:sz w:val="16"/>
          <w:szCs w:val="16"/>
          <w:color w:val="0063A6"/>
        </w:rPr>
      </w:pPr>
    </w:p>
    <w:p>
      <w:pPr>
        <w:ind w:left="1000" w:right="800" w:hanging="284"/>
        <w:spacing w:after="0" w:line="286" w:lineRule="auto"/>
        <w:tabs>
          <w:tab w:leader="none" w:pos="1000" w:val="left"/>
        </w:tabs>
        <w:numPr>
          <w:ilvl w:val="0"/>
          <w:numId w:val="30"/>
        </w:numPr>
        <w:rPr>
          <w:rFonts w:ascii="Arial" w:cs="Arial" w:eastAsia="Arial" w:hAnsi="Arial"/>
          <w:sz w:val="16"/>
          <w:szCs w:val="16"/>
          <w:color w:val="0063A6"/>
        </w:rPr>
      </w:pPr>
      <w:r>
        <w:rPr>
          <w:rFonts w:ascii="Arial" w:cs="Arial" w:eastAsia="Arial" w:hAnsi="Arial"/>
          <w:sz w:val="16"/>
          <w:szCs w:val="16"/>
          <w:color w:val="auto"/>
        </w:rPr>
        <w:t>Dropbox has routinely been cited as a leader in workplace diversity, having been listed in Fortune’s Best Workplaces for Diversity every year that the list has been published since 2016 through 2019 (the most recent year in which the list was published).</w:t>
      </w:r>
    </w:p>
    <w:p>
      <w:pPr>
        <w:spacing w:after="0" w:line="89" w:lineRule="exact"/>
        <w:rPr>
          <w:rFonts w:ascii="Arial" w:cs="Arial" w:eastAsia="Arial" w:hAnsi="Arial"/>
          <w:sz w:val="16"/>
          <w:szCs w:val="16"/>
          <w:color w:val="0063A6"/>
        </w:rPr>
      </w:pPr>
    </w:p>
    <w:p>
      <w:pPr>
        <w:ind w:left="1000" w:right="840" w:hanging="284"/>
        <w:spacing w:after="0" w:line="206" w:lineRule="auto"/>
        <w:tabs>
          <w:tab w:leader="none" w:pos="1000" w:val="left"/>
        </w:tabs>
        <w:numPr>
          <w:ilvl w:val="0"/>
          <w:numId w:val="30"/>
        </w:numPr>
        <w:rPr>
          <w:rFonts w:ascii="Arial" w:cs="Arial" w:eastAsia="Arial" w:hAnsi="Arial"/>
          <w:sz w:val="16"/>
          <w:szCs w:val="16"/>
          <w:color w:val="0063A6"/>
        </w:rPr>
      </w:pPr>
      <w:r>
        <w:rPr>
          <w:rFonts w:ascii="Arial" w:cs="Arial" w:eastAsia="Arial" w:hAnsi="Arial"/>
          <w:sz w:val="16"/>
          <w:szCs w:val="16"/>
          <w:color w:val="auto"/>
        </w:rPr>
        <w:t>The Human Rights Campaign Foundation assigned a perfect score to Dropbox on its Corporate Equality Index for the 8</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year in a row, and named Dropbox a 2022 “Best Place to Work for LGBTQ+ Equality.”</w:t>
      </w:r>
    </w:p>
    <w:p>
      <w:pPr>
        <w:spacing w:after="0" w:line="192"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Data Privacy and Cybersecurity</w:t>
      </w:r>
    </w:p>
    <w:p>
      <w:pPr>
        <w:spacing w:after="0" w:line="39" w:lineRule="exact"/>
        <w:rPr>
          <w:sz w:val="20"/>
          <w:szCs w:val="20"/>
          <w:color w:val="auto"/>
        </w:rPr>
      </w:pPr>
    </w:p>
    <w:p>
      <w:pPr>
        <w:ind w:left="1000" w:right="960" w:hanging="284"/>
        <w:spacing w:after="0" w:line="250" w:lineRule="auto"/>
        <w:tabs>
          <w:tab w:leader="none" w:pos="1000" w:val="left"/>
        </w:tabs>
        <w:numPr>
          <w:ilvl w:val="0"/>
          <w:numId w:val="31"/>
        </w:numPr>
        <w:rPr>
          <w:rFonts w:ascii="Arial" w:cs="Arial" w:eastAsia="Arial" w:hAnsi="Arial"/>
          <w:sz w:val="16"/>
          <w:szCs w:val="16"/>
          <w:color w:val="0063A6"/>
        </w:rPr>
      </w:pPr>
      <w:r>
        <w:rPr>
          <w:rFonts w:ascii="Arial" w:cs="Arial" w:eastAsia="Arial" w:hAnsi="Arial"/>
          <w:sz w:val="16"/>
          <w:szCs w:val="16"/>
          <w:color w:val="auto"/>
        </w:rPr>
        <w:t>Being “Worthy of Trust” is one of our guiding values and as a reflection of that principle, we have established a cross-functional leadership team overseeing our information security and privacy practices, as well as identifying and proactively addressing security and privacy risks; this team reports periodically to the board of directors and the audit committee and comprises</w:t>
      </w:r>
    </w:p>
    <w:p>
      <w:pPr>
        <w:spacing w:after="0" w:line="1" w:lineRule="exact"/>
        <w:rPr>
          <w:rFonts w:ascii="Arial" w:cs="Arial" w:eastAsia="Arial" w:hAnsi="Arial"/>
          <w:sz w:val="16"/>
          <w:szCs w:val="16"/>
          <w:color w:val="0063A6"/>
        </w:rPr>
      </w:pPr>
    </w:p>
    <w:p>
      <w:pPr>
        <w:ind w:left="1000" w:right="760"/>
        <w:spacing w:after="0" w:line="265" w:lineRule="auto"/>
        <w:rPr>
          <w:rFonts w:ascii="Arial" w:cs="Arial" w:eastAsia="Arial" w:hAnsi="Arial"/>
          <w:sz w:val="16"/>
          <w:szCs w:val="16"/>
          <w:color w:val="0063A6"/>
        </w:rPr>
      </w:pPr>
      <w:r>
        <w:rPr>
          <w:rFonts w:ascii="Arial" w:cs="Arial" w:eastAsia="Arial" w:hAnsi="Arial"/>
          <w:sz w:val="16"/>
          <w:szCs w:val="16"/>
          <w:color w:val="auto"/>
        </w:rPr>
        <w:t>senior leaders from our legal, privacy, information security, information technology, infrastructure and compliance teams, including our Chief Privacy Officer, Head of Security and Chief Legal Officer.</w:t>
      </w:r>
    </w:p>
    <w:p>
      <w:pPr>
        <w:spacing w:after="0" w:line="117" w:lineRule="exact"/>
        <w:rPr>
          <w:rFonts w:ascii="Arial" w:cs="Arial" w:eastAsia="Arial" w:hAnsi="Arial"/>
          <w:sz w:val="16"/>
          <w:szCs w:val="16"/>
          <w:color w:val="0063A6"/>
        </w:rPr>
      </w:pPr>
    </w:p>
    <w:p>
      <w:pPr>
        <w:ind w:left="1000" w:right="1320" w:hanging="284"/>
        <w:spacing w:after="0" w:line="286" w:lineRule="auto"/>
        <w:tabs>
          <w:tab w:leader="none" w:pos="1000" w:val="left"/>
        </w:tabs>
        <w:numPr>
          <w:ilvl w:val="0"/>
          <w:numId w:val="31"/>
        </w:numPr>
        <w:rPr>
          <w:rFonts w:ascii="Arial" w:cs="Arial" w:eastAsia="Arial" w:hAnsi="Arial"/>
          <w:sz w:val="16"/>
          <w:szCs w:val="16"/>
          <w:color w:val="0063A6"/>
        </w:rPr>
      </w:pPr>
      <w:r>
        <w:rPr>
          <w:rFonts w:ascii="Arial" w:cs="Arial" w:eastAsia="Arial" w:hAnsi="Arial"/>
          <w:sz w:val="16"/>
          <w:szCs w:val="16"/>
          <w:color w:val="auto"/>
        </w:rPr>
        <w:t>With oversight and guidance provided by the cross-functional leadership team, our information security and privacy teams continually refine our practices to address emerging security risks and changes in privacy regulations.</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17</w:t>
            </w:r>
          </w:p>
        </w:tc>
      </w:tr>
      <w:tr>
        <w:trPr>
          <w:trHeight w:val="171"/>
        </w:trPr>
        <w:tc>
          <w:tcPr>
            <w:tcW w:w="99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21" w:name="page22"/>
    <w:bookmarkEnd w:id="21"/>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right="60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71" w:lineRule="exact"/>
        <w:rPr>
          <w:sz w:val="20"/>
          <w:szCs w:val="20"/>
          <w:color w:val="auto"/>
        </w:rPr>
      </w:pPr>
    </w:p>
    <w:p>
      <w:pPr>
        <w:ind w:left="284" w:right="20" w:hanging="284"/>
        <w:spacing w:after="0" w:line="259" w:lineRule="auto"/>
        <w:tabs>
          <w:tab w:leader="none" w:pos="284" w:val="left"/>
        </w:tabs>
        <w:numPr>
          <w:ilvl w:val="0"/>
          <w:numId w:val="32"/>
        </w:numPr>
        <w:rPr>
          <w:rFonts w:ascii="Arial" w:cs="Arial" w:eastAsia="Arial" w:hAnsi="Arial"/>
          <w:sz w:val="16"/>
          <w:szCs w:val="16"/>
          <w:color w:val="0063A6"/>
        </w:rPr>
      </w:pPr>
      <w:r>
        <w:rPr>
          <w:rFonts w:ascii="Arial" w:cs="Arial" w:eastAsia="Arial" w:hAnsi="Arial"/>
          <w:sz w:val="16"/>
          <w:szCs w:val="16"/>
          <w:color w:val="auto"/>
        </w:rPr>
        <w:t>We have appointed a Data Protection Officer (the “</w:t>
      </w:r>
      <w:r>
        <w:rPr>
          <w:rFonts w:ascii="Arial" w:cs="Arial" w:eastAsia="Arial" w:hAnsi="Arial"/>
          <w:sz w:val="16"/>
          <w:szCs w:val="16"/>
          <w:b w:val="1"/>
          <w:bCs w:val="1"/>
          <w:i w:val="1"/>
          <w:iCs w:val="1"/>
          <w:color w:val="auto"/>
        </w:rPr>
        <w:t>DPO</w:t>
      </w:r>
      <w:r>
        <w:rPr>
          <w:rFonts w:ascii="Arial" w:cs="Arial" w:eastAsia="Arial" w:hAnsi="Arial"/>
          <w:sz w:val="16"/>
          <w:szCs w:val="16"/>
          <w:color w:val="auto"/>
        </w:rPr>
        <w:t>”) who provides independent oversight of our privacy program and guidance on privacy issues; the DPO acts as the single point of contact for privacy-related requests for our customers in the European Union, as well as for regulatory authorities; our DPO reports periodically to management, the board of directors and the audit committee on privacy risks, as well as providing an independent assessment of our privacy program.</w:t>
      </w:r>
    </w:p>
    <w:p>
      <w:pPr>
        <w:spacing w:after="0" w:line="83" w:lineRule="exact"/>
        <w:rPr>
          <w:rFonts w:ascii="Arial" w:cs="Arial" w:eastAsia="Arial" w:hAnsi="Arial"/>
          <w:sz w:val="16"/>
          <w:szCs w:val="16"/>
          <w:color w:val="0063A6"/>
        </w:rPr>
      </w:pPr>
    </w:p>
    <w:p>
      <w:pPr>
        <w:ind w:left="284" w:right="180" w:hanging="284"/>
        <w:spacing w:after="0" w:line="286" w:lineRule="auto"/>
        <w:tabs>
          <w:tab w:leader="none" w:pos="284" w:val="left"/>
        </w:tabs>
        <w:numPr>
          <w:ilvl w:val="0"/>
          <w:numId w:val="32"/>
        </w:numPr>
        <w:rPr>
          <w:rFonts w:ascii="Arial" w:cs="Arial" w:eastAsia="Arial" w:hAnsi="Arial"/>
          <w:sz w:val="16"/>
          <w:szCs w:val="16"/>
          <w:color w:val="0063A6"/>
        </w:rPr>
      </w:pPr>
      <w:r>
        <w:rPr>
          <w:rFonts w:ascii="Arial" w:cs="Arial" w:eastAsia="Arial" w:hAnsi="Arial"/>
          <w:sz w:val="16"/>
          <w:szCs w:val="16"/>
          <w:color w:val="auto"/>
        </w:rPr>
        <w:t>We have a privacy policy that describes how we collect, use, store, share and protect customer data, as well as how customers can access and manage their personal data.</w:t>
      </w:r>
    </w:p>
    <w:p>
      <w:pPr>
        <w:spacing w:after="0" w:line="61" w:lineRule="exact"/>
        <w:rPr>
          <w:rFonts w:ascii="Arial" w:cs="Arial" w:eastAsia="Arial" w:hAnsi="Arial"/>
          <w:sz w:val="16"/>
          <w:szCs w:val="16"/>
          <w:color w:val="0063A6"/>
        </w:rPr>
      </w:pPr>
    </w:p>
    <w:p>
      <w:pPr>
        <w:ind w:left="284" w:right="180" w:hanging="284"/>
        <w:spacing w:after="0" w:line="259" w:lineRule="auto"/>
        <w:tabs>
          <w:tab w:leader="none" w:pos="284" w:val="left"/>
        </w:tabs>
        <w:numPr>
          <w:ilvl w:val="0"/>
          <w:numId w:val="32"/>
        </w:numPr>
        <w:rPr>
          <w:rFonts w:ascii="Arial" w:cs="Arial" w:eastAsia="Arial" w:hAnsi="Arial"/>
          <w:sz w:val="16"/>
          <w:szCs w:val="16"/>
          <w:color w:val="0063A6"/>
        </w:rPr>
      </w:pPr>
      <w:r>
        <w:rPr>
          <w:rFonts w:ascii="Arial" w:cs="Arial" w:eastAsia="Arial" w:hAnsi="Arial"/>
          <w:sz w:val="16"/>
          <w:szCs w:val="16"/>
          <w:color w:val="auto"/>
        </w:rPr>
        <w:t>We are committed to upholding the legal protections safeguarding the privacy of our customers’ data as well as outlining our policies and practices pertaining to government requests for customer data; as part of that commitment, we have publicly disclosed our guiding principles in responding to government requests and, since 2012, we have published quantitative data on government requests that we received.</w:t>
      </w:r>
    </w:p>
    <w:p>
      <w:pPr>
        <w:spacing w:after="0" w:line="96" w:lineRule="exact"/>
        <w:rPr>
          <w:rFonts w:ascii="Arial" w:cs="Arial" w:eastAsia="Arial" w:hAnsi="Arial"/>
          <w:sz w:val="16"/>
          <w:szCs w:val="16"/>
          <w:color w:val="0063A6"/>
        </w:rPr>
      </w:pPr>
    </w:p>
    <w:p>
      <w:pPr>
        <w:ind w:left="284" w:right="120" w:hanging="284"/>
        <w:spacing w:after="0" w:line="286" w:lineRule="auto"/>
        <w:tabs>
          <w:tab w:leader="none" w:pos="284" w:val="left"/>
        </w:tabs>
        <w:numPr>
          <w:ilvl w:val="0"/>
          <w:numId w:val="32"/>
        </w:numPr>
        <w:rPr>
          <w:rFonts w:ascii="Arial" w:cs="Arial" w:eastAsia="Arial" w:hAnsi="Arial"/>
          <w:sz w:val="16"/>
          <w:szCs w:val="16"/>
          <w:color w:val="0063A6"/>
        </w:rPr>
      </w:pPr>
      <w:r>
        <w:rPr>
          <w:rFonts w:ascii="Arial" w:cs="Arial" w:eastAsia="Arial" w:hAnsi="Arial"/>
          <w:sz w:val="16"/>
          <w:szCs w:val="16"/>
          <w:color w:val="auto"/>
        </w:rPr>
        <w:t>Several of our security and privacy management systems are independently audited and/or certified according to internationally-recognized standards:</w:t>
      </w:r>
    </w:p>
    <w:p>
      <w:pPr>
        <w:spacing w:after="0" w:line="61" w:lineRule="exact"/>
        <w:rPr>
          <w:rFonts w:ascii="Arial" w:cs="Arial" w:eastAsia="Arial" w:hAnsi="Arial"/>
          <w:sz w:val="16"/>
          <w:szCs w:val="16"/>
          <w:color w:val="0063A6"/>
        </w:rPr>
      </w:pPr>
    </w:p>
    <w:p>
      <w:pPr>
        <w:ind w:left="644" w:hanging="284"/>
        <w:spacing w:after="0"/>
        <w:tabs>
          <w:tab w:leader="none" w:pos="644" w:val="left"/>
        </w:tabs>
        <w:numPr>
          <w:ilvl w:val="1"/>
          <w:numId w:val="32"/>
        </w:numPr>
        <w:rPr>
          <w:rFonts w:ascii="Arial" w:cs="Arial" w:eastAsia="Arial" w:hAnsi="Arial"/>
          <w:sz w:val="16"/>
          <w:szCs w:val="16"/>
          <w:color w:val="0063A6"/>
        </w:rPr>
      </w:pPr>
      <w:r>
        <w:rPr>
          <w:rFonts w:ascii="Arial" w:cs="Arial" w:eastAsia="Arial" w:hAnsi="Arial"/>
          <w:sz w:val="16"/>
          <w:szCs w:val="16"/>
          <w:color w:val="auto"/>
        </w:rPr>
        <w:t>Our information security management system is independently audited on an annual basis and is ISO 27001 certified.</w:t>
      </w:r>
    </w:p>
    <w:p>
      <w:pPr>
        <w:spacing w:after="0" w:line="126" w:lineRule="exact"/>
        <w:rPr>
          <w:rFonts w:ascii="Arial" w:cs="Arial" w:eastAsia="Arial" w:hAnsi="Arial"/>
          <w:sz w:val="16"/>
          <w:szCs w:val="16"/>
          <w:color w:val="0063A6"/>
        </w:rPr>
      </w:pPr>
    </w:p>
    <w:p>
      <w:pPr>
        <w:ind w:left="644" w:hanging="284"/>
        <w:spacing w:after="0"/>
        <w:tabs>
          <w:tab w:leader="none" w:pos="644" w:val="left"/>
        </w:tabs>
        <w:numPr>
          <w:ilvl w:val="1"/>
          <w:numId w:val="32"/>
        </w:numPr>
        <w:rPr>
          <w:rFonts w:ascii="Arial" w:cs="Arial" w:eastAsia="Arial" w:hAnsi="Arial"/>
          <w:sz w:val="16"/>
          <w:szCs w:val="16"/>
          <w:color w:val="0063A6"/>
        </w:rPr>
      </w:pPr>
      <w:r>
        <w:rPr>
          <w:rFonts w:ascii="Arial" w:cs="Arial" w:eastAsia="Arial" w:hAnsi="Arial"/>
          <w:sz w:val="16"/>
          <w:szCs w:val="16"/>
          <w:color w:val="auto"/>
        </w:rPr>
        <w:t>Our privacy information management system is independently audited on an annual basis and is ISO 27701 certified.</w:t>
      </w:r>
    </w:p>
    <w:p>
      <w:pPr>
        <w:spacing w:after="0" w:line="140" w:lineRule="exact"/>
        <w:rPr>
          <w:rFonts w:ascii="Arial" w:cs="Arial" w:eastAsia="Arial" w:hAnsi="Arial"/>
          <w:sz w:val="16"/>
          <w:szCs w:val="16"/>
          <w:color w:val="0063A6"/>
        </w:rPr>
      </w:pPr>
    </w:p>
    <w:p>
      <w:pPr>
        <w:ind w:left="644" w:right="560" w:hanging="284"/>
        <w:spacing w:after="0" w:line="286" w:lineRule="auto"/>
        <w:tabs>
          <w:tab w:leader="none" w:pos="644" w:val="left"/>
        </w:tabs>
        <w:numPr>
          <w:ilvl w:val="1"/>
          <w:numId w:val="32"/>
        </w:numPr>
        <w:rPr>
          <w:rFonts w:ascii="Arial" w:cs="Arial" w:eastAsia="Arial" w:hAnsi="Arial"/>
          <w:sz w:val="16"/>
          <w:szCs w:val="16"/>
          <w:color w:val="0063A6"/>
        </w:rPr>
      </w:pPr>
      <w:r>
        <w:rPr>
          <w:rFonts w:ascii="Arial" w:cs="Arial" w:eastAsia="Arial" w:hAnsi="Arial"/>
          <w:sz w:val="16"/>
          <w:szCs w:val="16"/>
          <w:color w:val="auto"/>
        </w:rPr>
        <w:t>Our cloud security controls are ISO 27017 certified and our cloud privacy and data protection controls are ISO 27018 certified.</w:t>
      </w:r>
    </w:p>
    <w:p>
      <w:pPr>
        <w:spacing w:after="0" w:line="61" w:lineRule="exact"/>
        <w:rPr>
          <w:rFonts w:ascii="Arial" w:cs="Arial" w:eastAsia="Arial" w:hAnsi="Arial"/>
          <w:sz w:val="16"/>
          <w:szCs w:val="16"/>
          <w:color w:val="0063A6"/>
        </w:rPr>
      </w:pPr>
    </w:p>
    <w:p>
      <w:pPr>
        <w:ind w:left="284" w:right="520" w:hanging="284"/>
        <w:spacing w:after="0" w:line="286" w:lineRule="auto"/>
        <w:tabs>
          <w:tab w:leader="none" w:pos="284" w:val="left"/>
        </w:tabs>
        <w:numPr>
          <w:ilvl w:val="0"/>
          <w:numId w:val="32"/>
        </w:numPr>
        <w:rPr>
          <w:rFonts w:ascii="Arial" w:cs="Arial" w:eastAsia="Arial" w:hAnsi="Arial"/>
          <w:sz w:val="16"/>
          <w:szCs w:val="16"/>
          <w:color w:val="0063A6"/>
        </w:rPr>
      </w:pPr>
      <w:r>
        <w:rPr>
          <w:rFonts w:ascii="Arial" w:cs="Arial" w:eastAsia="Arial" w:hAnsi="Arial"/>
          <w:sz w:val="16"/>
          <w:szCs w:val="16"/>
          <w:color w:val="auto"/>
        </w:rPr>
        <w:t>All employees are required to complete annual information security and privacy training and to comply with our information security and privacy policies, which are reviewed and updated annually.</w:t>
      </w:r>
    </w:p>
    <w:p>
      <w:pPr>
        <w:spacing w:after="0" w:line="156"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Community</w:t>
      </w:r>
    </w:p>
    <w:p>
      <w:pPr>
        <w:spacing w:after="0" w:line="46" w:lineRule="exact"/>
        <w:rPr>
          <w:sz w:val="20"/>
          <w:szCs w:val="20"/>
          <w:color w:val="auto"/>
        </w:rPr>
      </w:pPr>
    </w:p>
    <w:p>
      <w:pPr>
        <w:ind w:left="284" w:hanging="284"/>
        <w:spacing w:after="0" w:line="266" w:lineRule="auto"/>
        <w:tabs>
          <w:tab w:leader="none" w:pos="284" w:val="left"/>
        </w:tabs>
        <w:numPr>
          <w:ilvl w:val="0"/>
          <w:numId w:val="33"/>
        </w:numPr>
        <w:rPr>
          <w:rFonts w:ascii="Arial" w:cs="Arial" w:eastAsia="Arial" w:hAnsi="Arial"/>
          <w:sz w:val="16"/>
          <w:szCs w:val="16"/>
          <w:color w:val="0063A6"/>
        </w:rPr>
      </w:pPr>
      <w:r>
        <w:rPr>
          <w:rFonts w:ascii="Arial" w:cs="Arial" w:eastAsia="Arial" w:hAnsi="Arial"/>
          <w:sz w:val="16"/>
          <w:szCs w:val="16"/>
          <w:color w:val="auto"/>
        </w:rPr>
        <w:t>We partner closely with the Dropbox Foundation (the “Foundation</w:t>
      </w:r>
      <w:r>
        <w:rPr>
          <w:rFonts w:ascii="Arial" w:cs="Arial" w:eastAsia="Arial" w:hAnsi="Arial"/>
          <w:sz w:val="16"/>
          <w:szCs w:val="16"/>
          <w:i w:val="1"/>
          <w:iCs w:val="1"/>
          <w:color w:val="auto"/>
        </w:rPr>
        <w:t>”</w:t>
      </w:r>
      <w:r>
        <w:rPr>
          <w:rFonts w:ascii="Arial" w:cs="Arial" w:eastAsia="Arial" w:hAnsi="Arial"/>
          <w:sz w:val="16"/>
          <w:szCs w:val="16"/>
          <w:color w:val="auto"/>
        </w:rPr>
        <w:t>) in its work with nonprofit organizations to defend human rights in communities around the world. We encourage Dropbox employees to support these organizations through skills-based volunteering, donations, and by raising awareness of their missions through internal talks and other advocacy.</w:t>
      </w:r>
    </w:p>
    <w:p>
      <w:pPr>
        <w:spacing w:after="0" w:line="76" w:lineRule="exact"/>
        <w:rPr>
          <w:rFonts w:ascii="Arial" w:cs="Arial" w:eastAsia="Arial" w:hAnsi="Arial"/>
          <w:sz w:val="16"/>
          <w:szCs w:val="16"/>
          <w:color w:val="0063A6"/>
        </w:rPr>
      </w:pPr>
    </w:p>
    <w:p>
      <w:pPr>
        <w:ind w:left="284" w:right="20" w:hanging="284"/>
        <w:spacing w:after="0" w:line="266" w:lineRule="auto"/>
        <w:tabs>
          <w:tab w:leader="none" w:pos="284" w:val="left"/>
        </w:tabs>
        <w:numPr>
          <w:ilvl w:val="0"/>
          <w:numId w:val="33"/>
        </w:numPr>
        <w:rPr>
          <w:rFonts w:ascii="Arial" w:cs="Arial" w:eastAsia="Arial" w:hAnsi="Arial"/>
          <w:sz w:val="16"/>
          <w:szCs w:val="16"/>
          <w:color w:val="0063A6"/>
        </w:rPr>
      </w:pPr>
      <w:r>
        <w:rPr>
          <w:rFonts w:ascii="Arial" w:cs="Arial" w:eastAsia="Arial" w:hAnsi="Arial"/>
          <w:sz w:val="16"/>
          <w:szCs w:val="16"/>
          <w:color w:val="auto"/>
        </w:rPr>
        <w:t>We empower our employees to give back to their communities by providing paid volunteer time off, matching a portion of employee donations to nonprofits and making product donations to nonprofit organizations nominated by our employees; in 2021, Dropbox employees benefited over 1,500 organizations through either donations or volunteering.</w:t>
      </w:r>
    </w:p>
    <w:p>
      <w:pPr>
        <w:spacing w:after="0" w:line="76" w:lineRule="exact"/>
        <w:rPr>
          <w:rFonts w:ascii="Arial" w:cs="Arial" w:eastAsia="Arial" w:hAnsi="Arial"/>
          <w:sz w:val="16"/>
          <w:szCs w:val="16"/>
          <w:color w:val="0063A6"/>
        </w:rPr>
      </w:pPr>
    </w:p>
    <w:p>
      <w:pPr>
        <w:ind w:left="284" w:right="520" w:hanging="284"/>
        <w:spacing w:after="0" w:line="286" w:lineRule="auto"/>
        <w:tabs>
          <w:tab w:leader="none" w:pos="284" w:val="left"/>
        </w:tabs>
        <w:numPr>
          <w:ilvl w:val="0"/>
          <w:numId w:val="33"/>
        </w:numPr>
        <w:rPr>
          <w:rFonts w:ascii="Arial" w:cs="Arial" w:eastAsia="Arial" w:hAnsi="Arial"/>
          <w:sz w:val="16"/>
          <w:szCs w:val="16"/>
          <w:color w:val="0063A6"/>
        </w:rPr>
      </w:pPr>
      <w:r>
        <w:rPr>
          <w:rFonts w:ascii="Arial" w:cs="Arial" w:eastAsia="Arial" w:hAnsi="Arial"/>
          <w:sz w:val="16"/>
          <w:szCs w:val="16"/>
          <w:color w:val="auto"/>
        </w:rPr>
        <w:t>In 2018, we launched the IGNITE Engineering Apprenticeship Program, which provides mentorship and hands-on learning opportunities to new software engineers who have nontraditional computer science backgrounds.</w:t>
      </w:r>
    </w:p>
    <w:p>
      <w:pPr>
        <w:spacing w:after="0" w:line="74" w:lineRule="exact"/>
        <w:rPr>
          <w:rFonts w:ascii="Arial" w:cs="Arial" w:eastAsia="Arial" w:hAnsi="Arial"/>
          <w:sz w:val="16"/>
          <w:szCs w:val="16"/>
          <w:color w:val="0063A6"/>
        </w:rPr>
      </w:pPr>
    </w:p>
    <w:p>
      <w:pPr>
        <w:ind w:left="284" w:hanging="284"/>
        <w:spacing w:after="0" w:line="266" w:lineRule="auto"/>
        <w:tabs>
          <w:tab w:leader="none" w:pos="284" w:val="left"/>
        </w:tabs>
        <w:numPr>
          <w:ilvl w:val="0"/>
          <w:numId w:val="33"/>
        </w:numPr>
        <w:rPr>
          <w:rFonts w:ascii="Arial" w:cs="Arial" w:eastAsia="Arial" w:hAnsi="Arial"/>
          <w:sz w:val="16"/>
          <w:szCs w:val="16"/>
          <w:color w:val="0063A6"/>
        </w:rPr>
      </w:pPr>
      <w:r>
        <w:rPr>
          <w:rFonts w:ascii="Arial" w:cs="Arial" w:eastAsia="Arial" w:hAnsi="Arial"/>
          <w:sz w:val="16"/>
          <w:szCs w:val="16"/>
          <w:color w:val="auto"/>
        </w:rPr>
        <w:t>In 2020 we began a partnership with Next Chapter, a program started by Slack that provides opportunities in the tech sector for formerly incarcerated individuals. Through this partnership, we facilitate engineering apprenticeships at the company with the goal of full-time employment.</w:t>
      </w:r>
    </w:p>
    <w:p>
      <w:pPr>
        <w:spacing w:after="0" w:line="76" w:lineRule="exact"/>
        <w:rPr>
          <w:rFonts w:ascii="Arial" w:cs="Arial" w:eastAsia="Arial" w:hAnsi="Arial"/>
          <w:sz w:val="16"/>
          <w:szCs w:val="16"/>
          <w:color w:val="0063A6"/>
        </w:rPr>
      </w:pPr>
    </w:p>
    <w:p>
      <w:pPr>
        <w:ind w:left="284" w:hanging="284"/>
        <w:spacing w:after="0"/>
        <w:tabs>
          <w:tab w:leader="none" w:pos="284" w:val="left"/>
        </w:tabs>
        <w:numPr>
          <w:ilvl w:val="0"/>
          <w:numId w:val="33"/>
        </w:numPr>
        <w:rPr>
          <w:rFonts w:ascii="Arial" w:cs="Arial" w:eastAsia="Arial" w:hAnsi="Arial"/>
          <w:sz w:val="16"/>
          <w:szCs w:val="16"/>
          <w:color w:val="0063A6"/>
        </w:rPr>
      </w:pPr>
      <w:r>
        <w:rPr>
          <w:rFonts w:ascii="Arial" w:cs="Arial" w:eastAsia="Arial" w:hAnsi="Arial"/>
          <w:sz w:val="16"/>
          <w:szCs w:val="16"/>
          <w:color w:val="auto"/>
        </w:rPr>
        <w:t>We are committed to supporting educational programs in our communities:</w:t>
      </w:r>
    </w:p>
    <w:p>
      <w:pPr>
        <w:spacing w:after="0" w:line="126" w:lineRule="exact"/>
        <w:rPr>
          <w:rFonts w:ascii="Arial" w:cs="Arial" w:eastAsia="Arial" w:hAnsi="Arial"/>
          <w:sz w:val="16"/>
          <w:szCs w:val="16"/>
          <w:color w:val="0063A6"/>
        </w:rPr>
      </w:pPr>
    </w:p>
    <w:p>
      <w:pPr>
        <w:ind w:left="644" w:right="460" w:hanging="284"/>
        <w:spacing w:after="0" w:line="286" w:lineRule="auto"/>
        <w:tabs>
          <w:tab w:leader="none" w:pos="644" w:val="left"/>
        </w:tabs>
        <w:numPr>
          <w:ilvl w:val="1"/>
          <w:numId w:val="33"/>
        </w:numPr>
        <w:rPr>
          <w:rFonts w:ascii="Arial" w:cs="Arial" w:eastAsia="Arial" w:hAnsi="Arial"/>
          <w:sz w:val="16"/>
          <w:szCs w:val="16"/>
          <w:color w:val="0063A6"/>
        </w:rPr>
      </w:pPr>
      <w:r>
        <w:rPr>
          <w:rFonts w:ascii="Arial" w:cs="Arial" w:eastAsia="Arial" w:hAnsi="Arial"/>
          <w:sz w:val="16"/>
          <w:szCs w:val="16"/>
          <w:color w:val="auto"/>
        </w:rPr>
        <w:t>We partnered with the San Francisco Education Fund and Oakland Public Education Fund to support public schools in San Francisco and Oakland through employee volunteering and in-kind donations.</w:t>
      </w:r>
    </w:p>
    <w:p>
      <w:pPr>
        <w:spacing w:after="0" w:line="74" w:lineRule="exact"/>
        <w:rPr>
          <w:rFonts w:ascii="Arial" w:cs="Arial" w:eastAsia="Arial" w:hAnsi="Arial"/>
          <w:sz w:val="16"/>
          <w:szCs w:val="16"/>
          <w:color w:val="0063A6"/>
        </w:rPr>
      </w:pPr>
    </w:p>
    <w:p>
      <w:pPr>
        <w:ind w:left="644" w:right="480" w:hanging="284"/>
        <w:spacing w:after="0" w:line="286" w:lineRule="auto"/>
        <w:tabs>
          <w:tab w:leader="none" w:pos="644" w:val="left"/>
        </w:tabs>
        <w:numPr>
          <w:ilvl w:val="1"/>
          <w:numId w:val="33"/>
        </w:numPr>
        <w:rPr>
          <w:rFonts w:ascii="Arial" w:cs="Arial" w:eastAsia="Arial" w:hAnsi="Arial"/>
          <w:sz w:val="16"/>
          <w:szCs w:val="16"/>
          <w:color w:val="0063A6"/>
        </w:rPr>
      </w:pPr>
      <w:r>
        <w:rPr>
          <w:rFonts w:ascii="Arial" w:cs="Arial" w:eastAsia="Arial" w:hAnsi="Arial"/>
          <w:sz w:val="16"/>
          <w:szCs w:val="16"/>
          <w:color w:val="auto"/>
        </w:rPr>
        <w:t>Many of our employees, through our partnership with Code Nation, have volunteered to teach coding skills to students attending under-resourced schools in New York City and San Francisco.</w:t>
      </w:r>
    </w:p>
    <w:p>
      <w:pPr>
        <w:spacing w:after="0" w:line="156"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Environmental Sustainability</w:t>
      </w:r>
    </w:p>
    <w:p>
      <w:pPr>
        <w:spacing w:after="0" w:line="39" w:lineRule="exact"/>
        <w:rPr>
          <w:sz w:val="20"/>
          <w:szCs w:val="20"/>
          <w:color w:val="auto"/>
        </w:rPr>
      </w:pPr>
    </w:p>
    <w:p>
      <w:pPr>
        <w:ind w:left="284" w:hanging="284"/>
        <w:spacing w:after="0"/>
        <w:tabs>
          <w:tab w:leader="none" w:pos="284" w:val="left"/>
        </w:tabs>
        <w:numPr>
          <w:ilvl w:val="0"/>
          <w:numId w:val="34"/>
        </w:numPr>
        <w:rPr>
          <w:rFonts w:ascii="Arial" w:cs="Arial" w:eastAsia="Arial" w:hAnsi="Arial"/>
          <w:sz w:val="16"/>
          <w:szCs w:val="16"/>
          <w:color w:val="0063A6"/>
        </w:rPr>
      </w:pPr>
      <w:r>
        <w:rPr>
          <w:rFonts w:ascii="Arial" w:cs="Arial" w:eastAsia="Arial" w:hAnsi="Arial"/>
          <w:sz w:val="16"/>
          <w:szCs w:val="16"/>
          <w:color w:val="auto"/>
        </w:rPr>
        <w:t>We have announced company-wide environmental sustainability goals that we plan to accomplish by 2030:</w:t>
      </w:r>
    </w:p>
    <w:p>
      <w:pPr>
        <w:spacing w:after="0" w:line="133" w:lineRule="exact"/>
        <w:rPr>
          <w:rFonts w:ascii="Arial" w:cs="Arial" w:eastAsia="Arial" w:hAnsi="Arial"/>
          <w:sz w:val="16"/>
          <w:szCs w:val="16"/>
          <w:color w:val="0063A6"/>
        </w:rPr>
      </w:pPr>
    </w:p>
    <w:p>
      <w:pPr>
        <w:ind w:left="644" w:hanging="284"/>
        <w:spacing w:after="0"/>
        <w:tabs>
          <w:tab w:leader="none" w:pos="644" w:val="left"/>
        </w:tabs>
        <w:numPr>
          <w:ilvl w:val="1"/>
          <w:numId w:val="34"/>
        </w:numPr>
        <w:rPr>
          <w:rFonts w:ascii="Arial" w:cs="Arial" w:eastAsia="Arial" w:hAnsi="Arial"/>
          <w:sz w:val="16"/>
          <w:szCs w:val="16"/>
          <w:color w:val="0063A6"/>
        </w:rPr>
      </w:pPr>
      <w:r>
        <w:rPr>
          <w:rFonts w:ascii="Arial" w:cs="Arial" w:eastAsia="Arial" w:hAnsi="Arial"/>
          <w:sz w:val="16"/>
          <w:szCs w:val="16"/>
          <w:color w:val="auto"/>
        </w:rPr>
        <w:t>Achieve carbon neutrality with respect to scope 1, scope 2 and scope 3 business travel emissions.</w:t>
      </w:r>
    </w:p>
    <w:p>
      <w:pPr>
        <w:spacing w:after="0" w:line="126" w:lineRule="exact"/>
        <w:rPr>
          <w:rFonts w:ascii="Arial" w:cs="Arial" w:eastAsia="Arial" w:hAnsi="Arial"/>
          <w:sz w:val="16"/>
          <w:szCs w:val="16"/>
          <w:color w:val="0063A6"/>
        </w:rPr>
      </w:pPr>
    </w:p>
    <w:p>
      <w:pPr>
        <w:ind w:left="644" w:hanging="284"/>
        <w:spacing w:after="0"/>
        <w:tabs>
          <w:tab w:leader="none" w:pos="644" w:val="left"/>
        </w:tabs>
        <w:numPr>
          <w:ilvl w:val="1"/>
          <w:numId w:val="34"/>
        </w:numPr>
        <w:rPr>
          <w:rFonts w:ascii="Arial" w:cs="Arial" w:eastAsia="Arial" w:hAnsi="Arial"/>
          <w:sz w:val="16"/>
          <w:szCs w:val="16"/>
          <w:color w:val="0063A6"/>
        </w:rPr>
      </w:pPr>
      <w:r>
        <w:rPr>
          <w:rFonts w:ascii="Arial" w:cs="Arial" w:eastAsia="Arial" w:hAnsi="Arial"/>
          <w:sz w:val="16"/>
          <w:szCs w:val="16"/>
          <w:color w:val="auto"/>
        </w:rPr>
        <w:t>Use 100% renewable energy for our operations, including our data centers.</w:t>
      </w:r>
    </w:p>
    <w:p>
      <w:pPr>
        <w:spacing w:after="0" w:line="126" w:lineRule="exact"/>
        <w:rPr>
          <w:rFonts w:ascii="Arial" w:cs="Arial" w:eastAsia="Arial" w:hAnsi="Arial"/>
          <w:sz w:val="16"/>
          <w:szCs w:val="16"/>
          <w:color w:val="0063A6"/>
        </w:rPr>
      </w:pPr>
    </w:p>
    <w:p>
      <w:pPr>
        <w:ind w:left="284" w:right="460" w:hanging="284"/>
        <w:spacing w:after="0" w:line="266" w:lineRule="auto"/>
        <w:tabs>
          <w:tab w:leader="none" w:pos="284" w:val="left"/>
        </w:tabs>
        <w:numPr>
          <w:ilvl w:val="0"/>
          <w:numId w:val="34"/>
        </w:numPr>
        <w:rPr>
          <w:rFonts w:ascii="Arial" w:cs="Arial" w:eastAsia="Arial" w:hAnsi="Arial"/>
          <w:sz w:val="16"/>
          <w:szCs w:val="16"/>
          <w:color w:val="0063A6"/>
        </w:rPr>
      </w:pPr>
      <w:r>
        <w:rPr>
          <w:rFonts w:ascii="Arial" w:cs="Arial" w:eastAsia="Arial" w:hAnsi="Arial"/>
          <w:sz w:val="16"/>
          <w:szCs w:val="16"/>
          <w:color w:val="auto"/>
        </w:rPr>
        <w:t>In addition, we are committed to supporting nonprofits focused on sustainability and climate change via the Foundation empowering our employees to volunteer with organizations focused on environmental sustainability, and supporting internal sustainability employee interest groups.</w:t>
      </w:r>
    </w:p>
    <w:p>
      <w:pPr>
        <w:spacing w:after="0" w:line="176" w:lineRule="exact"/>
        <w:rPr>
          <w:sz w:val="20"/>
          <w:szCs w:val="20"/>
          <w:color w:val="auto"/>
        </w:rPr>
      </w:pPr>
    </w:p>
    <w:p>
      <w:pPr>
        <w:ind w:left="524" w:hanging="524"/>
        <w:spacing w:after="0"/>
        <w:tabs>
          <w:tab w:leader="none" w:pos="524" w:val="left"/>
        </w:tabs>
        <w:numPr>
          <w:ilvl w:val="0"/>
          <w:numId w:val="35"/>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126365</wp:posOffset>
            </wp:positionV>
            <wp:extent cx="6995160" cy="171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22" w:name="page23"/>
    <w:bookmarkEnd w:id="22"/>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34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71" w:lineRule="exact"/>
        <w:rPr>
          <w:sz w:val="20"/>
          <w:szCs w:val="20"/>
          <w:color w:val="auto"/>
        </w:rPr>
      </w:pPr>
    </w:p>
    <w:p>
      <w:pPr>
        <w:ind w:left="1000" w:hanging="284"/>
        <w:spacing w:after="0"/>
        <w:tabs>
          <w:tab w:leader="none" w:pos="1000" w:val="left"/>
        </w:tabs>
        <w:numPr>
          <w:ilvl w:val="0"/>
          <w:numId w:val="36"/>
        </w:numPr>
        <w:rPr>
          <w:rFonts w:ascii="Arial" w:cs="Arial" w:eastAsia="Arial" w:hAnsi="Arial"/>
          <w:sz w:val="16"/>
          <w:szCs w:val="16"/>
          <w:color w:val="0063A6"/>
        </w:rPr>
      </w:pPr>
      <w:r>
        <w:rPr>
          <w:rFonts w:ascii="Arial" w:cs="Arial" w:eastAsia="Arial" w:hAnsi="Arial"/>
          <w:sz w:val="16"/>
          <w:szCs w:val="16"/>
          <w:color w:val="auto"/>
        </w:rPr>
        <w:t>We partnered with the Foundation to provide financial support to The Environmental Justice Foundation.</w:t>
      </w:r>
    </w:p>
    <w:p>
      <w:pPr>
        <w:spacing w:after="0" w:line="126" w:lineRule="exact"/>
        <w:rPr>
          <w:rFonts w:ascii="Arial" w:cs="Arial" w:eastAsia="Arial" w:hAnsi="Arial"/>
          <w:sz w:val="16"/>
          <w:szCs w:val="16"/>
          <w:color w:val="0063A6"/>
        </w:rPr>
      </w:pPr>
    </w:p>
    <w:p>
      <w:pPr>
        <w:ind w:left="1000" w:hanging="284"/>
        <w:spacing w:after="0"/>
        <w:tabs>
          <w:tab w:leader="none" w:pos="1000" w:val="left"/>
        </w:tabs>
        <w:numPr>
          <w:ilvl w:val="0"/>
          <w:numId w:val="36"/>
        </w:numPr>
        <w:rPr>
          <w:rFonts w:ascii="Arial" w:cs="Arial" w:eastAsia="Arial" w:hAnsi="Arial"/>
          <w:sz w:val="16"/>
          <w:szCs w:val="16"/>
          <w:color w:val="0063A6"/>
        </w:rPr>
      </w:pPr>
      <w:r>
        <w:rPr>
          <w:rFonts w:ascii="Arial" w:cs="Arial" w:eastAsia="Arial" w:hAnsi="Arial"/>
          <w:sz w:val="16"/>
          <w:szCs w:val="16"/>
          <w:color w:val="auto"/>
        </w:rPr>
        <w:t>In 2021, we signed on as a signatory to the United Nations Global Compact.</w:t>
      </w:r>
    </w:p>
    <w:p>
      <w:pPr>
        <w:spacing w:after="0" w:line="397"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Business Conduct and Ethics</w:t>
      </w:r>
    </w:p>
    <w:p>
      <w:pPr>
        <w:spacing w:after="0" w:line="39" w:lineRule="exact"/>
        <w:rPr>
          <w:sz w:val="20"/>
          <w:szCs w:val="20"/>
          <w:color w:val="auto"/>
        </w:rPr>
      </w:pPr>
    </w:p>
    <w:p>
      <w:pPr>
        <w:ind w:left="1000" w:right="740" w:hanging="284"/>
        <w:spacing w:after="0" w:line="277" w:lineRule="auto"/>
        <w:tabs>
          <w:tab w:leader="none" w:pos="1000" w:val="left"/>
        </w:tabs>
        <w:numPr>
          <w:ilvl w:val="0"/>
          <w:numId w:val="37"/>
        </w:numPr>
        <w:rPr>
          <w:rFonts w:ascii="Arial" w:cs="Arial" w:eastAsia="Arial" w:hAnsi="Arial"/>
          <w:sz w:val="16"/>
          <w:szCs w:val="16"/>
          <w:color w:val="0063A6"/>
        </w:rPr>
      </w:pPr>
      <w:r>
        <w:rPr>
          <w:rFonts w:ascii="Arial" w:cs="Arial" w:eastAsia="Arial" w:hAnsi="Arial"/>
          <w:sz w:val="16"/>
          <w:szCs w:val="16"/>
          <w:color w:val="auto"/>
        </w:rPr>
        <w:t>We have a Code of Business Conduct and Ethics (the “Code”) that is applicable to all our employees, directors and independent contractors, as well as written policies addressing insider trading, anti-corruption, financial controls and maintaining confidentiality.</w:t>
      </w:r>
    </w:p>
    <w:p>
      <w:pPr>
        <w:spacing w:after="0" w:line="108" w:lineRule="exact"/>
        <w:rPr>
          <w:rFonts w:ascii="Arial" w:cs="Arial" w:eastAsia="Arial" w:hAnsi="Arial"/>
          <w:sz w:val="16"/>
          <w:szCs w:val="16"/>
          <w:color w:val="0063A6"/>
        </w:rPr>
      </w:pPr>
    </w:p>
    <w:p>
      <w:pPr>
        <w:ind w:left="1000" w:hanging="284"/>
        <w:spacing w:after="0"/>
        <w:tabs>
          <w:tab w:leader="none" w:pos="1000" w:val="left"/>
        </w:tabs>
        <w:numPr>
          <w:ilvl w:val="0"/>
          <w:numId w:val="37"/>
        </w:numPr>
        <w:rPr>
          <w:rFonts w:ascii="Arial" w:cs="Arial" w:eastAsia="Arial" w:hAnsi="Arial"/>
          <w:sz w:val="16"/>
          <w:szCs w:val="16"/>
          <w:color w:val="0063A6"/>
        </w:rPr>
      </w:pPr>
      <w:r>
        <w:rPr>
          <w:rFonts w:ascii="Arial" w:cs="Arial" w:eastAsia="Arial" w:hAnsi="Arial"/>
          <w:sz w:val="16"/>
          <w:szCs w:val="16"/>
          <w:color w:val="auto"/>
        </w:rPr>
        <w:t>The Code and our internal policies are reviewed and updated as necessary on an annual basis.</w:t>
      </w:r>
    </w:p>
    <w:p>
      <w:pPr>
        <w:spacing w:after="0" w:line="167" w:lineRule="exact"/>
        <w:rPr>
          <w:rFonts w:ascii="Arial" w:cs="Arial" w:eastAsia="Arial" w:hAnsi="Arial"/>
          <w:sz w:val="16"/>
          <w:szCs w:val="16"/>
          <w:color w:val="0063A6"/>
        </w:rPr>
      </w:pPr>
    </w:p>
    <w:p>
      <w:pPr>
        <w:ind w:left="1000" w:right="760" w:hanging="284"/>
        <w:spacing w:after="0" w:line="286" w:lineRule="auto"/>
        <w:tabs>
          <w:tab w:leader="none" w:pos="1000" w:val="left"/>
        </w:tabs>
        <w:numPr>
          <w:ilvl w:val="0"/>
          <w:numId w:val="37"/>
        </w:numPr>
        <w:rPr>
          <w:rFonts w:ascii="Arial" w:cs="Arial" w:eastAsia="Arial" w:hAnsi="Arial"/>
          <w:sz w:val="16"/>
          <w:szCs w:val="16"/>
          <w:color w:val="0063A6"/>
        </w:rPr>
      </w:pPr>
      <w:r>
        <w:rPr>
          <w:rFonts w:ascii="Arial" w:cs="Arial" w:eastAsia="Arial" w:hAnsi="Arial"/>
          <w:sz w:val="16"/>
          <w:szCs w:val="16"/>
          <w:color w:val="auto"/>
        </w:rPr>
        <w:t>All employees are required to complete a training course on the Code and related policies on an annual basis; additional trainings on select topics are provided to certain employees based on their roles.</w:t>
      </w:r>
    </w:p>
    <w:p>
      <w:pPr>
        <w:spacing w:after="0" w:line="101" w:lineRule="exact"/>
        <w:rPr>
          <w:rFonts w:ascii="Arial" w:cs="Arial" w:eastAsia="Arial" w:hAnsi="Arial"/>
          <w:sz w:val="16"/>
          <w:szCs w:val="16"/>
          <w:color w:val="0063A6"/>
        </w:rPr>
      </w:pPr>
    </w:p>
    <w:p>
      <w:pPr>
        <w:ind w:left="1000" w:right="1160" w:hanging="284"/>
        <w:spacing w:after="0" w:line="266" w:lineRule="auto"/>
        <w:tabs>
          <w:tab w:leader="none" w:pos="1000" w:val="left"/>
        </w:tabs>
        <w:numPr>
          <w:ilvl w:val="0"/>
          <w:numId w:val="37"/>
        </w:numPr>
        <w:rPr>
          <w:rFonts w:ascii="Arial" w:cs="Arial" w:eastAsia="Arial" w:hAnsi="Arial"/>
          <w:sz w:val="16"/>
          <w:szCs w:val="16"/>
          <w:color w:val="0063A6"/>
        </w:rPr>
      </w:pPr>
      <w:r>
        <w:rPr>
          <w:rFonts w:ascii="Arial" w:cs="Arial" w:eastAsia="Arial" w:hAnsi="Arial"/>
          <w:sz w:val="16"/>
          <w:szCs w:val="16"/>
          <w:color w:val="auto"/>
        </w:rPr>
        <w:t>Trust is one of our core values and we seek to maintain that trust through empowering employees to report any potential violations of our Code, our policies or applicable laws through our confidential whistleblower hotline; we do not tolerate any retaliation against employees who report potential violations in good faith or participate in investigations into such violations.</w:t>
      </w:r>
    </w:p>
    <w:p>
      <w:pPr>
        <w:spacing w:after="0" w:line="328"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Director Compensation</w:t>
      </w:r>
    </w:p>
    <w:p>
      <w:pPr>
        <w:spacing w:after="0" w:line="179" w:lineRule="exact"/>
        <w:rPr>
          <w:sz w:val="20"/>
          <w:szCs w:val="20"/>
          <w:color w:val="auto"/>
        </w:rPr>
      </w:pPr>
    </w:p>
    <w:p>
      <w:pPr>
        <w:ind w:left="720" w:right="740"/>
        <w:spacing w:after="0" w:line="250" w:lineRule="auto"/>
        <w:rPr>
          <w:sz w:val="20"/>
          <w:szCs w:val="20"/>
          <w:color w:val="auto"/>
        </w:rPr>
      </w:pPr>
      <w:r>
        <w:rPr>
          <w:rFonts w:ascii="Arial" w:cs="Arial" w:eastAsia="Arial" w:hAnsi="Arial"/>
          <w:sz w:val="16"/>
          <w:szCs w:val="16"/>
          <w:color w:val="auto"/>
        </w:rPr>
        <w:t>We have adopted a compensation policy for our non-employee directors. Under this director compensation policy, each non-employee director receives the cash and equity compensation for board services described below. We also reimburse our non-employee directors for reasonable, customary, and documented travel expenses to board meetings. The director compensation policy has been developed in consultation with Compensia, Inc., or Compensia, an independent national compensation consulting firm. Compensia provided recommendations and competitive non-employee director compensation data and analyses. We considered and discussed these recommendations and data, and considered the specific duties and committee responsibilities of particular directors. We adopted Compensia’s recommendations when we initially adopted the director compensation policy in connection with our initial public offering, and we believe the policy provides our non-employee directors with reasonable and appropriate compensation that is commensurate with the services they provide and competitive with compensation paid by our peer group companies to their non-employee directors. Compensia has also advised on subsequent amendments to the policy. Our director compensation policy follows the principles listed below.</w:t>
      </w:r>
    </w:p>
    <w:p>
      <w:pPr>
        <w:spacing w:after="0" w:line="52" w:lineRule="exact"/>
        <w:rPr>
          <w:sz w:val="20"/>
          <w:szCs w:val="20"/>
          <w:color w:val="auto"/>
        </w:rPr>
      </w:pPr>
    </w:p>
    <w:tbl>
      <w:tblPr>
        <w:tblLayout w:type="fixed"/>
        <w:tblInd w:w="0" w:type="dxa"/>
        <w:tblCellMar>
          <w:top w:w="0" w:type="dxa"/>
          <w:left w:w="0" w:type="dxa"/>
          <w:bottom w:w="0" w:type="dxa"/>
          <w:right w:w="0" w:type="dxa"/>
        </w:tblCellMar>
      </w:tblPr>
      <w:tr>
        <w:trPr>
          <w:trHeight w:val="344"/>
        </w:trPr>
        <w:tc>
          <w:tcPr>
            <w:tcW w:w="740" w:type="dxa"/>
            <w:vAlign w:val="bottom"/>
            <w:tcBorders>
              <w:right w:val="single" w:sz="8" w:color="0063A6"/>
            </w:tcBorders>
          </w:tcPr>
          <w:p>
            <w:pPr>
              <w:spacing w:after="0"/>
              <w:rPr>
                <w:sz w:val="24"/>
                <w:szCs w:val="24"/>
                <w:color w:val="auto"/>
              </w:rPr>
            </w:pPr>
          </w:p>
        </w:tc>
        <w:tc>
          <w:tcPr>
            <w:tcW w:w="2100" w:type="dxa"/>
            <w:vAlign w:val="bottom"/>
            <w:tcBorders>
              <w:bottom w:val="single" w:sz="8" w:color="0063A6"/>
              <w:right w:val="single" w:sz="8" w:color="0063A6"/>
            </w:tcBorders>
            <w:shd w:val="clear" w:color="auto" w:fill="0063A6"/>
          </w:tcPr>
          <w:p>
            <w:pPr>
              <w:ind w:left="60"/>
              <w:spacing w:after="0"/>
              <w:rPr>
                <w:sz w:val="20"/>
                <w:szCs w:val="20"/>
                <w:color w:val="auto"/>
              </w:rPr>
            </w:pPr>
            <w:r>
              <w:rPr>
                <w:rFonts w:ascii="Arial" w:cs="Arial" w:eastAsia="Arial" w:hAnsi="Arial"/>
                <w:sz w:val="14"/>
                <w:szCs w:val="14"/>
                <w:b w:val="1"/>
                <w:bCs w:val="1"/>
                <w:color w:val="FFFFFF"/>
              </w:rPr>
              <w:t>Principle</w:t>
            </w:r>
          </w:p>
        </w:tc>
        <w:tc>
          <w:tcPr>
            <w:tcW w:w="7280" w:type="dxa"/>
            <w:vAlign w:val="bottom"/>
            <w:tcBorders>
              <w:bottom w:val="single" w:sz="8" w:color="0063A6"/>
            </w:tcBorders>
            <w:shd w:val="clear" w:color="auto" w:fill="0063A6"/>
          </w:tcPr>
          <w:p>
            <w:pPr>
              <w:ind w:left="100"/>
              <w:spacing w:after="0"/>
              <w:rPr>
                <w:sz w:val="20"/>
                <w:szCs w:val="20"/>
                <w:color w:val="auto"/>
              </w:rPr>
            </w:pPr>
            <w:r>
              <w:rPr>
                <w:rFonts w:ascii="Arial" w:cs="Arial" w:eastAsia="Arial" w:hAnsi="Arial"/>
                <w:sz w:val="14"/>
                <w:szCs w:val="14"/>
                <w:b w:val="1"/>
                <w:bCs w:val="1"/>
                <w:color w:val="FFFFFF"/>
              </w:rPr>
              <w:t>Description</w:t>
            </w:r>
          </w:p>
        </w:tc>
        <w:tc>
          <w:tcPr>
            <w:tcW w:w="160" w:type="dxa"/>
            <w:vAlign w:val="bottom"/>
            <w:tcBorders>
              <w:bottom w:val="single" w:sz="8" w:color="0063A6"/>
              <w:right w:val="single" w:sz="8" w:color="0063A6"/>
            </w:tcBorders>
            <w:shd w:val="clear" w:color="auto" w:fill="0063A6"/>
          </w:tcPr>
          <w:p>
            <w:pPr>
              <w:spacing w:after="0"/>
              <w:rPr>
                <w:sz w:val="24"/>
                <w:szCs w:val="24"/>
                <w:color w:val="auto"/>
              </w:rPr>
            </w:pPr>
          </w:p>
        </w:tc>
        <w:tc>
          <w:tcPr>
            <w:tcW w:w="740" w:type="dxa"/>
            <w:vAlign w:val="bottom"/>
          </w:tcPr>
          <w:p>
            <w:pPr>
              <w:spacing w:after="0"/>
              <w:rPr>
                <w:sz w:val="24"/>
                <w:szCs w:val="24"/>
                <w:color w:val="auto"/>
              </w:rPr>
            </w:pPr>
          </w:p>
        </w:tc>
      </w:tr>
      <w:tr>
        <w:trPr>
          <w:trHeight w:val="242"/>
        </w:trPr>
        <w:tc>
          <w:tcPr>
            <w:tcW w:w="740" w:type="dxa"/>
            <w:vAlign w:val="bottom"/>
            <w:tcBorders>
              <w:right w:val="single" w:sz="8" w:color="0063A6"/>
            </w:tcBorders>
          </w:tcPr>
          <w:p>
            <w:pPr>
              <w:spacing w:after="0"/>
              <w:rPr>
                <w:sz w:val="21"/>
                <w:szCs w:val="21"/>
                <w:color w:val="auto"/>
              </w:rPr>
            </w:pPr>
          </w:p>
        </w:tc>
        <w:tc>
          <w:tcPr>
            <w:tcW w:w="2100" w:type="dxa"/>
            <w:vAlign w:val="bottom"/>
            <w:tcBorders>
              <w:right w:val="single" w:sz="8" w:color="0063A6"/>
            </w:tcBorders>
          </w:tcPr>
          <w:p>
            <w:pPr>
              <w:ind w:left="60"/>
              <w:spacing w:after="0"/>
              <w:rPr>
                <w:sz w:val="20"/>
                <w:szCs w:val="20"/>
                <w:color w:val="auto"/>
              </w:rPr>
            </w:pPr>
            <w:r>
              <w:rPr>
                <w:rFonts w:ascii="Arial" w:cs="Arial" w:eastAsia="Arial" w:hAnsi="Arial"/>
                <w:sz w:val="16"/>
                <w:szCs w:val="16"/>
                <w:b w:val="1"/>
                <w:bCs w:val="1"/>
                <w:color w:val="auto"/>
              </w:rPr>
              <w:t>Pay Mix</w:t>
            </w:r>
          </w:p>
        </w:tc>
        <w:tc>
          <w:tcPr>
            <w:tcW w:w="7280" w:type="dxa"/>
            <w:vAlign w:val="bottom"/>
          </w:tcPr>
          <w:p>
            <w:pPr>
              <w:ind w:left="100"/>
              <w:spacing w:after="0"/>
              <w:rPr>
                <w:sz w:val="20"/>
                <w:szCs w:val="20"/>
                <w:color w:val="auto"/>
              </w:rPr>
            </w:pPr>
            <w:r>
              <w:rPr>
                <w:rFonts w:ascii="Arial" w:cs="Arial" w:eastAsia="Arial" w:hAnsi="Arial"/>
                <w:sz w:val="16"/>
                <w:szCs w:val="16"/>
                <w:color w:val="auto"/>
              </w:rPr>
              <w:t>Our director compensation policy consists of a balance of cash and equity, with an emphasis on</w:t>
            </w:r>
          </w:p>
        </w:tc>
        <w:tc>
          <w:tcPr>
            <w:tcW w:w="160" w:type="dxa"/>
            <w:vAlign w:val="bottom"/>
            <w:tcBorders>
              <w:right w:val="single" w:sz="8" w:color="0063A6"/>
            </w:tcBorders>
          </w:tcPr>
          <w:p>
            <w:pPr>
              <w:spacing w:after="0"/>
              <w:rPr>
                <w:sz w:val="21"/>
                <w:szCs w:val="21"/>
                <w:color w:val="auto"/>
              </w:rPr>
            </w:pPr>
          </w:p>
        </w:tc>
        <w:tc>
          <w:tcPr>
            <w:tcW w:w="740" w:type="dxa"/>
            <w:vAlign w:val="bottom"/>
          </w:tcPr>
          <w:p>
            <w:pPr>
              <w:spacing w:after="0"/>
              <w:rPr>
                <w:sz w:val="21"/>
                <w:szCs w:val="21"/>
                <w:color w:val="auto"/>
              </w:rPr>
            </w:pPr>
          </w:p>
        </w:tc>
      </w:tr>
      <w:tr>
        <w:trPr>
          <w:trHeight w:val="215"/>
        </w:trPr>
        <w:tc>
          <w:tcPr>
            <w:tcW w:w="740" w:type="dxa"/>
            <w:vAlign w:val="bottom"/>
            <w:tcBorders>
              <w:right w:val="single" w:sz="8" w:color="0063A6"/>
            </w:tcBorders>
          </w:tcPr>
          <w:p>
            <w:pPr>
              <w:spacing w:after="0"/>
              <w:rPr>
                <w:sz w:val="18"/>
                <w:szCs w:val="18"/>
                <w:color w:val="auto"/>
              </w:rPr>
            </w:pPr>
          </w:p>
        </w:tc>
        <w:tc>
          <w:tcPr>
            <w:tcW w:w="2100" w:type="dxa"/>
            <w:vAlign w:val="bottom"/>
            <w:tcBorders>
              <w:right w:val="single" w:sz="8" w:color="0063A6"/>
            </w:tcBorders>
          </w:tcPr>
          <w:p>
            <w:pPr>
              <w:spacing w:after="0"/>
              <w:rPr>
                <w:sz w:val="18"/>
                <w:szCs w:val="18"/>
                <w:color w:val="auto"/>
              </w:rPr>
            </w:pPr>
          </w:p>
        </w:tc>
        <w:tc>
          <w:tcPr>
            <w:tcW w:w="7280" w:type="dxa"/>
            <w:vAlign w:val="bottom"/>
          </w:tcPr>
          <w:p>
            <w:pPr>
              <w:ind w:left="100"/>
              <w:spacing w:after="0"/>
              <w:rPr>
                <w:sz w:val="20"/>
                <w:szCs w:val="20"/>
                <w:color w:val="auto"/>
              </w:rPr>
            </w:pPr>
            <w:r>
              <w:rPr>
                <w:rFonts w:ascii="Arial" w:cs="Arial" w:eastAsia="Arial" w:hAnsi="Arial"/>
                <w:sz w:val="16"/>
                <w:szCs w:val="16"/>
                <w:color w:val="auto"/>
              </w:rPr>
              <w:t>equity over cash, in order to better align the interests of our directors with that of our stockholders.</w:t>
            </w:r>
          </w:p>
        </w:tc>
        <w:tc>
          <w:tcPr>
            <w:tcW w:w="160" w:type="dxa"/>
            <w:vAlign w:val="bottom"/>
            <w:tcBorders>
              <w:right w:val="single" w:sz="8" w:color="0063A6"/>
            </w:tcBorders>
          </w:tcPr>
          <w:p>
            <w:pPr>
              <w:spacing w:after="0"/>
              <w:rPr>
                <w:sz w:val="18"/>
                <w:szCs w:val="18"/>
                <w:color w:val="auto"/>
              </w:rPr>
            </w:pPr>
          </w:p>
        </w:tc>
        <w:tc>
          <w:tcPr>
            <w:tcW w:w="740" w:type="dxa"/>
            <w:vAlign w:val="bottom"/>
          </w:tcPr>
          <w:p>
            <w:pPr>
              <w:spacing w:after="0"/>
              <w:rPr>
                <w:sz w:val="18"/>
                <w:szCs w:val="18"/>
                <w:color w:val="auto"/>
              </w:rPr>
            </w:pPr>
          </w:p>
        </w:tc>
      </w:tr>
      <w:tr>
        <w:trPr>
          <w:trHeight w:val="56"/>
        </w:trPr>
        <w:tc>
          <w:tcPr>
            <w:tcW w:w="740" w:type="dxa"/>
            <w:vAlign w:val="bottom"/>
            <w:tcBorders>
              <w:right w:val="single" w:sz="8" w:color="0063A6"/>
            </w:tcBorders>
          </w:tcPr>
          <w:p>
            <w:pPr>
              <w:spacing w:after="0"/>
              <w:rPr>
                <w:sz w:val="4"/>
                <w:szCs w:val="4"/>
                <w:color w:val="auto"/>
              </w:rPr>
            </w:pPr>
          </w:p>
        </w:tc>
        <w:tc>
          <w:tcPr>
            <w:tcW w:w="2100" w:type="dxa"/>
            <w:vAlign w:val="bottom"/>
            <w:tcBorders>
              <w:bottom w:val="single" w:sz="8" w:color="0063A6"/>
              <w:right w:val="single" w:sz="8" w:color="0063A6"/>
            </w:tcBorders>
          </w:tcPr>
          <w:p>
            <w:pPr>
              <w:spacing w:after="0"/>
              <w:rPr>
                <w:sz w:val="4"/>
                <w:szCs w:val="4"/>
                <w:color w:val="auto"/>
              </w:rPr>
            </w:pPr>
          </w:p>
        </w:tc>
        <w:tc>
          <w:tcPr>
            <w:tcW w:w="7280" w:type="dxa"/>
            <w:vAlign w:val="bottom"/>
            <w:tcBorders>
              <w:bottom w:val="single" w:sz="8" w:color="0063A6"/>
            </w:tcBorders>
          </w:tcPr>
          <w:p>
            <w:pPr>
              <w:spacing w:after="0"/>
              <w:rPr>
                <w:sz w:val="4"/>
                <w:szCs w:val="4"/>
                <w:color w:val="auto"/>
              </w:rPr>
            </w:pPr>
          </w:p>
        </w:tc>
        <w:tc>
          <w:tcPr>
            <w:tcW w:w="160" w:type="dxa"/>
            <w:vAlign w:val="bottom"/>
            <w:tcBorders>
              <w:bottom w:val="single" w:sz="8" w:color="0063A6"/>
              <w:right w:val="single" w:sz="8" w:color="0063A6"/>
            </w:tcBorders>
          </w:tcPr>
          <w:p>
            <w:pPr>
              <w:spacing w:after="0"/>
              <w:rPr>
                <w:sz w:val="4"/>
                <w:szCs w:val="4"/>
                <w:color w:val="auto"/>
              </w:rPr>
            </w:pPr>
          </w:p>
        </w:tc>
        <w:tc>
          <w:tcPr>
            <w:tcW w:w="740" w:type="dxa"/>
            <w:vAlign w:val="bottom"/>
          </w:tcPr>
          <w:p>
            <w:pPr>
              <w:spacing w:after="0"/>
              <w:rPr>
                <w:sz w:val="4"/>
                <w:szCs w:val="4"/>
                <w:color w:val="auto"/>
              </w:rPr>
            </w:pPr>
          </w:p>
        </w:tc>
      </w:tr>
      <w:tr>
        <w:trPr>
          <w:trHeight w:val="236"/>
        </w:trPr>
        <w:tc>
          <w:tcPr>
            <w:tcW w:w="740" w:type="dxa"/>
            <w:vAlign w:val="bottom"/>
            <w:tcBorders>
              <w:right w:val="single" w:sz="8" w:color="0063A6"/>
            </w:tcBorders>
          </w:tcPr>
          <w:p>
            <w:pPr>
              <w:spacing w:after="0"/>
              <w:rPr>
                <w:sz w:val="20"/>
                <w:szCs w:val="20"/>
                <w:color w:val="auto"/>
              </w:rPr>
            </w:pPr>
          </w:p>
        </w:tc>
        <w:tc>
          <w:tcPr>
            <w:tcW w:w="2100" w:type="dxa"/>
            <w:vAlign w:val="bottom"/>
            <w:tcBorders>
              <w:right w:val="single" w:sz="8" w:color="0063A6"/>
            </w:tcBorders>
          </w:tcPr>
          <w:p>
            <w:pPr>
              <w:ind w:left="60"/>
              <w:spacing w:after="0"/>
              <w:rPr>
                <w:sz w:val="20"/>
                <w:szCs w:val="20"/>
                <w:color w:val="auto"/>
              </w:rPr>
            </w:pPr>
            <w:r>
              <w:rPr>
                <w:rFonts w:ascii="Arial" w:cs="Arial" w:eastAsia="Arial" w:hAnsi="Arial"/>
                <w:sz w:val="16"/>
                <w:szCs w:val="16"/>
                <w:b w:val="1"/>
                <w:bCs w:val="1"/>
                <w:color w:val="auto"/>
              </w:rPr>
              <w:t>Total Compensation</w:t>
            </w:r>
          </w:p>
        </w:tc>
        <w:tc>
          <w:tcPr>
            <w:tcW w:w="7280" w:type="dxa"/>
            <w:vAlign w:val="bottom"/>
          </w:tcPr>
          <w:p>
            <w:pPr>
              <w:ind w:left="100"/>
              <w:spacing w:after="0"/>
              <w:rPr>
                <w:sz w:val="20"/>
                <w:szCs w:val="20"/>
                <w:color w:val="auto"/>
              </w:rPr>
            </w:pPr>
            <w:r>
              <w:rPr>
                <w:rFonts w:ascii="Arial" w:cs="Arial" w:eastAsia="Arial" w:hAnsi="Arial"/>
                <w:sz w:val="16"/>
                <w:szCs w:val="16"/>
                <w:color w:val="auto"/>
              </w:rPr>
              <w:t>Our director compensation policy includes a maximum annual limit of $1,200,000 of cash</w:t>
            </w:r>
          </w:p>
        </w:tc>
        <w:tc>
          <w:tcPr>
            <w:tcW w:w="160" w:type="dxa"/>
            <w:vAlign w:val="bottom"/>
            <w:tcBorders>
              <w:right w:val="single" w:sz="8" w:color="0063A6"/>
            </w:tcBorders>
          </w:tcPr>
          <w:p>
            <w:pPr>
              <w:spacing w:after="0"/>
              <w:rPr>
                <w:sz w:val="20"/>
                <w:szCs w:val="20"/>
                <w:color w:val="auto"/>
              </w:rPr>
            </w:pPr>
          </w:p>
        </w:tc>
        <w:tc>
          <w:tcPr>
            <w:tcW w:w="740" w:type="dxa"/>
            <w:vAlign w:val="bottom"/>
          </w:tcPr>
          <w:p>
            <w:pPr>
              <w:spacing w:after="0"/>
              <w:rPr>
                <w:sz w:val="20"/>
                <w:szCs w:val="20"/>
                <w:color w:val="auto"/>
              </w:rPr>
            </w:pPr>
          </w:p>
        </w:tc>
      </w:tr>
      <w:tr>
        <w:trPr>
          <w:trHeight w:val="189"/>
        </w:trPr>
        <w:tc>
          <w:tcPr>
            <w:tcW w:w="740" w:type="dxa"/>
            <w:vAlign w:val="bottom"/>
            <w:tcBorders>
              <w:right w:val="single" w:sz="8" w:color="0063A6"/>
            </w:tcBorders>
          </w:tcPr>
          <w:p>
            <w:pPr>
              <w:spacing w:after="0"/>
              <w:rPr>
                <w:sz w:val="16"/>
                <w:szCs w:val="16"/>
                <w:color w:val="auto"/>
              </w:rPr>
            </w:pPr>
          </w:p>
        </w:tc>
        <w:tc>
          <w:tcPr>
            <w:tcW w:w="2100" w:type="dxa"/>
            <w:vAlign w:val="bottom"/>
            <w:tcBorders>
              <w:right w:val="single" w:sz="8" w:color="0063A6"/>
            </w:tcBorders>
          </w:tcPr>
          <w:p>
            <w:pPr>
              <w:ind w:left="60"/>
              <w:spacing w:after="0"/>
              <w:rPr>
                <w:sz w:val="20"/>
                <w:szCs w:val="20"/>
                <w:color w:val="auto"/>
              </w:rPr>
            </w:pPr>
            <w:r>
              <w:rPr>
                <w:rFonts w:ascii="Arial" w:cs="Arial" w:eastAsia="Arial" w:hAnsi="Arial"/>
                <w:sz w:val="16"/>
                <w:szCs w:val="16"/>
                <w:b w:val="1"/>
                <w:bCs w:val="1"/>
                <w:color w:val="auto"/>
              </w:rPr>
              <w:t>Limit</w:t>
            </w:r>
          </w:p>
        </w:tc>
        <w:tc>
          <w:tcPr>
            <w:tcW w:w="7280" w:type="dxa"/>
            <w:vAlign w:val="bottom"/>
          </w:tcPr>
          <w:p>
            <w:pPr>
              <w:ind w:left="100"/>
              <w:spacing w:after="0"/>
              <w:rPr>
                <w:sz w:val="20"/>
                <w:szCs w:val="20"/>
                <w:color w:val="auto"/>
              </w:rPr>
            </w:pPr>
            <w:r>
              <w:rPr>
                <w:rFonts w:ascii="Arial" w:cs="Arial" w:eastAsia="Arial" w:hAnsi="Arial"/>
                <w:sz w:val="16"/>
                <w:szCs w:val="16"/>
                <w:color w:val="auto"/>
              </w:rPr>
              <w:t>compensation and equity awards that may be paid, issued, or granted to a non-employee director in</w:t>
            </w:r>
          </w:p>
        </w:tc>
        <w:tc>
          <w:tcPr>
            <w:tcW w:w="160" w:type="dxa"/>
            <w:vAlign w:val="bottom"/>
            <w:tcBorders>
              <w:right w:val="single" w:sz="8" w:color="0063A6"/>
            </w:tcBorders>
          </w:tcPr>
          <w:p>
            <w:pPr>
              <w:spacing w:after="0"/>
              <w:rPr>
                <w:sz w:val="16"/>
                <w:szCs w:val="16"/>
                <w:color w:val="auto"/>
              </w:rPr>
            </w:pPr>
          </w:p>
        </w:tc>
        <w:tc>
          <w:tcPr>
            <w:tcW w:w="740" w:type="dxa"/>
            <w:vAlign w:val="bottom"/>
          </w:tcPr>
          <w:p>
            <w:pPr>
              <w:spacing w:after="0"/>
              <w:rPr>
                <w:sz w:val="16"/>
                <w:szCs w:val="16"/>
                <w:color w:val="auto"/>
              </w:rPr>
            </w:pPr>
          </w:p>
        </w:tc>
      </w:tr>
      <w:tr>
        <w:trPr>
          <w:trHeight w:val="189"/>
        </w:trPr>
        <w:tc>
          <w:tcPr>
            <w:tcW w:w="740" w:type="dxa"/>
            <w:vAlign w:val="bottom"/>
            <w:tcBorders>
              <w:right w:val="single" w:sz="8" w:color="0063A6"/>
            </w:tcBorders>
          </w:tcPr>
          <w:p>
            <w:pPr>
              <w:spacing w:after="0"/>
              <w:rPr>
                <w:sz w:val="16"/>
                <w:szCs w:val="16"/>
                <w:color w:val="auto"/>
              </w:rPr>
            </w:pPr>
          </w:p>
        </w:tc>
        <w:tc>
          <w:tcPr>
            <w:tcW w:w="2100" w:type="dxa"/>
            <w:vAlign w:val="bottom"/>
            <w:tcBorders>
              <w:right w:val="single" w:sz="8" w:color="0063A6"/>
            </w:tcBorders>
          </w:tcPr>
          <w:p>
            <w:pPr>
              <w:spacing w:after="0"/>
              <w:rPr>
                <w:sz w:val="16"/>
                <w:szCs w:val="16"/>
                <w:color w:val="auto"/>
              </w:rPr>
            </w:pPr>
          </w:p>
        </w:tc>
        <w:tc>
          <w:tcPr>
            <w:tcW w:w="7440" w:type="dxa"/>
            <w:vAlign w:val="bottom"/>
            <w:tcBorders>
              <w:right w:val="single" w:sz="8" w:color="0063A6"/>
            </w:tcBorders>
            <w:gridSpan w:val="2"/>
          </w:tcPr>
          <w:p>
            <w:pPr>
              <w:ind w:left="100"/>
              <w:spacing w:after="0"/>
              <w:rPr>
                <w:sz w:val="20"/>
                <w:szCs w:val="20"/>
                <w:color w:val="auto"/>
              </w:rPr>
            </w:pPr>
            <w:r>
              <w:rPr>
                <w:rFonts w:ascii="Arial" w:cs="Arial" w:eastAsia="Arial" w:hAnsi="Arial"/>
                <w:sz w:val="16"/>
                <w:szCs w:val="16"/>
                <w:color w:val="auto"/>
              </w:rPr>
              <w:t>any fiscal year. The maximum limit does not reflect the intended size of any potential compensation or</w:t>
            </w:r>
          </w:p>
        </w:tc>
        <w:tc>
          <w:tcPr>
            <w:tcW w:w="740" w:type="dxa"/>
            <w:vAlign w:val="bottom"/>
          </w:tcPr>
          <w:p>
            <w:pPr>
              <w:spacing w:after="0"/>
              <w:rPr>
                <w:sz w:val="16"/>
                <w:szCs w:val="16"/>
                <w:color w:val="auto"/>
              </w:rPr>
            </w:pPr>
          </w:p>
        </w:tc>
      </w:tr>
      <w:tr>
        <w:trPr>
          <w:trHeight w:val="189"/>
        </w:trPr>
        <w:tc>
          <w:tcPr>
            <w:tcW w:w="740" w:type="dxa"/>
            <w:vAlign w:val="bottom"/>
            <w:tcBorders>
              <w:right w:val="single" w:sz="8" w:color="0063A6"/>
            </w:tcBorders>
          </w:tcPr>
          <w:p>
            <w:pPr>
              <w:spacing w:after="0"/>
              <w:rPr>
                <w:sz w:val="16"/>
                <w:szCs w:val="16"/>
                <w:color w:val="auto"/>
              </w:rPr>
            </w:pPr>
          </w:p>
        </w:tc>
        <w:tc>
          <w:tcPr>
            <w:tcW w:w="2100" w:type="dxa"/>
            <w:vAlign w:val="bottom"/>
            <w:tcBorders>
              <w:right w:val="single" w:sz="8" w:color="0063A6"/>
            </w:tcBorders>
          </w:tcPr>
          <w:p>
            <w:pPr>
              <w:spacing w:after="0"/>
              <w:rPr>
                <w:sz w:val="16"/>
                <w:szCs w:val="16"/>
                <w:color w:val="auto"/>
              </w:rPr>
            </w:pPr>
          </w:p>
        </w:tc>
        <w:tc>
          <w:tcPr>
            <w:tcW w:w="7280" w:type="dxa"/>
            <w:vAlign w:val="bottom"/>
          </w:tcPr>
          <w:p>
            <w:pPr>
              <w:ind w:left="100"/>
              <w:spacing w:after="0"/>
              <w:rPr>
                <w:sz w:val="20"/>
                <w:szCs w:val="20"/>
                <w:color w:val="auto"/>
              </w:rPr>
            </w:pPr>
            <w:r>
              <w:rPr>
                <w:rFonts w:ascii="Arial" w:cs="Arial" w:eastAsia="Arial" w:hAnsi="Arial"/>
                <w:sz w:val="16"/>
                <w:szCs w:val="16"/>
                <w:color w:val="auto"/>
              </w:rPr>
              <w:t>equity awards to our non-employee directors. Any cash compensation paid or equity awards granted</w:t>
            </w:r>
          </w:p>
        </w:tc>
        <w:tc>
          <w:tcPr>
            <w:tcW w:w="160" w:type="dxa"/>
            <w:vAlign w:val="bottom"/>
            <w:tcBorders>
              <w:right w:val="single" w:sz="8" w:color="0063A6"/>
            </w:tcBorders>
          </w:tcPr>
          <w:p>
            <w:pPr>
              <w:spacing w:after="0"/>
              <w:rPr>
                <w:sz w:val="16"/>
                <w:szCs w:val="16"/>
                <w:color w:val="auto"/>
              </w:rPr>
            </w:pPr>
          </w:p>
        </w:tc>
        <w:tc>
          <w:tcPr>
            <w:tcW w:w="740" w:type="dxa"/>
            <w:vAlign w:val="bottom"/>
          </w:tcPr>
          <w:p>
            <w:pPr>
              <w:spacing w:after="0"/>
              <w:rPr>
                <w:sz w:val="16"/>
                <w:szCs w:val="16"/>
                <w:color w:val="auto"/>
              </w:rPr>
            </w:pPr>
          </w:p>
        </w:tc>
      </w:tr>
      <w:tr>
        <w:trPr>
          <w:trHeight w:val="189"/>
        </w:trPr>
        <w:tc>
          <w:tcPr>
            <w:tcW w:w="740" w:type="dxa"/>
            <w:vAlign w:val="bottom"/>
            <w:tcBorders>
              <w:right w:val="single" w:sz="8" w:color="0063A6"/>
            </w:tcBorders>
          </w:tcPr>
          <w:p>
            <w:pPr>
              <w:spacing w:after="0"/>
              <w:rPr>
                <w:sz w:val="16"/>
                <w:szCs w:val="16"/>
                <w:color w:val="auto"/>
              </w:rPr>
            </w:pPr>
          </w:p>
        </w:tc>
        <w:tc>
          <w:tcPr>
            <w:tcW w:w="2100" w:type="dxa"/>
            <w:vAlign w:val="bottom"/>
            <w:tcBorders>
              <w:right w:val="single" w:sz="8" w:color="0063A6"/>
            </w:tcBorders>
          </w:tcPr>
          <w:p>
            <w:pPr>
              <w:spacing w:after="0"/>
              <w:rPr>
                <w:sz w:val="16"/>
                <w:szCs w:val="16"/>
                <w:color w:val="auto"/>
              </w:rPr>
            </w:pPr>
          </w:p>
        </w:tc>
        <w:tc>
          <w:tcPr>
            <w:tcW w:w="7280" w:type="dxa"/>
            <w:vAlign w:val="bottom"/>
          </w:tcPr>
          <w:p>
            <w:pPr>
              <w:ind w:left="100"/>
              <w:spacing w:after="0"/>
              <w:rPr>
                <w:sz w:val="20"/>
                <w:szCs w:val="20"/>
                <w:color w:val="auto"/>
              </w:rPr>
            </w:pPr>
            <w:r>
              <w:rPr>
                <w:rFonts w:ascii="Arial" w:cs="Arial" w:eastAsia="Arial" w:hAnsi="Arial"/>
                <w:sz w:val="16"/>
                <w:szCs w:val="16"/>
                <w:color w:val="auto"/>
              </w:rPr>
              <w:t>to a person for his or her services as an employee, or for his or her services as a consultant (other</w:t>
            </w:r>
          </w:p>
        </w:tc>
        <w:tc>
          <w:tcPr>
            <w:tcW w:w="160" w:type="dxa"/>
            <w:vAlign w:val="bottom"/>
            <w:tcBorders>
              <w:right w:val="single" w:sz="8" w:color="0063A6"/>
            </w:tcBorders>
          </w:tcPr>
          <w:p>
            <w:pPr>
              <w:spacing w:after="0"/>
              <w:rPr>
                <w:sz w:val="16"/>
                <w:szCs w:val="16"/>
                <w:color w:val="auto"/>
              </w:rPr>
            </w:pPr>
          </w:p>
        </w:tc>
        <w:tc>
          <w:tcPr>
            <w:tcW w:w="740" w:type="dxa"/>
            <w:vAlign w:val="bottom"/>
          </w:tcPr>
          <w:p>
            <w:pPr>
              <w:spacing w:after="0"/>
              <w:rPr>
                <w:sz w:val="16"/>
                <w:szCs w:val="16"/>
                <w:color w:val="auto"/>
              </w:rPr>
            </w:pPr>
          </w:p>
        </w:tc>
      </w:tr>
      <w:tr>
        <w:trPr>
          <w:trHeight w:val="189"/>
        </w:trPr>
        <w:tc>
          <w:tcPr>
            <w:tcW w:w="740" w:type="dxa"/>
            <w:vAlign w:val="bottom"/>
            <w:tcBorders>
              <w:right w:val="single" w:sz="8" w:color="0063A6"/>
            </w:tcBorders>
          </w:tcPr>
          <w:p>
            <w:pPr>
              <w:spacing w:after="0"/>
              <w:rPr>
                <w:sz w:val="16"/>
                <w:szCs w:val="16"/>
                <w:color w:val="auto"/>
              </w:rPr>
            </w:pPr>
          </w:p>
        </w:tc>
        <w:tc>
          <w:tcPr>
            <w:tcW w:w="2100" w:type="dxa"/>
            <w:vAlign w:val="bottom"/>
            <w:tcBorders>
              <w:right w:val="single" w:sz="8" w:color="0063A6"/>
            </w:tcBorders>
          </w:tcPr>
          <w:p>
            <w:pPr>
              <w:spacing w:after="0"/>
              <w:rPr>
                <w:sz w:val="16"/>
                <w:szCs w:val="16"/>
                <w:color w:val="auto"/>
              </w:rPr>
            </w:pPr>
          </w:p>
        </w:tc>
        <w:tc>
          <w:tcPr>
            <w:tcW w:w="7280" w:type="dxa"/>
            <w:vAlign w:val="bottom"/>
          </w:tcPr>
          <w:p>
            <w:pPr>
              <w:ind w:left="100"/>
              <w:spacing w:after="0"/>
              <w:rPr>
                <w:sz w:val="20"/>
                <w:szCs w:val="20"/>
                <w:color w:val="auto"/>
              </w:rPr>
            </w:pPr>
            <w:r>
              <w:rPr>
                <w:rFonts w:ascii="Arial" w:cs="Arial" w:eastAsia="Arial" w:hAnsi="Arial"/>
                <w:sz w:val="16"/>
                <w:szCs w:val="16"/>
                <w:color w:val="auto"/>
              </w:rPr>
              <w:t>than as a non-employee director), will not count for purposes of the limitation. For purposes of this</w:t>
            </w:r>
          </w:p>
        </w:tc>
        <w:tc>
          <w:tcPr>
            <w:tcW w:w="160" w:type="dxa"/>
            <w:vAlign w:val="bottom"/>
            <w:tcBorders>
              <w:right w:val="single" w:sz="8" w:color="0063A6"/>
            </w:tcBorders>
          </w:tcPr>
          <w:p>
            <w:pPr>
              <w:spacing w:after="0"/>
              <w:rPr>
                <w:sz w:val="16"/>
                <w:szCs w:val="16"/>
                <w:color w:val="auto"/>
              </w:rPr>
            </w:pPr>
          </w:p>
        </w:tc>
        <w:tc>
          <w:tcPr>
            <w:tcW w:w="740" w:type="dxa"/>
            <w:vAlign w:val="bottom"/>
          </w:tcPr>
          <w:p>
            <w:pPr>
              <w:spacing w:after="0"/>
              <w:rPr>
                <w:sz w:val="16"/>
                <w:szCs w:val="16"/>
                <w:color w:val="auto"/>
              </w:rPr>
            </w:pPr>
          </w:p>
        </w:tc>
      </w:tr>
      <w:tr>
        <w:trPr>
          <w:trHeight w:val="189"/>
        </w:trPr>
        <w:tc>
          <w:tcPr>
            <w:tcW w:w="740" w:type="dxa"/>
            <w:vAlign w:val="bottom"/>
            <w:tcBorders>
              <w:right w:val="single" w:sz="8" w:color="0063A6"/>
            </w:tcBorders>
          </w:tcPr>
          <w:p>
            <w:pPr>
              <w:spacing w:after="0"/>
              <w:rPr>
                <w:sz w:val="16"/>
                <w:szCs w:val="16"/>
                <w:color w:val="auto"/>
              </w:rPr>
            </w:pPr>
          </w:p>
        </w:tc>
        <w:tc>
          <w:tcPr>
            <w:tcW w:w="2100" w:type="dxa"/>
            <w:vAlign w:val="bottom"/>
            <w:tcBorders>
              <w:right w:val="single" w:sz="8" w:color="0063A6"/>
            </w:tcBorders>
          </w:tcPr>
          <w:p>
            <w:pPr>
              <w:spacing w:after="0"/>
              <w:rPr>
                <w:sz w:val="16"/>
                <w:szCs w:val="16"/>
                <w:color w:val="auto"/>
              </w:rPr>
            </w:pPr>
          </w:p>
        </w:tc>
        <w:tc>
          <w:tcPr>
            <w:tcW w:w="7280" w:type="dxa"/>
            <w:vAlign w:val="bottom"/>
          </w:tcPr>
          <w:p>
            <w:pPr>
              <w:ind w:left="100"/>
              <w:spacing w:after="0"/>
              <w:rPr>
                <w:sz w:val="20"/>
                <w:szCs w:val="20"/>
                <w:color w:val="auto"/>
              </w:rPr>
            </w:pPr>
            <w:r>
              <w:rPr>
                <w:rFonts w:ascii="Arial" w:cs="Arial" w:eastAsia="Arial" w:hAnsi="Arial"/>
                <w:sz w:val="16"/>
                <w:szCs w:val="16"/>
                <w:color w:val="auto"/>
              </w:rPr>
              <w:t>limitation, the value of equity awards is based on the grant date fair value (determined in accordance</w:t>
            </w:r>
          </w:p>
        </w:tc>
        <w:tc>
          <w:tcPr>
            <w:tcW w:w="160" w:type="dxa"/>
            <w:vAlign w:val="bottom"/>
            <w:tcBorders>
              <w:right w:val="single" w:sz="8" w:color="0063A6"/>
            </w:tcBorders>
          </w:tcPr>
          <w:p>
            <w:pPr>
              <w:spacing w:after="0"/>
              <w:rPr>
                <w:sz w:val="16"/>
                <w:szCs w:val="16"/>
                <w:color w:val="auto"/>
              </w:rPr>
            </w:pPr>
          </w:p>
        </w:tc>
        <w:tc>
          <w:tcPr>
            <w:tcW w:w="740" w:type="dxa"/>
            <w:vAlign w:val="bottom"/>
          </w:tcPr>
          <w:p>
            <w:pPr>
              <w:spacing w:after="0"/>
              <w:rPr>
                <w:sz w:val="16"/>
                <w:szCs w:val="16"/>
                <w:color w:val="auto"/>
              </w:rPr>
            </w:pPr>
          </w:p>
        </w:tc>
      </w:tr>
      <w:tr>
        <w:trPr>
          <w:trHeight w:val="223"/>
        </w:trPr>
        <w:tc>
          <w:tcPr>
            <w:tcW w:w="740" w:type="dxa"/>
            <w:vAlign w:val="bottom"/>
            <w:tcBorders>
              <w:right w:val="single" w:sz="8" w:color="0063A6"/>
            </w:tcBorders>
          </w:tcPr>
          <w:p>
            <w:pPr>
              <w:spacing w:after="0"/>
              <w:rPr>
                <w:sz w:val="19"/>
                <w:szCs w:val="19"/>
                <w:color w:val="auto"/>
              </w:rPr>
            </w:pPr>
          </w:p>
        </w:tc>
        <w:tc>
          <w:tcPr>
            <w:tcW w:w="2100" w:type="dxa"/>
            <w:vAlign w:val="bottom"/>
            <w:tcBorders>
              <w:right w:val="single" w:sz="8" w:color="0063A6"/>
            </w:tcBorders>
          </w:tcPr>
          <w:p>
            <w:pPr>
              <w:spacing w:after="0"/>
              <w:rPr>
                <w:sz w:val="19"/>
                <w:szCs w:val="19"/>
                <w:color w:val="auto"/>
              </w:rPr>
            </w:pPr>
          </w:p>
        </w:tc>
        <w:tc>
          <w:tcPr>
            <w:tcW w:w="7280" w:type="dxa"/>
            <w:vAlign w:val="bottom"/>
          </w:tcPr>
          <w:p>
            <w:pPr>
              <w:ind w:left="100"/>
              <w:spacing w:after="0"/>
              <w:rPr>
                <w:sz w:val="20"/>
                <w:szCs w:val="20"/>
                <w:color w:val="auto"/>
              </w:rPr>
            </w:pPr>
            <w:r>
              <w:rPr>
                <w:rFonts w:ascii="Arial" w:cs="Arial" w:eastAsia="Arial" w:hAnsi="Arial"/>
                <w:sz w:val="16"/>
                <w:szCs w:val="16"/>
                <w:color w:val="auto"/>
              </w:rPr>
              <w:t>with U.S. Generally Accepted Accounting Principles (“</w:t>
            </w:r>
            <w:r>
              <w:rPr>
                <w:rFonts w:ascii="Arial" w:cs="Arial" w:eastAsia="Arial" w:hAnsi="Arial"/>
                <w:sz w:val="16"/>
                <w:szCs w:val="16"/>
                <w:b w:val="1"/>
                <w:bCs w:val="1"/>
                <w:i w:val="1"/>
                <w:iCs w:val="1"/>
                <w:color w:val="auto"/>
              </w:rPr>
              <w:t>GAAP</w:t>
            </w:r>
            <w:r>
              <w:rPr>
                <w:rFonts w:ascii="Arial" w:cs="Arial" w:eastAsia="Arial" w:hAnsi="Arial"/>
                <w:sz w:val="16"/>
                <w:szCs w:val="16"/>
                <w:color w:val="auto"/>
              </w:rPr>
              <w:t>”).</w:t>
            </w:r>
          </w:p>
        </w:tc>
        <w:tc>
          <w:tcPr>
            <w:tcW w:w="160" w:type="dxa"/>
            <w:vAlign w:val="bottom"/>
            <w:tcBorders>
              <w:right w:val="single" w:sz="8" w:color="0063A6"/>
            </w:tcBorders>
          </w:tcPr>
          <w:p>
            <w:pPr>
              <w:spacing w:after="0"/>
              <w:rPr>
                <w:sz w:val="19"/>
                <w:szCs w:val="19"/>
                <w:color w:val="auto"/>
              </w:rPr>
            </w:pPr>
          </w:p>
        </w:tc>
        <w:tc>
          <w:tcPr>
            <w:tcW w:w="740" w:type="dxa"/>
            <w:vAlign w:val="bottom"/>
          </w:tcPr>
          <w:p>
            <w:pPr>
              <w:spacing w:after="0"/>
              <w:rPr>
                <w:sz w:val="19"/>
                <w:szCs w:val="19"/>
                <w:color w:val="auto"/>
              </w:rPr>
            </w:pPr>
          </w:p>
        </w:tc>
      </w:tr>
      <w:tr>
        <w:trPr>
          <w:trHeight w:val="48"/>
        </w:trPr>
        <w:tc>
          <w:tcPr>
            <w:tcW w:w="740" w:type="dxa"/>
            <w:vAlign w:val="bottom"/>
            <w:tcBorders>
              <w:right w:val="single" w:sz="8" w:color="0063A6"/>
            </w:tcBorders>
          </w:tcPr>
          <w:p>
            <w:pPr>
              <w:spacing w:after="0"/>
              <w:rPr>
                <w:sz w:val="4"/>
                <w:szCs w:val="4"/>
                <w:color w:val="auto"/>
              </w:rPr>
            </w:pPr>
          </w:p>
        </w:tc>
        <w:tc>
          <w:tcPr>
            <w:tcW w:w="2100" w:type="dxa"/>
            <w:vAlign w:val="bottom"/>
            <w:tcBorders>
              <w:bottom w:val="single" w:sz="8" w:color="0063A6"/>
              <w:right w:val="single" w:sz="8" w:color="0063A6"/>
            </w:tcBorders>
          </w:tcPr>
          <w:p>
            <w:pPr>
              <w:spacing w:after="0"/>
              <w:rPr>
                <w:sz w:val="4"/>
                <w:szCs w:val="4"/>
                <w:color w:val="auto"/>
              </w:rPr>
            </w:pPr>
          </w:p>
        </w:tc>
        <w:tc>
          <w:tcPr>
            <w:tcW w:w="7440" w:type="dxa"/>
            <w:vAlign w:val="bottom"/>
            <w:tcBorders>
              <w:bottom w:val="single" w:sz="8" w:color="0063A6"/>
              <w:right w:val="single" w:sz="8" w:color="0063A6"/>
            </w:tcBorders>
            <w:gridSpan w:val="2"/>
          </w:tcPr>
          <w:p>
            <w:pPr>
              <w:spacing w:after="0"/>
              <w:rPr>
                <w:sz w:val="4"/>
                <w:szCs w:val="4"/>
                <w:color w:val="auto"/>
              </w:rPr>
            </w:pPr>
          </w:p>
        </w:tc>
        <w:tc>
          <w:tcPr>
            <w:tcW w:w="740" w:type="dxa"/>
            <w:vAlign w:val="bottom"/>
          </w:tcPr>
          <w:p>
            <w:pPr>
              <w:spacing w:after="0"/>
              <w:rPr>
                <w:sz w:val="4"/>
                <w:szCs w:val="4"/>
                <w:color w:val="auto"/>
              </w:rPr>
            </w:pPr>
          </w:p>
        </w:tc>
      </w:tr>
      <w:tr>
        <w:trPr>
          <w:trHeight w:val="236"/>
        </w:trPr>
        <w:tc>
          <w:tcPr>
            <w:tcW w:w="740" w:type="dxa"/>
            <w:vAlign w:val="bottom"/>
            <w:tcBorders>
              <w:right w:val="single" w:sz="8" w:color="0063A6"/>
            </w:tcBorders>
          </w:tcPr>
          <w:p>
            <w:pPr>
              <w:spacing w:after="0"/>
              <w:rPr>
                <w:sz w:val="20"/>
                <w:szCs w:val="20"/>
                <w:color w:val="auto"/>
              </w:rPr>
            </w:pPr>
          </w:p>
        </w:tc>
        <w:tc>
          <w:tcPr>
            <w:tcW w:w="2100" w:type="dxa"/>
            <w:vAlign w:val="bottom"/>
            <w:tcBorders>
              <w:right w:val="single" w:sz="8" w:color="0063A6"/>
            </w:tcBorders>
          </w:tcPr>
          <w:p>
            <w:pPr>
              <w:ind w:left="60"/>
              <w:spacing w:after="0"/>
              <w:rPr>
                <w:sz w:val="20"/>
                <w:szCs w:val="20"/>
                <w:color w:val="auto"/>
              </w:rPr>
            </w:pPr>
            <w:r>
              <w:rPr>
                <w:rFonts w:ascii="Arial" w:cs="Arial" w:eastAsia="Arial" w:hAnsi="Arial"/>
                <w:sz w:val="16"/>
                <w:szCs w:val="16"/>
                <w:b w:val="1"/>
                <w:bCs w:val="1"/>
                <w:color w:val="auto"/>
              </w:rPr>
              <w:t>Regular Review</w:t>
            </w:r>
          </w:p>
        </w:tc>
        <w:tc>
          <w:tcPr>
            <w:tcW w:w="7440" w:type="dxa"/>
            <w:vAlign w:val="bottom"/>
            <w:tcBorders>
              <w:right w:val="single" w:sz="8" w:color="0063A6"/>
            </w:tcBorders>
            <w:gridSpan w:val="2"/>
          </w:tcPr>
          <w:p>
            <w:pPr>
              <w:ind w:left="100"/>
              <w:spacing w:after="0"/>
              <w:rPr>
                <w:sz w:val="20"/>
                <w:szCs w:val="20"/>
                <w:color w:val="auto"/>
              </w:rPr>
            </w:pPr>
            <w:r>
              <w:rPr>
                <w:rFonts w:ascii="Arial" w:cs="Arial" w:eastAsia="Arial" w:hAnsi="Arial"/>
                <w:sz w:val="16"/>
                <w:szCs w:val="16"/>
                <w:color w:val="auto"/>
              </w:rPr>
              <w:t>With advice from Compensia, our compensation committee regularly reviews the amount and form of</w:t>
            </w:r>
          </w:p>
        </w:tc>
        <w:tc>
          <w:tcPr>
            <w:tcW w:w="740" w:type="dxa"/>
            <w:vAlign w:val="bottom"/>
          </w:tcPr>
          <w:p>
            <w:pPr>
              <w:spacing w:after="0"/>
              <w:rPr>
                <w:sz w:val="20"/>
                <w:szCs w:val="20"/>
                <w:color w:val="auto"/>
              </w:rPr>
            </w:pPr>
          </w:p>
        </w:tc>
      </w:tr>
      <w:tr>
        <w:trPr>
          <w:trHeight w:val="189"/>
        </w:trPr>
        <w:tc>
          <w:tcPr>
            <w:tcW w:w="740" w:type="dxa"/>
            <w:vAlign w:val="bottom"/>
            <w:tcBorders>
              <w:right w:val="single" w:sz="8" w:color="0063A6"/>
            </w:tcBorders>
          </w:tcPr>
          <w:p>
            <w:pPr>
              <w:spacing w:after="0"/>
              <w:rPr>
                <w:sz w:val="16"/>
                <w:szCs w:val="16"/>
                <w:color w:val="auto"/>
              </w:rPr>
            </w:pPr>
          </w:p>
        </w:tc>
        <w:tc>
          <w:tcPr>
            <w:tcW w:w="2100" w:type="dxa"/>
            <w:vAlign w:val="bottom"/>
            <w:tcBorders>
              <w:right w:val="single" w:sz="8" w:color="0063A6"/>
            </w:tcBorders>
          </w:tcPr>
          <w:p>
            <w:pPr>
              <w:spacing w:after="0"/>
              <w:rPr>
                <w:sz w:val="16"/>
                <w:szCs w:val="16"/>
                <w:color w:val="auto"/>
              </w:rPr>
            </w:pPr>
          </w:p>
        </w:tc>
        <w:tc>
          <w:tcPr>
            <w:tcW w:w="7280" w:type="dxa"/>
            <w:vAlign w:val="bottom"/>
          </w:tcPr>
          <w:p>
            <w:pPr>
              <w:ind w:left="100"/>
              <w:spacing w:after="0"/>
              <w:rPr>
                <w:sz w:val="20"/>
                <w:szCs w:val="20"/>
                <w:color w:val="auto"/>
              </w:rPr>
            </w:pPr>
            <w:r>
              <w:rPr>
                <w:rFonts w:ascii="Arial" w:cs="Arial" w:eastAsia="Arial" w:hAnsi="Arial"/>
                <w:sz w:val="16"/>
                <w:szCs w:val="16"/>
                <w:color w:val="auto"/>
              </w:rPr>
              <w:t>director compensation to ensure consistency with prudent governance practices and comparability</w:t>
            </w:r>
          </w:p>
        </w:tc>
        <w:tc>
          <w:tcPr>
            <w:tcW w:w="160" w:type="dxa"/>
            <w:vAlign w:val="bottom"/>
            <w:tcBorders>
              <w:right w:val="single" w:sz="8" w:color="0063A6"/>
            </w:tcBorders>
          </w:tcPr>
          <w:p>
            <w:pPr>
              <w:spacing w:after="0"/>
              <w:rPr>
                <w:sz w:val="16"/>
                <w:szCs w:val="16"/>
                <w:color w:val="auto"/>
              </w:rPr>
            </w:pPr>
          </w:p>
        </w:tc>
        <w:tc>
          <w:tcPr>
            <w:tcW w:w="740" w:type="dxa"/>
            <w:vAlign w:val="bottom"/>
          </w:tcPr>
          <w:p>
            <w:pPr>
              <w:spacing w:after="0"/>
              <w:rPr>
                <w:sz w:val="16"/>
                <w:szCs w:val="16"/>
                <w:color w:val="auto"/>
              </w:rPr>
            </w:pPr>
          </w:p>
        </w:tc>
      </w:tr>
      <w:tr>
        <w:trPr>
          <w:trHeight w:val="215"/>
        </w:trPr>
        <w:tc>
          <w:tcPr>
            <w:tcW w:w="740" w:type="dxa"/>
            <w:vAlign w:val="bottom"/>
            <w:tcBorders>
              <w:right w:val="single" w:sz="8" w:color="0063A6"/>
            </w:tcBorders>
          </w:tcPr>
          <w:p>
            <w:pPr>
              <w:spacing w:after="0"/>
              <w:rPr>
                <w:sz w:val="18"/>
                <w:szCs w:val="18"/>
                <w:color w:val="auto"/>
              </w:rPr>
            </w:pPr>
          </w:p>
        </w:tc>
        <w:tc>
          <w:tcPr>
            <w:tcW w:w="2100" w:type="dxa"/>
            <w:vAlign w:val="bottom"/>
            <w:tcBorders>
              <w:right w:val="single" w:sz="8" w:color="0063A6"/>
            </w:tcBorders>
          </w:tcPr>
          <w:p>
            <w:pPr>
              <w:spacing w:after="0"/>
              <w:rPr>
                <w:sz w:val="18"/>
                <w:szCs w:val="18"/>
                <w:color w:val="auto"/>
              </w:rPr>
            </w:pPr>
          </w:p>
        </w:tc>
        <w:tc>
          <w:tcPr>
            <w:tcW w:w="7280" w:type="dxa"/>
            <w:vAlign w:val="bottom"/>
          </w:tcPr>
          <w:p>
            <w:pPr>
              <w:ind w:left="100"/>
              <w:spacing w:after="0"/>
              <w:rPr>
                <w:sz w:val="20"/>
                <w:szCs w:val="20"/>
                <w:color w:val="auto"/>
              </w:rPr>
            </w:pPr>
            <w:r>
              <w:rPr>
                <w:rFonts w:ascii="Arial" w:cs="Arial" w:eastAsia="Arial" w:hAnsi="Arial"/>
                <w:sz w:val="16"/>
                <w:szCs w:val="16"/>
                <w:color w:val="auto"/>
              </w:rPr>
              <w:t>with our peer group.</w:t>
            </w:r>
          </w:p>
        </w:tc>
        <w:tc>
          <w:tcPr>
            <w:tcW w:w="160" w:type="dxa"/>
            <w:vAlign w:val="bottom"/>
            <w:tcBorders>
              <w:right w:val="single" w:sz="8" w:color="0063A6"/>
            </w:tcBorders>
          </w:tcPr>
          <w:p>
            <w:pPr>
              <w:spacing w:after="0"/>
              <w:rPr>
                <w:sz w:val="18"/>
                <w:szCs w:val="18"/>
                <w:color w:val="auto"/>
              </w:rPr>
            </w:pPr>
          </w:p>
        </w:tc>
        <w:tc>
          <w:tcPr>
            <w:tcW w:w="740" w:type="dxa"/>
            <w:vAlign w:val="bottom"/>
          </w:tcPr>
          <w:p>
            <w:pPr>
              <w:spacing w:after="0"/>
              <w:rPr>
                <w:sz w:val="18"/>
                <w:szCs w:val="18"/>
                <w:color w:val="auto"/>
              </w:rPr>
            </w:pPr>
          </w:p>
        </w:tc>
      </w:tr>
      <w:tr>
        <w:trPr>
          <w:trHeight w:val="56"/>
        </w:trPr>
        <w:tc>
          <w:tcPr>
            <w:tcW w:w="740" w:type="dxa"/>
            <w:vAlign w:val="bottom"/>
            <w:tcBorders>
              <w:right w:val="single" w:sz="8" w:color="0063A6"/>
            </w:tcBorders>
          </w:tcPr>
          <w:p>
            <w:pPr>
              <w:spacing w:after="0"/>
              <w:rPr>
                <w:sz w:val="4"/>
                <w:szCs w:val="4"/>
                <w:color w:val="auto"/>
              </w:rPr>
            </w:pPr>
          </w:p>
        </w:tc>
        <w:tc>
          <w:tcPr>
            <w:tcW w:w="2100" w:type="dxa"/>
            <w:vAlign w:val="bottom"/>
            <w:tcBorders>
              <w:bottom w:val="single" w:sz="8" w:color="0063A6"/>
              <w:right w:val="single" w:sz="8" w:color="0063A6"/>
            </w:tcBorders>
          </w:tcPr>
          <w:p>
            <w:pPr>
              <w:spacing w:after="0"/>
              <w:rPr>
                <w:sz w:val="4"/>
                <w:szCs w:val="4"/>
                <w:color w:val="auto"/>
              </w:rPr>
            </w:pPr>
          </w:p>
        </w:tc>
        <w:tc>
          <w:tcPr>
            <w:tcW w:w="7280" w:type="dxa"/>
            <w:vAlign w:val="bottom"/>
            <w:tcBorders>
              <w:bottom w:val="single" w:sz="8" w:color="0063A6"/>
            </w:tcBorders>
          </w:tcPr>
          <w:p>
            <w:pPr>
              <w:spacing w:after="0"/>
              <w:rPr>
                <w:sz w:val="4"/>
                <w:szCs w:val="4"/>
                <w:color w:val="auto"/>
              </w:rPr>
            </w:pPr>
          </w:p>
        </w:tc>
        <w:tc>
          <w:tcPr>
            <w:tcW w:w="160" w:type="dxa"/>
            <w:vAlign w:val="bottom"/>
            <w:tcBorders>
              <w:bottom w:val="single" w:sz="8" w:color="0063A6"/>
              <w:right w:val="single" w:sz="8" w:color="0063A6"/>
            </w:tcBorders>
          </w:tcPr>
          <w:p>
            <w:pPr>
              <w:spacing w:after="0"/>
              <w:rPr>
                <w:sz w:val="4"/>
                <w:szCs w:val="4"/>
                <w:color w:val="auto"/>
              </w:rPr>
            </w:pPr>
          </w:p>
        </w:tc>
        <w:tc>
          <w:tcPr>
            <w:tcW w:w="740" w:type="dxa"/>
            <w:vAlign w:val="bottom"/>
          </w:tcPr>
          <w:p>
            <w:pPr>
              <w:spacing w:after="0"/>
              <w:rPr>
                <w:sz w:val="4"/>
                <w:szCs w:val="4"/>
                <w:color w:val="auto"/>
              </w:rPr>
            </w:pPr>
          </w:p>
        </w:tc>
      </w:tr>
      <w:tr>
        <w:trPr>
          <w:trHeight w:val="236"/>
        </w:trPr>
        <w:tc>
          <w:tcPr>
            <w:tcW w:w="740" w:type="dxa"/>
            <w:vAlign w:val="bottom"/>
            <w:tcBorders>
              <w:right w:val="single" w:sz="8" w:color="0063A6"/>
            </w:tcBorders>
          </w:tcPr>
          <w:p>
            <w:pPr>
              <w:spacing w:after="0"/>
              <w:rPr>
                <w:sz w:val="20"/>
                <w:szCs w:val="20"/>
                <w:color w:val="auto"/>
              </w:rPr>
            </w:pPr>
          </w:p>
        </w:tc>
        <w:tc>
          <w:tcPr>
            <w:tcW w:w="2100" w:type="dxa"/>
            <w:vAlign w:val="bottom"/>
            <w:tcBorders>
              <w:right w:val="single" w:sz="8" w:color="0063A6"/>
            </w:tcBorders>
          </w:tcPr>
          <w:p>
            <w:pPr>
              <w:ind w:left="60"/>
              <w:spacing w:after="0"/>
              <w:rPr>
                <w:sz w:val="20"/>
                <w:szCs w:val="20"/>
                <w:color w:val="auto"/>
              </w:rPr>
            </w:pPr>
            <w:r>
              <w:rPr>
                <w:rFonts w:ascii="Arial" w:cs="Arial" w:eastAsia="Arial" w:hAnsi="Arial"/>
                <w:sz w:val="16"/>
                <w:szCs w:val="16"/>
                <w:b w:val="1"/>
                <w:bCs w:val="1"/>
                <w:color w:val="auto"/>
              </w:rPr>
              <w:t>Board Leadership</w:t>
            </w:r>
          </w:p>
        </w:tc>
        <w:tc>
          <w:tcPr>
            <w:tcW w:w="7280" w:type="dxa"/>
            <w:vAlign w:val="bottom"/>
          </w:tcPr>
          <w:p>
            <w:pPr>
              <w:ind w:left="100"/>
              <w:spacing w:after="0"/>
              <w:rPr>
                <w:sz w:val="20"/>
                <w:szCs w:val="20"/>
                <w:color w:val="auto"/>
              </w:rPr>
            </w:pPr>
            <w:r>
              <w:rPr>
                <w:rFonts w:ascii="Arial" w:cs="Arial" w:eastAsia="Arial" w:hAnsi="Arial"/>
                <w:sz w:val="16"/>
                <w:szCs w:val="16"/>
                <w:color w:val="auto"/>
              </w:rPr>
              <w:t>Our director compensation policy provides additional compensation for leadership positions on the</w:t>
            </w:r>
          </w:p>
        </w:tc>
        <w:tc>
          <w:tcPr>
            <w:tcW w:w="160" w:type="dxa"/>
            <w:vAlign w:val="bottom"/>
            <w:tcBorders>
              <w:right w:val="single" w:sz="8" w:color="0063A6"/>
            </w:tcBorders>
          </w:tcPr>
          <w:p>
            <w:pPr>
              <w:spacing w:after="0"/>
              <w:rPr>
                <w:sz w:val="20"/>
                <w:szCs w:val="20"/>
                <w:color w:val="auto"/>
              </w:rPr>
            </w:pPr>
          </w:p>
        </w:tc>
        <w:tc>
          <w:tcPr>
            <w:tcW w:w="740" w:type="dxa"/>
            <w:vAlign w:val="bottom"/>
          </w:tcPr>
          <w:p>
            <w:pPr>
              <w:spacing w:after="0"/>
              <w:rPr>
                <w:sz w:val="20"/>
                <w:szCs w:val="20"/>
                <w:color w:val="auto"/>
              </w:rPr>
            </w:pPr>
          </w:p>
        </w:tc>
      </w:tr>
      <w:tr>
        <w:trPr>
          <w:trHeight w:val="189"/>
        </w:trPr>
        <w:tc>
          <w:tcPr>
            <w:tcW w:w="740" w:type="dxa"/>
            <w:vAlign w:val="bottom"/>
            <w:tcBorders>
              <w:right w:val="single" w:sz="8" w:color="0063A6"/>
            </w:tcBorders>
          </w:tcPr>
          <w:p>
            <w:pPr>
              <w:spacing w:after="0"/>
              <w:rPr>
                <w:sz w:val="16"/>
                <w:szCs w:val="16"/>
                <w:color w:val="auto"/>
              </w:rPr>
            </w:pPr>
          </w:p>
        </w:tc>
        <w:tc>
          <w:tcPr>
            <w:tcW w:w="2100" w:type="dxa"/>
            <w:vAlign w:val="bottom"/>
            <w:tcBorders>
              <w:right w:val="single" w:sz="8" w:color="0063A6"/>
            </w:tcBorders>
          </w:tcPr>
          <w:p>
            <w:pPr>
              <w:ind w:left="60"/>
              <w:spacing w:after="0"/>
              <w:rPr>
                <w:sz w:val="20"/>
                <w:szCs w:val="20"/>
                <w:color w:val="auto"/>
              </w:rPr>
            </w:pPr>
            <w:r>
              <w:rPr>
                <w:rFonts w:ascii="Arial" w:cs="Arial" w:eastAsia="Arial" w:hAnsi="Arial"/>
                <w:sz w:val="16"/>
                <w:szCs w:val="16"/>
                <w:b w:val="1"/>
                <w:bCs w:val="1"/>
                <w:color w:val="auto"/>
              </w:rPr>
              <w:t>Compensation</w:t>
            </w:r>
          </w:p>
        </w:tc>
        <w:tc>
          <w:tcPr>
            <w:tcW w:w="7280" w:type="dxa"/>
            <w:vAlign w:val="bottom"/>
          </w:tcPr>
          <w:p>
            <w:pPr>
              <w:ind w:left="100"/>
              <w:spacing w:after="0"/>
              <w:rPr>
                <w:sz w:val="20"/>
                <w:szCs w:val="20"/>
                <w:color w:val="auto"/>
              </w:rPr>
            </w:pPr>
            <w:r>
              <w:rPr>
                <w:rFonts w:ascii="Arial" w:cs="Arial" w:eastAsia="Arial" w:hAnsi="Arial"/>
                <w:sz w:val="16"/>
                <w:szCs w:val="16"/>
                <w:color w:val="auto"/>
              </w:rPr>
              <w:t>board of directors, including lead independent director and committee chair roles, to account for the</w:t>
            </w:r>
          </w:p>
        </w:tc>
        <w:tc>
          <w:tcPr>
            <w:tcW w:w="160" w:type="dxa"/>
            <w:vAlign w:val="bottom"/>
            <w:tcBorders>
              <w:right w:val="single" w:sz="8" w:color="0063A6"/>
            </w:tcBorders>
          </w:tcPr>
          <w:p>
            <w:pPr>
              <w:spacing w:after="0"/>
              <w:rPr>
                <w:sz w:val="16"/>
                <w:szCs w:val="16"/>
                <w:color w:val="auto"/>
              </w:rPr>
            </w:pPr>
          </w:p>
        </w:tc>
        <w:tc>
          <w:tcPr>
            <w:tcW w:w="740" w:type="dxa"/>
            <w:vAlign w:val="bottom"/>
          </w:tcPr>
          <w:p>
            <w:pPr>
              <w:spacing w:after="0"/>
              <w:rPr>
                <w:sz w:val="16"/>
                <w:szCs w:val="16"/>
                <w:color w:val="auto"/>
              </w:rPr>
            </w:pPr>
          </w:p>
        </w:tc>
      </w:tr>
      <w:tr>
        <w:trPr>
          <w:trHeight w:val="215"/>
        </w:trPr>
        <w:tc>
          <w:tcPr>
            <w:tcW w:w="740" w:type="dxa"/>
            <w:vAlign w:val="bottom"/>
            <w:tcBorders>
              <w:right w:val="single" w:sz="8" w:color="0063A6"/>
            </w:tcBorders>
          </w:tcPr>
          <w:p>
            <w:pPr>
              <w:spacing w:after="0"/>
              <w:rPr>
                <w:sz w:val="18"/>
                <w:szCs w:val="18"/>
                <w:color w:val="auto"/>
              </w:rPr>
            </w:pPr>
          </w:p>
        </w:tc>
        <w:tc>
          <w:tcPr>
            <w:tcW w:w="2100" w:type="dxa"/>
            <w:vAlign w:val="bottom"/>
            <w:tcBorders>
              <w:right w:val="single" w:sz="8" w:color="0063A6"/>
            </w:tcBorders>
          </w:tcPr>
          <w:p>
            <w:pPr>
              <w:spacing w:after="0"/>
              <w:rPr>
                <w:sz w:val="18"/>
                <w:szCs w:val="18"/>
                <w:color w:val="auto"/>
              </w:rPr>
            </w:pPr>
          </w:p>
        </w:tc>
        <w:tc>
          <w:tcPr>
            <w:tcW w:w="7280" w:type="dxa"/>
            <w:vAlign w:val="bottom"/>
          </w:tcPr>
          <w:p>
            <w:pPr>
              <w:ind w:left="100"/>
              <w:spacing w:after="0"/>
              <w:rPr>
                <w:sz w:val="20"/>
                <w:szCs w:val="20"/>
                <w:color w:val="auto"/>
              </w:rPr>
            </w:pPr>
            <w:r>
              <w:rPr>
                <w:rFonts w:ascii="Arial" w:cs="Arial" w:eastAsia="Arial" w:hAnsi="Arial"/>
                <w:sz w:val="16"/>
                <w:szCs w:val="16"/>
                <w:color w:val="auto"/>
              </w:rPr>
              <w:t>added time and effort associated with these positions.</w:t>
            </w:r>
          </w:p>
        </w:tc>
        <w:tc>
          <w:tcPr>
            <w:tcW w:w="160" w:type="dxa"/>
            <w:vAlign w:val="bottom"/>
            <w:tcBorders>
              <w:right w:val="single" w:sz="8" w:color="0063A6"/>
            </w:tcBorders>
          </w:tcPr>
          <w:p>
            <w:pPr>
              <w:spacing w:after="0"/>
              <w:rPr>
                <w:sz w:val="18"/>
                <w:szCs w:val="18"/>
                <w:color w:val="auto"/>
              </w:rPr>
            </w:pPr>
          </w:p>
        </w:tc>
        <w:tc>
          <w:tcPr>
            <w:tcW w:w="740" w:type="dxa"/>
            <w:vAlign w:val="bottom"/>
          </w:tcPr>
          <w:p>
            <w:pPr>
              <w:spacing w:after="0"/>
              <w:rPr>
                <w:sz w:val="18"/>
                <w:szCs w:val="18"/>
                <w:color w:val="auto"/>
              </w:rPr>
            </w:pPr>
          </w:p>
        </w:tc>
      </w:tr>
      <w:tr>
        <w:trPr>
          <w:trHeight w:val="42"/>
        </w:trPr>
        <w:tc>
          <w:tcPr>
            <w:tcW w:w="740" w:type="dxa"/>
            <w:vAlign w:val="bottom"/>
            <w:tcBorders>
              <w:right w:val="single" w:sz="8" w:color="0063A6"/>
            </w:tcBorders>
          </w:tcPr>
          <w:p>
            <w:pPr>
              <w:spacing w:after="0"/>
              <w:rPr>
                <w:sz w:val="3"/>
                <w:szCs w:val="3"/>
                <w:color w:val="auto"/>
              </w:rPr>
            </w:pPr>
          </w:p>
        </w:tc>
        <w:tc>
          <w:tcPr>
            <w:tcW w:w="2100" w:type="dxa"/>
            <w:vAlign w:val="bottom"/>
            <w:tcBorders>
              <w:bottom w:val="single" w:sz="8" w:color="0063A6"/>
              <w:right w:val="single" w:sz="8" w:color="0063A6"/>
            </w:tcBorders>
          </w:tcPr>
          <w:p>
            <w:pPr>
              <w:spacing w:after="0"/>
              <w:rPr>
                <w:sz w:val="3"/>
                <w:szCs w:val="3"/>
                <w:color w:val="auto"/>
              </w:rPr>
            </w:pPr>
          </w:p>
        </w:tc>
        <w:tc>
          <w:tcPr>
            <w:tcW w:w="7280" w:type="dxa"/>
            <w:vAlign w:val="bottom"/>
            <w:tcBorders>
              <w:bottom w:val="single" w:sz="8" w:color="0063A6"/>
            </w:tcBorders>
          </w:tcPr>
          <w:p>
            <w:pPr>
              <w:spacing w:after="0"/>
              <w:rPr>
                <w:sz w:val="3"/>
                <w:szCs w:val="3"/>
                <w:color w:val="auto"/>
              </w:rPr>
            </w:pPr>
          </w:p>
        </w:tc>
        <w:tc>
          <w:tcPr>
            <w:tcW w:w="160" w:type="dxa"/>
            <w:vAlign w:val="bottom"/>
            <w:tcBorders>
              <w:bottom w:val="single" w:sz="8" w:color="0063A6"/>
              <w:right w:val="single" w:sz="8" w:color="0063A6"/>
            </w:tcBorders>
          </w:tcPr>
          <w:p>
            <w:pPr>
              <w:spacing w:after="0"/>
              <w:rPr>
                <w:sz w:val="3"/>
                <w:szCs w:val="3"/>
                <w:color w:val="auto"/>
              </w:rPr>
            </w:pPr>
          </w:p>
        </w:tc>
        <w:tc>
          <w:tcPr>
            <w:tcW w:w="740" w:type="dxa"/>
            <w:vAlign w:val="bottom"/>
          </w:tcPr>
          <w:p>
            <w:pPr>
              <w:spacing w:after="0"/>
              <w:rPr>
                <w:sz w:val="3"/>
                <w:szCs w:val="3"/>
                <w:color w:val="auto"/>
              </w:rPr>
            </w:pPr>
          </w:p>
        </w:tc>
      </w:tr>
      <w:tr>
        <w:trPr>
          <w:trHeight w:val="397"/>
        </w:trPr>
        <w:tc>
          <w:tcPr>
            <w:tcW w:w="74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7280" w:type="dxa"/>
            <w:vAlign w:val="bottom"/>
          </w:tcPr>
          <w:p>
            <w:pPr>
              <w:ind w:left="154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900" w:type="dxa"/>
            <w:vAlign w:val="bottom"/>
            <w:gridSpan w:val="2"/>
          </w:tcPr>
          <w:p>
            <w:pPr>
              <w:jc w:val="right"/>
              <w:ind w:right="720"/>
              <w:spacing w:after="0"/>
              <w:rPr>
                <w:sz w:val="20"/>
                <w:szCs w:val="20"/>
                <w:color w:val="auto"/>
              </w:rPr>
            </w:pPr>
            <w:r>
              <w:rPr>
                <w:rFonts w:ascii="Arial" w:cs="Arial" w:eastAsia="Arial" w:hAnsi="Arial"/>
                <w:sz w:val="14"/>
                <w:szCs w:val="14"/>
                <w:b w:val="1"/>
                <w:bCs w:val="1"/>
                <w:color w:val="auto"/>
              </w:rPr>
              <w:t>19</w:t>
            </w:r>
          </w:p>
        </w:tc>
      </w:tr>
      <w:tr>
        <w:trPr>
          <w:trHeight w:val="171"/>
        </w:trPr>
        <w:tc>
          <w:tcPr>
            <w:tcW w:w="740" w:type="dxa"/>
            <w:vAlign w:val="bottom"/>
            <w:tcBorders>
              <w:bottom w:val="single" w:sz="8" w:color="auto"/>
            </w:tcBorders>
          </w:tcPr>
          <w:p>
            <w:pPr>
              <w:spacing w:after="0"/>
              <w:rPr>
                <w:sz w:val="14"/>
                <w:szCs w:val="14"/>
                <w:color w:val="auto"/>
              </w:rPr>
            </w:pPr>
          </w:p>
        </w:tc>
        <w:tc>
          <w:tcPr>
            <w:tcW w:w="2100" w:type="dxa"/>
            <w:vAlign w:val="bottom"/>
            <w:tcBorders>
              <w:bottom w:val="single" w:sz="8" w:color="auto"/>
            </w:tcBorders>
          </w:tcPr>
          <w:p>
            <w:pPr>
              <w:spacing w:after="0"/>
              <w:rPr>
                <w:sz w:val="14"/>
                <w:szCs w:val="14"/>
                <w:color w:val="auto"/>
              </w:rPr>
            </w:pPr>
          </w:p>
        </w:tc>
        <w:tc>
          <w:tcPr>
            <w:tcW w:w="72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23" w:name="page24"/>
    <w:bookmarkEnd w:id="23"/>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right="60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71"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Components of Compensation</w:t>
      </w:r>
    </w:p>
    <w:p>
      <w:pPr>
        <w:spacing w:after="0" w:line="39" w:lineRule="exact"/>
        <w:rPr>
          <w:sz w:val="20"/>
          <w:szCs w:val="20"/>
          <w:color w:val="auto"/>
        </w:rPr>
      </w:pPr>
    </w:p>
    <w:p>
      <w:pPr>
        <w:jc w:val="both"/>
        <w:ind w:left="4" w:right="20"/>
        <w:spacing w:after="0" w:line="262" w:lineRule="auto"/>
        <w:rPr>
          <w:sz w:val="20"/>
          <w:szCs w:val="20"/>
          <w:color w:val="auto"/>
        </w:rPr>
      </w:pPr>
      <w:r>
        <w:rPr>
          <w:rFonts w:ascii="Arial" w:cs="Arial" w:eastAsia="Arial" w:hAnsi="Arial"/>
          <w:sz w:val="16"/>
          <w:szCs w:val="16"/>
          <w:color w:val="auto"/>
        </w:rPr>
        <w:t>Our director compensation policy consists of a cash component and an equity component. There are no per-meeting attendance fees for attending board meetings. Directors who are also our employees receive no additional compensation for their service as directors. The components of our director compensation policy, as currently in effect, are described below.</w:t>
      </w:r>
    </w:p>
    <w:p>
      <w:pPr>
        <w:spacing w:after="0" w:line="53" w:lineRule="exact"/>
        <w:rPr>
          <w:sz w:val="20"/>
          <w:szCs w:val="20"/>
          <w:color w:val="auto"/>
        </w:rPr>
      </w:pPr>
    </w:p>
    <w:tbl>
      <w:tblPr>
        <w:tblLayout w:type="fixed"/>
        <w:tblInd w:w="14" w:type="dxa"/>
        <w:tblCellMar>
          <w:top w:w="0" w:type="dxa"/>
          <w:left w:w="0" w:type="dxa"/>
          <w:bottom w:w="0" w:type="dxa"/>
          <w:right w:w="0" w:type="dxa"/>
        </w:tblCellMar>
      </w:tblPr>
      <w:tr>
        <w:trPr>
          <w:trHeight w:val="344"/>
        </w:trPr>
        <w:tc>
          <w:tcPr>
            <w:tcW w:w="2360" w:type="dxa"/>
            <w:vAlign w:val="bottom"/>
            <w:tcBorders>
              <w:left w:val="single" w:sz="8" w:color="0063A6"/>
              <w:bottom w:val="single" w:sz="8" w:color="0063A6"/>
              <w:right w:val="single" w:sz="8" w:color="0063A6"/>
            </w:tcBorders>
            <w:shd w:val="clear" w:color="auto" w:fill="0063A6"/>
          </w:tcPr>
          <w:p>
            <w:pPr>
              <w:ind w:left="80"/>
              <w:spacing w:after="0"/>
              <w:rPr>
                <w:sz w:val="20"/>
                <w:szCs w:val="20"/>
                <w:color w:val="auto"/>
              </w:rPr>
            </w:pPr>
            <w:r>
              <w:rPr>
                <w:rFonts w:ascii="Arial" w:cs="Arial" w:eastAsia="Arial" w:hAnsi="Arial"/>
                <w:sz w:val="14"/>
                <w:szCs w:val="14"/>
                <w:b w:val="1"/>
                <w:bCs w:val="1"/>
                <w:color w:val="FFFFFF"/>
              </w:rPr>
              <w:t>Component</w:t>
            </w:r>
          </w:p>
        </w:tc>
        <w:tc>
          <w:tcPr>
            <w:tcW w:w="100" w:type="dxa"/>
            <w:vAlign w:val="bottom"/>
            <w:tcBorders>
              <w:bottom w:val="single" w:sz="8" w:color="0063A6"/>
            </w:tcBorders>
            <w:shd w:val="clear" w:color="auto" w:fill="0063A6"/>
          </w:tcPr>
          <w:p>
            <w:pPr>
              <w:spacing w:after="0"/>
              <w:rPr>
                <w:sz w:val="24"/>
                <w:szCs w:val="24"/>
                <w:color w:val="auto"/>
              </w:rPr>
            </w:pPr>
          </w:p>
        </w:tc>
        <w:tc>
          <w:tcPr>
            <w:tcW w:w="7100" w:type="dxa"/>
            <w:vAlign w:val="bottom"/>
            <w:tcBorders>
              <w:bottom w:val="single" w:sz="8" w:color="0063A6"/>
              <w:right w:val="single" w:sz="8" w:color="0063A6"/>
            </w:tcBorders>
            <w:gridSpan w:val="3"/>
            <w:shd w:val="clear" w:color="auto" w:fill="0063A6"/>
          </w:tcPr>
          <w:p>
            <w:pPr>
              <w:spacing w:after="0"/>
              <w:rPr>
                <w:sz w:val="20"/>
                <w:szCs w:val="20"/>
                <w:color w:val="auto"/>
              </w:rPr>
            </w:pPr>
            <w:r>
              <w:rPr>
                <w:rFonts w:ascii="Arial" w:cs="Arial" w:eastAsia="Arial" w:hAnsi="Arial"/>
                <w:sz w:val="14"/>
                <w:szCs w:val="14"/>
                <w:b w:val="1"/>
                <w:bCs w:val="1"/>
                <w:color w:val="FFFFFF"/>
              </w:rPr>
              <w:t>Description</w:t>
            </w:r>
          </w:p>
        </w:tc>
      </w:tr>
      <w:tr>
        <w:trPr>
          <w:trHeight w:val="329"/>
        </w:trPr>
        <w:tc>
          <w:tcPr>
            <w:tcW w:w="2360" w:type="dxa"/>
            <w:vAlign w:val="bottom"/>
            <w:tcBorders>
              <w:left w:val="single" w:sz="8" w:color="0063A6"/>
              <w:bottom w:val="single" w:sz="8" w:color="E5EFFD"/>
              <w:right w:val="single" w:sz="8" w:color="E5EFFD"/>
            </w:tcBorders>
            <w:shd w:val="clear" w:color="auto" w:fill="E5EFFD"/>
          </w:tcPr>
          <w:p>
            <w:pPr>
              <w:ind w:left="80"/>
              <w:spacing w:after="0"/>
              <w:rPr>
                <w:sz w:val="20"/>
                <w:szCs w:val="20"/>
                <w:color w:val="auto"/>
              </w:rPr>
            </w:pPr>
            <w:r>
              <w:rPr>
                <w:rFonts w:ascii="Arial" w:cs="Arial" w:eastAsia="Arial" w:hAnsi="Arial"/>
                <w:sz w:val="16"/>
                <w:szCs w:val="16"/>
                <w:b w:val="1"/>
                <w:bCs w:val="1"/>
                <w:color w:val="0063A6"/>
              </w:rPr>
              <w:t>Cash Compensation</w:t>
            </w:r>
          </w:p>
        </w:tc>
        <w:tc>
          <w:tcPr>
            <w:tcW w:w="100" w:type="dxa"/>
            <w:vAlign w:val="bottom"/>
            <w:tcBorders>
              <w:bottom w:val="single" w:sz="8" w:color="E5EFFD"/>
            </w:tcBorders>
            <w:shd w:val="clear" w:color="auto" w:fill="E5EFFD"/>
          </w:tcPr>
          <w:p>
            <w:pPr>
              <w:spacing w:after="0"/>
              <w:rPr>
                <w:sz w:val="24"/>
                <w:szCs w:val="24"/>
                <w:color w:val="auto"/>
              </w:rPr>
            </w:pPr>
          </w:p>
        </w:tc>
        <w:tc>
          <w:tcPr>
            <w:tcW w:w="1220" w:type="dxa"/>
            <w:vAlign w:val="bottom"/>
            <w:tcBorders>
              <w:bottom w:val="single" w:sz="8" w:color="E5EFFD"/>
            </w:tcBorders>
            <w:shd w:val="clear" w:color="auto" w:fill="E5EFFD"/>
          </w:tcPr>
          <w:p>
            <w:pPr>
              <w:spacing w:after="0"/>
              <w:rPr>
                <w:sz w:val="24"/>
                <w:szCs w:val="24"/>
                <w:color w:val="auto"/>
              </w:rPr>
            </w:pPr>
          </w:p>
        </w:tc>
        <w:tc>
          <w:tcPr>
            <w:tcW w:w="80" w:type="dxa"/>
            <w:vAlign w:val="bottom"/>
            <w:tcBorders>
              <w:bottom w:val="single" w:sz="8" w:color="E5EFFD"/>
            </w:tcBorders>
            <w:shd w:val="clear" w:color="auto" w:fill="E5EFFD"/>
          </w:tcPr>
          <w:p>
            <w:pPr>
              <w:spacing w:after="0"/>
              <w:rPr>
                <w:sz w:val="24"/>
                <w:szCs w:val="24"/>
                <w:color w:val="auto"/>
              </w:rPr>
            </w:pPr>
          </w:p>
        </w:tc>
        <w:tc>
          <w:tcPr>
            <w:tcW w:w="5800" w:type="dxa"/>
            <w:vAlign w:val="bottom"/>
            <w:tcBorders>
              <w:bottom w:val="single" w:sz="8" w:color="E5EFFD"/>
              <w:right w:val="single" w:sz="8" w:color="0063A6"/>
            </w:tcBorders>
            <w:shd w:val="clear" w:color="auto" w:fill="E5EFFD"/>
          </w:tcPr>
          <w:p>
            <w:pPr>
              <w:spacing w:after="0"/>
              <w:rPr>
                <w:sz w:val="24"/>
                <w:szCs w:val="24"/>
                <w:color w:val="auto"/>
              </w:rPr>
            </w:pPr>
          </w:p>
        </w:tc>
      </w:tr>
      <w:tr>
        <w:trPr>
          <w:trHeight w:val="269"/>
        </w:trPr>
        <w:tc>
          <w:tcPr>
            <w:tcW w:w="2360" w:type="dxa"/>
            <w:vAlign w:val="bottom"/>
            <w:tcBorders>
              <w:top w:val="single" w:sz="8" w:color="0063A6"/>
              <w:left w:val="single" w:sz="8" w:color="0063A6"/>
              <w:right w:val="single" w:sz="8" w:color="0063A6"/>
            </w:tcBorders>
          </w:tcPr>
          <w:p>
            <w:pPr>
              <w:ind w:left="80"/>
              <w:spacing w:after="0"/>
              <w:rPr>
                <w:sz w:val="20"/>
                <w:szCs w:val="20"/>
                <w:color w:val="auto"/>
              </w:rPr>
            </w:pPr>
            <w:r>
              <w:rPr>
                <w:rFonts w:ascii="Arial" w:cs="Arial" w:eastAsia="Arial" w:hAnsi="Arial"/>
                <w:sz w:val="16"/>
                <w:szCs w:val="16"/>
                <w:b w:val="1"/>
                <w:bCs w:val="1"/>
                <w:color w:val="auto"/>
              </w:rPr>
              <w:t>Annual Cash Retainer</w:t>
            </w:r>
          </w:p>
        </w:tc>
        <w:tc>
          <w:tcPr>
            <w:tcW w:w="100" w:type="dxa"/>
            <w:vAlign w:val="bottom"/>
            <w:tcBorders>
              <w:top w:val="single" w:sz="8" w:color="0063A6"/>
            </w:tcBorders>
          </w:tcPr>
          <w:p>
            <w:pPr>
              <w:spacing w:after="0"/>
              <w:rPr>
                <w:sz w:val="23"/>
                <w:szCs w:val="23"/>
                <w:color w:val="auto"/>
              </w:rPr>
            </w:pPr>
          </w:p>
        </w:tc>
        <w:tc>
          <w:tcPr>
            <w:tcW w:w="7100" w:type="dxa"/>
            <w:vAlign w:val="bottom"/>
            <w:tcBorders>
              <w:top w:val="single" w:sz="8" w:color="0063A6"/>
              <w:right w:val="single" w:sz="8" w:color="0063A6"/>
            </w:tcBorders>
            <w:gridSpan w:val="3"/>
          </w:tcPr>
          <w:p>
            <w:pPr>
              <w:spacing w:after="0"/>
              <w:rPr>
                <w:sz w:val="20"/>
                <w:szCs w:val="20"/>
                <w:color w:val="auto"/>
              </w:rPr>
            </w:pPr>
            <w:r>
              <w:rPr>
                <w:rFonts w:ascii="Arial" w:cs="Arial" w:eastAsia="Arial" w:hAnsi="Arial"/>
                <w:sz w:val="16"/>
                <w:szCs w:val="16"/>
                <w:color w:val="auto"/>
              </w:rPr>
              <w:t>$50,000, paid quarterly in arrears on a prorated basis.</w:t>
            </w:r>
          </w:p>
        </w:tc>
      </w:tr>
      <w:tr>
        <w:trPr>
          <w:trHeight w:val="48"/>
        </w:trPr>
        <w:tc>
          <w:tcPr>
            <w:tcW w:w="2360" w:type="dxa"/>
            <w:vAlign w:val="bottom"/>
            <w:tcBorders>
              <w:left w:val="single" w:sz="8" w:color="0063A6"/>
              <w:bottom w:val="single" w:sz="8" w:color="0063A6"/>
              <w:right w:val="single" w:sz="8" w:color="0063A6"/>
            </w:tcBorders>
          </w:tcPr>
          <w:p>
            <w:pPr>
              <w:spacing w:after="0"/>
              <w:rPr>
                <w:sz w:val="4"/>
                <w:szCs w:val="4"/>
                <w:color w:val="auto"/>
              </w:rPr>
            </w:pPr>
          </w:p>
        </w:tc>
        <w:tc>
          <w:tcPr>
            <w:tcW w:w="100" w:type="dxa"/>
            <w:vAlign w:val="bottom"/>
            <w:tcBorders>
              <w:bottom w:val="single" w:sz="8" w:color="0063A6"/>
            </w:tcBorders>
          </w:tcPr>
          <w:p>
            <w:pPr>
              <w:spacing w:after="0"/>
              <w:rPr>
                <w:sz w:val="4"/>
                <w:szCs w:val="4"/>
                <w:color w:val="auto"/>
              </w:rPr>
            </w:pPr>
          </w:p>
        </w:tc>
        <w:tc>
          <w:tcPr>
            <w:tcW w:w="1220" w:type="dxa"/>
            <w:vAlign w:val="bottom"/>
            <w:tcBorders>
              <w:bottom w:val="single" w:sz="8" w:color="0063A6"/>
            </w:tcBorders>
          </w:tcPr>
          <w:p>
            <w:pPr>
              <w:spacing w:after="0"/>
              <w:rPr>
                <w:sz w:val="4"/>
                <w:szCs w:val="4"/>
                <w:color w:val="auto"/>
              </w:rPr>
            </w:pPr>
          </w:p>
        </w:tc>
        <w:tc>
          <w:tcPr>
            <w:tcW w:w="80" w:type="dxa"/>
            <w:vAlign w:val="bottom"/>
            <w:tcBorders>
              <w:bottom w:val="single" w:sz="8" w:color="0063A6"/>
            </w:tcBorders>
          </w:tcPr>
          <w:p>
            <w:pPr>
              <w:spacing w:after="0"/>
              <w:rPr>
                <w:sz w:val="4"/>
                <w:szCs w:val="4"/>
                <w:color w:val="auto"/>
              </w:rPr>
            </w:pPr>
          </w:p>
        </w:tc>
        <w:tc>
          <w:tcPr>
            <w:tcW w:w="5800" w:type="dxa"/>
            <w:vAlign w:val="bottom"/>
            <w:tcBorders>
              <w:bottom w:val="single" w:sz="8" w:color="0063A6"/>
              <w:right w:val="single" w:sz="8" w:color="0063A6"/>
            </w:tcBorders>
          </w:tcPr>
          <w:p>
            <w:pPr>
              <w:spacing w:after="0"/>
              <w:rPr>
                <w:sz w:val="4"/>
                <w:szCs w:val="4"/>
                <w:color w:val="auto"/>
              </w:rPr>
            </w:pPr>
          </w:p>
        </w:tc>
      </w:tr>
      <w:tr>
        <w:trPr>
          <w:trHeight w:val="236"/>
        </w:trPr>
        <w:tc>
          <w:tcPr>
            <w:tcW w:w="2360" w:type="dxa"/>
            <w:vAlign w:val="bottom"/>
            <w:tcBorders>
              <w:left w:val="single" w:sz="8" w:color="0063A6"/>
              <w:right w:val="single" w:sz="8" w:color="0063A6"/>
            </w:tcBorders>
          </w:tcPr>
          <w:p>
            <w:pPr>
              <w:ind w:left="80"/>
              <w:spacing w:after="0"/>
              <w:rPr>
                <w:sz w:val="20"/>
                <w:szCs w:val="20"/>
                <w:color w:val="auto"/>
              </w:rPr>
            </w:pPr>
            <w:r>
              <w:rPr>
                <w:rFonts w:ascii="Arial" w:cs="Arial" w:eastAsia="Arial" w:hAnsi="Arial"/>
                <w:sz w:val="16"/>
                <w:szCs w:val="16"/>
                <w:b w:val="1"/>
                <w:bCs w:val="1"/>
                <w:color w:val="auto"/>
              </w:rPr>
              <w:t>Committee and Board</w:t>
            </w:r>
          </w:p>
        </w:tc>
        <w:tc>
          <w:tcPr>
            <w:tcW w:w="100" w:type="dxa"/>
            <w:vAlign w:val="bottom"/>
          </w:tcPr>
          <w:p>
            <w:pPr>
              <w:spacing w:after="0"/>
              <w:rPr>
                <w:sz w:val="20"/>
                <w:szCs w:val="20"/>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Under the policy in fiscal 2021, each non-employee director was entitled to receive the following</w:t>
            </w:r>
          </w:p>
        </w:tc>
      </w:tr>
      <w:tr>
        <w:trPr>
          <w:trHeight w:val="223"/>
        </w:trPr>
        <w:tc>
          <w:tcPr>
            <w:tcW w:w="2360" w:type="dxa"/>
            <w:vAlign w:val="bottom"/>
            <w:tcBorders>
              <w:left w:val="single" w:sz="8" w:color="0063A6"/>
              <w:right w:val="single" w:sz="8" w:color="0063A6"/>
            </w:tcBorders>
          </w:tcPr>
          <w:p>
            <w:pPr>
              <w:ind w:left="80"/>
              <w:spacing w:after="0"/>
              <w:rPr>
                <w:sz w:val="20"/>
                <w:szCs w:val="20"/>
                <w:color w:val="auto"/>
              </w:rPr>
            </w:pPr>
            <w:r>
              <w:rPr>
                <w:rFonts w:ascii="Arial" w:cs="Arial" w:eastAsia="Arial" w:hAnsi="Arial"/>
                <w:sz w:val="16"/>
                <w:szCs w:val="16"/>
                <w:b w:val="1"/>
                <w:bCs w:val="1"/>
                <w:color w:val="auto"/>
              </w:rPr>
              <w:t>Leadership Compensation</w:t>
            </w:r>
          </w:p>
        </w:tc>
        <w:tc>
          <w:tcPr>
            <w:tcW w:w="100" w:type="dxa"/>
            <w:vAlign w:val="bottom"/>
          </w:tcPr>
          <w:p>
            <w:pPr>
              <w:spacing w:after="0"/>
              <w:rPr>
                <w:sz w:val="19"/>
                <w:szCs w:val="19"/>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cash compensation for their additional services:</w:t>
            </w:r>
          </w:p>
        </w:tc>
      </w:tr>
      <w:tr>
        <w:trPr>
          <w:trHeight w:val="370"/>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0063A6"/>
              </w:rPr>
              <w:t xml:space="preserve">•  </w:t>
            </w:r>
            <w:r>
              <w:rPr>
                <w:rFonts w:ascii="Arial" w:cs="Arial" w:eastAsia="Arial" w:hAnsi="Arial"/>
                <w:sz w:val="16"/>
                <w:szCs w:val="16"/>
                <w:color w:val="000000"/>
              </w:rPr>
              <w:t>$35,000 per year for service as a lead independent director;</w:t>
            </w:r>
          </w:p>
        </w:tc>
      </w:tr>
      <w:tr>
        <w:trPr>
          <w:trHeight w:val="378"/>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0063A6"/>
              </w:rPr>
              <w:t xml:space="preserve">•  </w:t>
            </w:r>
            <w:r>
              <w:rPr>
                <w:rFonts w:ascii="Arial" w:cs="Arial" w:eastAsia="Arial" w:hAnsi="Arial"/>
                <w:sz w:val="16"/>
                <w:szCs w:val="16"/>
                <w:color w:val="000000"/>
              </w:rPr>
              <w:t>$30,000 per year for service as chair of the audit committee;</w:t>
            </w:r>
          </w:p>
        </w:tc>
      </w:tr>
      <w:tr>
        <w:trPr>
          <w:trHeight w:val="378"/>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0063A6"/>
              </w:rPr>
              <w:t xml:space="preserve">•  </w:t>
            </w:r>
            <w:r>
              <w:rPr>
                <w:rFonts w:ascii="Arial" w:cs="Arial" w:eastAsia="Arial" w:hAnsi="Arial"/>
                <w:sz w:val="16"/>
                <w:szCs w:val="16"/>
                <w:color w:val="000000"/>
              </w:rPr>
              <w:t>$12,500 per year for service as a member of the audit committee;</w:t>
            </w:r>
          </w:p>
        </w:tc>
      </w:tr>
      <w:tr>
        <w:trPr>
          <w:trHeight w:val="378"/>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0063A6"/>
              </w:rPr>
              <w:t xml:space="preserve">•  </w:t>
            </w:r>
            <w:r>
              <w:rPr>
                <w:rFonts w:ascii="Arial" w:cs="Arial" w:eastAsia="Arial" w:hAnsi="Arial"/>
                <w:sz w:val="16"/>
                <w:szCs w:val="16"/>
                <w:color w:val="000000"/>
              </w:rPr>
              <w:t>$20,000 per year for service as chair of the compensation committee;</w:t>
            </w:r>
          </w:p>
        </w:tc>
      </w:tr>
      <w:tr>
        <w:trPr>
          <w:trHeight w:val="378"/>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0063A6"/>
              </w:rPr>
              <w:t xml:space="preserve">•  </w:t>
            </w:r>
            <w:r>
              <w:rPr>
                <w:rFonts w:ascii="Arial" w:cs="Arial" w:eastAsia="Arial" w:hAnsi="Arial"/>
                <w:sz w:val="16"/>
                <w:szCs w:val="16"/>
                <w:color w:val="000000"/>
              </w:rPr>
              <w:t>$10,000 per year for service as a member of the compensation committee;</w:t>
            </w:r>
          </w:p>
        </w:tc>
      </w:tr>
      <w:tr>
        <w:trPr>
          <w:trHeight w:val="352"/>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0063A6"/>
              </w:rPr>
              <w:t xml:space="preserve">•  </w:t>
            </w:r>
            <w:r>
              <w:rPr>
                <w:rFonts w:ascii="Arial" w:cs="Arial" w:eastAsia="Arial" w:hAnsi="Arial"/>
                <w:sz w:val="16"/>
                <w:szCs w:val="16"/>
                <w:color w:val="000000"/>
              </w:rPr>
              <w:t>$15,000 per year for service as chair of the nominating and corporate governance committee;</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ind w:left="240"/>
              <w:spacing w:after="0"/>
              <w:rPr>
                <w:sz w:val="20"/>
                <w:szCs w:val="20"/>
                <w:color w:val="auto"/>
              </w:rPr>
            </w:pPr>
            <w:r>
              <w:rPr>
                <w:rFonts w:ascii="Arial" w:cs="Arial" w:eastAsia="Arial" w:hAnsi="Arial"/>
                <w:sz w:val="16"/>
                <w:szCs w:val="16"/>
                <w:color w:val="auto"/>
              </w:rPr>
              <w:t>and</w:t>
            </w:r>
          </w:p>
        </w:tc>
      </w:tr>
      <w:tr>
        <w:trPr>
          <w:trHeight w:val="352"/>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0063A6"/>
              </w:rPr>
              <w:t xml:space="preserve">•  </w:t>
            </w:r>
            <w:r>
              <w:rPr>
                <w:rFonts w:ascii="Arial" w:cs="Arial" w:eastAsia="Arial" w:hAnsi="Arial"/>
                <w:sz w:val="16"/>
                <w:szCs w:val="16"/>
                <w:color w:val="000000"/>
              </w:rPr>
              <w:t>$5,000 per year for service as a member of the nominating and corporate governance</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ind w:left="240"/>
              <w:spacing w:after="0"/>
              <w:rPr>
                <w:sz w:val="20"/>
                <w:szCs w:val="20"/>
                <w:color w:val="auto"/>
              </w:rPr>
            </w:pPr>
            <w:r>
              <w:rPr>
                <w:rFonts w:ascii="Arial" w:cs="Arial" w:eastAsia="Arial" w:hAnsi="Arial"/>
                <w:sz w:val="16"/>
                <w:szCs w:val="16"/>
                <w:color w:val="auto"/>
              </w:rPr>
              <w:t>committee.</w:t>
            </w:r>
          </w:p>
        </w:tc>
      </w:tr>
      <w:tr>
        <w:trPr>
          <w:trHeight w:val="352"/>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Directors who serve as the chair of a committee will receive only the annual fee as the chair of the</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committee and not any additional fees for serving as a member of that committee.</w:t>
            </w:r>
          </w:p>
        </w:tc>
      </w:tr>
      <w:tr>
        <w:trPr>
          <w:trHeight w:val="56"/>
        </w:trPr>
        <w:tc>
          <w:tcPr>
            <w:tcW w:w="2360" w:type="dxa"/>
            <w:vAlign w:val="bottom"/>
            <w:tcBorders>
              <w:left w:val="single" w:sz="8" w:color="0063A6"/>
              <w:bottom w:val="single" w:sz="8" w:color="0063A6"/>
              <w:right w:val="single" w:sz="8" w:color="0063A6"/>
            </w:tcBorders>
          </w:tcPr>
          <w:p>
            <w:pPr>
              <w:spacing w:after="0"/>
              <w:rPr>
                <w:sz w:val="4"/>
                <w:szCs w:val="4"/>
                <w:color w:val="auto"/>
              </w:rPr>
            </w:pPr>
          </w:p>
        </w:tc>
        <w:tc>
          <w:tcPr>
            <w:tcW w:w="100" w:type="dxa"/>
            <w:vAlign w:val="bottom"/>
            <w:tcBorders>
              <w:bottom w:val="single" w:sz="8" w:color="0063A6"/>
            </w:tcBorders>
          </w:tcPr>
          <w:p>
            <w:pPr>
              <w:spacing w:after="0"/>
              <w:rPr>
                <w:sz w:val="4"/>
                <w:szCs w:val="4"/>
                <w:color w:val="auto"/>
              </w:rPr>
            </w:pPr>
          </w:p>
        </w:tc>
        <w:tc>
          <w:tcPr>
            <w:tcW w:w="1220" w:type="dxa"/>
            <w:vAlign w:val="bottom"/>
            <w:tcBorders>
              <w:bottom w:val="single" w:sz="8" w:color="0063A6"/>
            </w:tcBorders>
          </w:tcPr>
          <w:p>
            <w:pPr>
              <w:spacing w:after="0"/>
              <w:rPr>
                <w:sz w:val="4"/>
                <w:szCs w:val="4"/>
                <w:color w:val="auto"/>
              </w:rPr>
            </w:pPr>
          </w:p>
        </w:tc>
        <w:tc>
          <w:tcPr>
            <w:tcW w:w="80" w:type="dxa"/>
            <w:vAlign w:val="bottom"/>
            <w:tcBorders>
              <w:bottom w:val="single" w:sz="8" w:color="0063A6"/>
            </w:tcBorders>
          </w:tcPr>
          <w:p>
            <w:pPr>
              <w:spacing w:after="0"/>
              <w:rPr>
                <w:sz w:val="4"/>
                <w:szCs w:val="4"/>
                <w:color w:val="auto"/>
              </w:rPr>
            </w:pPr>
          </w:p>
        </w:tc>
        <w:tc>
          <w:tcPr>
            <w:tcW w:w="5800" w:type="dxa"/>
            <w:vAlign w:val="bottom"/>
            <w:tcBorders>
              <w:bottom w:val="single" w:sz="8" w:color="0063A6"/>
              <w:right w:val="single" w:sz="8" w:color="0063A6"/>
            </w:tcBorders>
          </w:tcPr>
          <w:p>
            <w:pPr>
              <w:spacing w:after="0"/>
              <w:rPr>
                <w:sz w:val="4"/>
                <w:szCs w:val="4"/>
                <w:color w:val="auto"/>
              </w:rPr>
            </w:pPr>
          </w:p>
        </w:tc>
      </w:tr>
      <w:tr>
        <w:trPr>
          <w:trHeight w:val="323"/>
        </w:trPr>
        <w:tc>
          <w:tcPr>
            <w:tcW w:w="2360" w:type="dxa"/>
            <w:vAlign w:val="bottom"/>
            <w:tcBorders>
              <w:left w:val="single" w:sz="8" w:color="0063A6"/>
              <w:bottom w:val="single" w:sz="8" w:color="E5EFFD"/>
              <w:right w:val="single" w:sz="8" w:color="E5EFFD"/>
            </w:tcBorders>
            <w:shd w:val="clear" w:color="auto" w:fill="E5EFFD"/>
          </w:tcPr>
          <w:p>
            <w:pPr>
              <w:ind w:left="80"/>
              <w:spacing w:after="0"/>
              <w:rPr>
                <w:sz w:val="20"/>
                <w:szCs w:val="20"/>
                <w:color w:val="auto"/>
              </w:rPr>
            </w:pPr>
            <w:r>
              <w:rPr>
                <w:rFonts w:ascii="Arial" w:cs="Arial" w:eastAsia="Arial" w:hAnsi="Arial"/>
                <w:sz w:val="16"/>
                <w:szCs w:val="16"/>
                <w:b w:val="1"/>
                <w:bCs w:val="1"/>
                <w:color w:val="0063A6"/>
              </w:rPr>
              <w:t>Equity Compensation</w:t>
            </w:r>
          </w:p>
        </w:tc>
        <w:tc>
          <w:tcPr>
            <w:tcW w:w="100" w:type="dxa"/>
            <w:vAlign w:val="bottom"/>
            <w:tcBorders>
              <w:bottom w:val="single" w:sz="8" w:color="E5EFFD"/>
            </w:tcBorders>
            <w:shd w:val="clear" w:color="auto" w:fill="E5EFFD"/>
          </w:tcPr>
          <w:p>
            <w:pPr>
              <w:spacing w:after="0"/>
              <w:rPr>
                <w:sz w:val="24"/>
                <w:szCs w:val="24"/>
                <w:color w:val="auto"/>
              </w:rPr>
            </w:pPr>
          </w:p>
        </w:tc>
        <w:tc>
          <w:tcPr>
            <w:tcW w:w="1220" w:type="dxa"/>
            <w:vAlign w:val="bottom"/>
            <w:tcBorders>
              <w:bottom w:val="single" w:sz="8" w:color="E5EFFD"/>
            </w:tcBorders>
            <w:shd w:val="clear" w:color="auto" w:fill="E5EFFD"/>
          </w:tcPr>
          <w:p>
            <w:pPr>
              <w:spacing w:after="0"/>
              <w:rPr>
                <w:sz w:val="24"/>
                <w:szCs w:val="24"/>
                <w:color w:val="auto"/>
              </w:rPr>
            </w:pPr>
          </w:p>
        </w:tc>
        <w:tc>
          <w:tcPr>
            <w:tcW w:w="80" w:type="dxa"/>
            <w:vAlign w:val="bottom"/>
            <w:tcBorders>
              <w:bottom w:val="single" w:sz="8" w:color="E5EFFD"/>
            </w:tcBorders>
            <w:shd w:val="clear" w:color="auto" w:fill="E5EFFD"/>
          </w:tcPr>
          <w:p>
            <w:pPr>
              <w:spacing w:after="0"/>
              <w:rPr>
                <w:sz w:val="24"/>
                <w:szCs w:val="24"/>
                <w:color w:val="auto"/>
              </w:rPr>
            </w:pPr>
          </w:p>
        </w:tc>
        <w:tc>
          <w:tcPr>
            <w:tcW w:w="5800" w:type="dxa"/>
            <w:vAlign w:val="bottom"/>
            <w:tcBorders>
              <w:bottom w:val="single" w:sz="8" w:color="E5EFFD"/>
              <w:right w:val="single" w:sz="8" w:color="0063A6"/>
            </w:tcBorders>
            <w:shd w:val="clear" w:color="auto" w:fill="E5EFFD"/>
          </w:tcPr>
          <w:p>
            <w:pPr>
              <w:spacing w:after="0"/>
              <w:rPr>
                <w:sz w:val="24"/>
                <w:szCs w:val="24"/>
                <w:color w:val="auto"/>
              </w:rPr>
            </w:pPr>
          </w:p>
        </w:tc>
      </w:tr>
      <w:tr>
        <w:trPr>
          <w:trHeight w:val="236"/>
        </w:trPr>
        <w:tc>
          <w:tcPr>
            <w:tcW w:w="2360" w:type="dxa"/>
            <w:vAlign w:val="bottom"/>
            <w:tcBorders>
              <w:top w:val="single" w:sz="8" w:color="0063A6"/>
              <w:left w:val="single" w:sz="8" w:color="0063A6"/>
              <w:right w:val="single" w:sz="8" w:color="0063A6"/>
            </w:tcBorders>
          </w:tcPr>
          <w:p>
            <w:pPr>
              <w:ind w:left="80"/>
              <w:spacing w:after="0"/>
              <w:rPr>
                <w:sz w:val="20"/>
                <w:szCs w:val="20"/>
                <w:color w:val="auto"/>
              </w:rPr>
            </w:pPr>
            <w:r>
              <w:rPr>
                <w:rFonts w:ascii="Arial" w:cs="Arial" w:eastAsia="Arial" w:hAnsi="Arial"/>
                <w:sz w:val="16"/>
                <w:szCs w:val="16"/>
                <w:b w:val="1"/>
                <w:bCs w:val="1"/>
                <w:color w:val="auto"/>
              </w:rPr>
              <w:t>Initial Award</w:t>
            </w:r>
          </w:p>
        </w:tc>
        <w:tc>
          <w:tcPr>
            <w:tcW w:w="100" w:type="dxa"/>
            <w:vAlign w:val="bottom"/>
            <w:tcBorders>
              <w:top w:val="single" w:sz="8" w:color="0063A6"/>
            </w:tcBorders>
          </w:tcPr>
          <w:p>
            <w:pPr>
              <w:spacing w:after="0"/>
              <w:rPr>
                <w:sz w:val="20"/>
                <w:szCs w:val="20"/>
                <w:color w:val="auto"/>
              </w:rPr>
            </w:pPr>
          </w:p>
        </w:tc>
        <w:tc>
          <w:tcPr>
            <w:tcW w:w="7100" w:type="dxa"/>
            <w:vAlign w:val="bottom"/>
            <w:tcBorders>
              <w:top w:val="single" w:sz="8" w:color="0063A6"/>
              <w:right w:val="single" w:sz="8" w:color="0063A6"/>
            </w:tcBorders>
            <w:gridSpan w:val="3"/>
          </w:tcPr>
          <w:p>
            <w:pPr>
              <w:spacing w:after="0"/>
              <w:rPr>
                <w:sz w:val="20"/>
                <w:szCs w:val="20"/>
                <w:color w:val="auto"/>
              </w:rPr>
            </w:pPr>
            <w:r>
              <w:rPr>
                <w:rFonts w:ascii="Arial" w:cs="Arial" w:eastAsia="Arial" w:hAnsi="Arial"/>
                <w:sz w:val="16"/>
                <w:szCs w:val="16"/>
                <w:color w:val="auto"/>
              </w:rPr>
              <w:t>Each person who first becomes a non-employee director receives, on the first trading date or after</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the date on which the person first becomes a non-employee director, an initial award of restricted</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stock units (“RSUs”), or the Initial Award. An employee director who becomes a non-employee</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director due to termination of employment will not entitle such director to an Initial Award.</w:t>
            </w:r>
          </w:p>
        </w:tc>
      </w:tr>
      <w:tr>
        <w:trPr>
          <w:trHeight w:val="340"/>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i w:val="1"/>
                <w:iCs w:val="1"/>
                <w:color w:val="auto"/>
              </w:rPr>
              <w:t>Number of Shares</w:t>
            </w:r>
          </w:p>
        </w:tc>
      </w:tr>
      <w:tr>
        <w:trPr>
          <w:trHeight w:val="20"/>
        </w:trPr>
        <w:tc>
          <w:tcPr>
            <w:tcW w:w="2360" w:type="dxa"/>
            <w:vAlign w:val="bottom"/>
            <w:tcBorders>
              <w:left w:val="single" w:sz="8" w:color="0063A6"/>
              <w:right w:val="single" w:sz="8" w:color="0063A6"/>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800" w:type="dxa"/>
            <w:vAlign w:val="bottom"/>
            <w:tcBorders>
              <w:right w:val="single" w:sz="8" w:color="0063A6"/>
            </w:tcBorders>
          </w:tcPr>
          <w:p>
            <w:pPr>
              <w:spacing w:after="0" w:line="20" w:lineRule="exact"/>
              <w:rPr>
                <w:sz w:val="1"/>
                <w:szCs w:val="1"/>
                <w:color w:val="auto"/>
              </w:rPr>
            </w:pPr>
          </w:p>
        </w:tc>
      </w:tr>
      <w:tr>
        <w:trPr>
          <w:trHeight w:val="371"/>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The Initial Award covers a number of shares of our Class A common stock having a grant date fair</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value (determined in accordance with GAAP) equal to $250,000 multiplied by the fraction obtained</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by dividing (a) the number of full months during the period beginning on the date the person</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first becomes a non-employee director and ending on the one-year anniversary of the date of the</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then-most recent annual meeting of the company’s stockholders, or the Initial Award Vesting</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Period by (b) 12, rounded to the nearest whole share.</w:t>
            </w:r>
          </w:p>
        </w:tc>
      </w:tr>
      <w:tr>
        <w:trPr>
          <w:trHeight w:val="340"/>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1220" w:type="dxa"/>
            <w:vAlign w:val="bottom"/>
            <w:tcBorders>
              <w:bottom w:val="single" w:sz="8" w:color="auto"/>
            </w:tcBorders>
          </w:tcPr>
          <w:p>
            <w:pPr>
              <w:spacing w:after="0"/>
              <w:rPr>
                <w:sz w:val="20"/>
                <w:szCs w:val="20"/>
                <w:color w:val="auto"/>
              </w:rPr>
            </w:pPr>
            <w:r>
              <w:rPr>
                <w:rFonts w:ascii="Arial" w:cs="Arial" w:eastAsia="Arial" w:hAnsi="Arial"/>
                <w:sz w:val="16"/>
                <w:szCs w:val="16"/>
                <w:i w:val="1"/>
                <w:iCs w:val="1"/>
                <w:color w:val="auto"/>
                <w:w w:val="99"/>
              </w:rPr>
              <w:t>Vesting of Award</w:t>
            </w:r>
          </w:p>
        </w:tc>
        <w:tc>
          <w:tcPr>
            <w:tcW w:w="5880" w:type="dxa"/>
            <w:vAlign w:val="bottom"/>
            <w:tcBorders>
              <w:right w:val="single" w:sz="8" w:color="0063A6"/>
            </w:tcBorders>
            <w:gridSpan w:val="2"/>
          </w:tcPr>
          <w:p>
            <w:pPr>
              <w:spacing w:after="0"/>
              <w:rPr>
                <w:sz w:val="24"/>
                <w:szCs w:val="24"/>
                <w:color w:val="auto"/>
              </w:rPr>
            </w:pPr>
          </w:p>
        </w:tc>
      </w:tr>
      <w:tr>
        <w:trPr>
          <w:trHeight w:val="371"/>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The Initial Award vests on the last day of the Initial Award Vesting Period or, if earlier, on the day</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before the annual meeting of our stockholders that follows the grant date of the Initial Award,</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subject to the non-employee director continuing to provide services to us through the applicable</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vesting date.</w:t>
            </w:r>
          </w:p>
        </w:tc>
      </w:tr>
      <w:tr>
        <w:trPr>
          <w:trHeight w:val="42"/>
        </w:trPr>
        <w:tc>
          <w:tcPr>
            <w:tcW w:w="2360" w:type="dxa"/>
            <w:vAlign w:val="bottom"/>
            <w:tcBorders>
              <w:left w:val="single" w:sz="8" w:color="0063A6"/>
              <w:bottom w:val="single" w:sz="8" w:color="0063A6"/>
              <w:right w:val="single" w:sz="8" w:color="0063A6"/>
            </w:tcBorders>
          </w:tcPr>
          <w:p>
            <w:pPr>
              <w:spacing w:after="0"/>
              <w:rPr>
                <w:sz w:val="3"/>
                <w:szCs w:val="3"/>
                <w:color w:val="auto"/>
              </w:rPr>
            </w:pPr>
          </w:p>
        </w:tc>
        <w:tc>
          <w:tcPr>
            <w:tcW w:w="100" w:type="dxa"/>
            <w:vAlign w:val="bottom"/>
            <w:tcBorders>
              <w:bottom w:val="single" w:sz="8" w:color="0063A6"/>
            </w:tcBorders>
          </w:tcPr>
          <w:p>
            <w:pPr>
              <w:spacing w:after="0"/>
              <w:rPr>
                <w:sz w:val="3"/>
                <w:szCs w:val="3"/>
                <w:color w:val="auto"/>
              </w:rPr>
            </w:pPr>
          </w:p>
        </w:tc>
        <w:tc>
          <w:tcPr>
            <w:tcW w:w="1220" w:type="dxa"/>
            <w:vAlign w:val="bottom"/>
            <w:tcBorders>
              <w:bottom w:val="single" w:sz="8" w:color="0063A6"/>
            </w:tcBorders>
          </w:tcPr>
          <w:p>
            <w:pPr>
              <w:spacing w:after="0"/>
              <w:rPr>
                <w:sz w:val="3"/>
                <w:szCs w:val="3"/>
                <w:color w:val="auto"/>
              </w:rPr>
            </w:pPr>
          </w:p>
        </w:tc>
        <w:tc>
          <w:tcPr>
            <w:tcW w:w="80" w:type="dxa"/>
            <w:vAlign w:val="bottom"/>
            <w:tcBorders>
              <w:bottom w:val="single" w:sz="8" w:color="0063A6"/>
            </w:tcBorders>
          </w:tcPr>
          <w:p>
            <w:pPr>
              <w:spacing w:after="0"/>
              <w:rPr>
                <w:sz w:val="3"/>
                <w:szCs w:val="3"/>
                <w:color w:val="auto"/>
              </w:rPr>
            </w:pPr>
          </w:p>
        </w:tc>
        <w:tc>
          <w:tcPr>
            <w:tcW w:w="5800" w:type="dxa"/>
            <w:vAlign w:val="bottom"/>
            <w:tcBorders>
              <w:bottom w:val="single" w:sz="8" w:color="0063A6"/>
              <w:right w:val="single" w:sz="8" w:color="0063A6"/>
            </w:tcBorders>
          </w:tcPr>
          <w:p>
            <w:pPr>
              <w:spacing w:after="0"/>
              <w:rPr>
                <w:sz w:val="3"/>
                <w:szCs w:val="3"/>
                <w:color w:val="auto"/>
              </w:rPr>
            </w:pPr>
          </w:p>
        </w:tc>
      </w:tr>
    </w:tbl>
    <w:p>
      <w:pPr>
        <w:spacing w:after="0" w:line="207" w:lineRule="exact"/>
        <w:rPr>
          <w:sz w:val="20"/>
          <w:szCs w:val="20"/>
          <w:color w:val="auto"/>
        </w:rPr>
      </w:pPr>
    </w:p>
    <w:p>
      <w:pPr>
        <w:ind w:left="524" w:hanging="524"/>
        <w:spacing w:after="0"/>
        <w:tabs>
          <w:tab w:leader="none" w:pos="524" w:val="left"/>
        </w:tabs>
        <w:numPr>
          <w:ilvl w:val="0"/>
          <w:numId w:val="38"/>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24" w:name="page25"/>
    <w:bookmarkEnd w:id="24"/>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34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393" w:lineRule="exact"/>
        <w:rPr>
          <w:sz w:val="20"/>
          <w:szCs w:val="20"/>
          <w:color w:val="auto"/>
        </w:rPr>
      </w:pPr>
    </w:p>
    <w:tbl>
      <w:tblPr>
        <w:tblLayout w:type="fixed"/>
        <w:tblInd w:w="730" w:type="dxa"/>
        <w:tblCellMar>
          <w:top w:w="0" w:type="dxa"/>
          <w:left w:w="0" w:type="dxa"/>
          <w:bottom w:w="0" w:type="dxa"/>
          <w:right w:w="0" w:type="dxa"/>
        </w:tblCellMar>
      </w:tblPr>
      <w:tr>
        <w:trPr>
          <w:trHeight w:val="344"/>
        </w:trPr>
        <w:tc>
          <w:tcPr>
            <w:tcW w:w="2360" w:type="dxa"/>
            <w:vAlign w:val="bottom"/>
            <w:tcBorders>
              <w:left w:val="single" w:sz="8" w:color="0063A6"/>
              <w:bottom w:val="single" w:sz="8" w:color="0063A6"/>
              <w:right w:val="single" w:sz="8" w:color="0063A6"/>
            </w:tcBorders>
            <w:shd w:val="clear" w:color="auto" w:fill="0063A6"/>
          </w:tcPr>
          <w:p>
            <w:pPr>
              <w:ind w:left="80"/>
              <w:spacing w:after="0"/>
              <w:rPr>
                <w:sz w:val="20"/>
                <w:szCs w:val="20"/>
                <w:color w:val="auto"/>
              </w:rPr>
            </w:pPr>
            <w:r>
              <w:rPr>
                <w:rFonts w:ascii="Arial" w:cs="Arial" w:eastAsia="Arial" w:hAnsi="Arial"/>
                <w:sz w:val="14"/>
                <w:szCs w:val="14"/>
                <w:b w:val="1"/>
                <w:bCs w:val="1"/>
                <w:color w:val="FFFFFF"/>
              </w:rPr>
              <w:t>Component</w:t>
            </w:r>
          </w:p>
        </w:tc>
        <w:tc>
          <w:tcPr>
            <w:tcW w:w="100" w:type="dxa"/>
            <w:vAlign w:val="bottom"/>
            <w:tcBorders>
              <w:bottom w:val="single" w:sz="8" w:color="0063A6"/>
            </w:tcBorders>
            <w:shd w:val="clear" w:color="auto" w:fill="0063A6"/>
          </w:tcPr>
          <w:p>
            <w:pPr>
              <w:spacing w:after="0"/>
              <w:rPr>
                <w:sz w:val="24"/>
                <w:szCs w:val="24"/>
                <w:color w:val="auto"/>
              </w:rPr>
            </w:pPr>
          </w:p>
        </w:tc>
        <w:tc>
          <w:tcPr>
            <w:tcW w:w="7100" w:type="dxa"/>
            <w:vAlign w:val="bottom"/>
            <w:tcBorders>
              <w:bottom w:val="single" w:sz="8" w:color="0063A6"/>
              <w:right w:val="single" w:sz="8" w:color="0063A6"/>
            </w:tcBorders>
            <w:gridSpan w:val="3"/>
            <w:shd w:val="clear" w:color="auto" w:fill="0063A6"/>
          </w:tcPr>
          <w:p>
            <w:pPr>
              <w:spacing w:after="0"/>
              <w:rPr>
                <w:sz w:val="20"/>
                <w:szCs w:val="20"/>
                <w:color w:val="auto"/>
              </w:rPr>
            </w:pPr>
            <w:r>
              <w:rPr>
                <w:rFonts w:ascii="Arial" w:cs="Arial" w:eastAsia="Arial" w:hAnsi="Arial"/>
                <w:sz w:val="14"/>
                <w:szCs w:val="14"/>
                <w:b w:val="1"/>
                <w:bCs w:val="1"/>
                <w:color w:val="FFFFFF"/>
              </w:rPr>
              <w:t>Description</w:t>
            </w:r>
          </w:p>
        </w:tc>
      </w:tr>
      <w:tr>
        <w:trPr>
          <w:trHeight w:val="242"/>
        </w:trPr>
        <w:tc>
          <w:tcPr>
            <w:tcW w:w="2360" w:type="dxa"/>
            <w:vAlign w:val="bottom"/>
            <w:tcBorders>
              <w:left w:val="single" w:sz="8" w:color="0063A6"/>
              <w:right w:val="single" w:sz="8" w:color="0063A6"/>
            </w:tcBorders>
          </w:tcPr>
          <w:p>
            <w:pPr>
              <w:ind w:left="80"/>
              <w:spacing w:after="0"/>
              <w:rPr>
                <w:sz w:val="20"/>
                <w:szCs w:val="20"/>
                <w:color w:val="auto"/>
              </w:rPr>
            </w:pPr>
            <w:r>
              <w:rPr>
                <w:rFonts w:ascii="Arial" w:cs="Arial" w:eastAsia="Arial" w:hAnsi="Arial"/>
                <w:sz w:val="16"/>
                <w:szCs w:val="16"/>
                <w:b w:val="1"/>
                <w:bCs w:val="1"/>
                <w:color w:val="auto"/>
              </w:rPr>
              <w:t>Annual Award</w:t>
            </w:r>
          </w:p>
        </w:tc>
        <w:tc>
          <w:tcPr>
            <w:tcW w:w="100" w:type="dxa"/>
            <w:vAlign w:val="bottom"/>
          </w:tcPr>
          <w:p>
            <w:pPr>
              <w:spacing w:after="0"/>
              <w:rPr>
                <w:sz w:val="21"/>
                <w:szCs w:val="21"/>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Each non-employee director will automatically receive, on the date of each annual meeting of</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stockholders following the effective date of the policy, an annual award of RSUs, each of which we</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refer to as an Annual Award.</w:t>
            </w:r>
          </w:p>
        </w:tc>
      </w:tr>
      <w:tr>
        <w:trPr>
          <w:trHeight w:val="340"/>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i w:val="1"/>
                <w:iCs w:val="1"/>
                <w:color w:val="auto"/>
              </w:rPr>
              <w:t>Number of Shares</w:t>
            </w:r>
          </w:p>
        </w:tc>
      </w:tr>
      <w:tr>
        <w:trPr>
          <w:trHeight w:val="20"/>
        </w:trPr>
        <w:tc>
          <w:tcPr>
            <w:tcW w:w="2360" w:type="dxa"/>
            <w:vAlign w:val="bottom"/>
            <w:tcBorders>
              <w:left w:val="single" w:sz="8" w:color="0063A6"/>
              <w:right w:val="single" w:sz="8" w:color="0063A6"/>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800" w:type="dxa"/>
            <w:vAlign w:val="bottom"/>
            <w:tcBorders>
              <w:right w:val="single" w:sz="8" w:color="0063A6"/>
            </w:tcBorders>
          </w:tcPr>
          <w:p>
            <w:pPr>
              <w:spacing w:after="0" w:line="20" w:lineRule="exact"/>
              <w:rPr>
                <w:sz w:val="1"/>
                <w:szCs w:val="1"/>
                <w:color w:val="auto"/>
              </w:rPr>
            </w:pPr>
          </w:p>
        </w:tc>
      </w:tr>
      <w:tr>
        <w:trPr>
          <w:trHeight w:val="371"/>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Each Annual Award covers a number of shares of our Class A common stock having a grant date</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fair value (determined in accordance with GAAP) of $250,000, rounded to the nearest whole</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share.</w:t>
            </w:r>
          </w:p>
        </w:tc>
      </w:tr>
      <w:tr>
        <w:trPr>
          <w:trHeight w:val="340"/>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1220" w:type="dxa"/>
            <w:vAlign w:val="bottom"/>
            <w:tcBorders>
              <w:bottom w:val="single" w:sz="8" w:color="auto"/>
            </w:tcBorders>
          </w:tcPr>
          <w:p>
            <w:pPr>
              <w:spacing w:after="0"/>
              <w:rPr>
                <w:sz w:val="20"/>
                <w:szCs w:val="20"/>
                <w:color w:val="auto"/>
              </w:rPr>
            </w:pPr>
            <w:r>
              <w:rPr>
                <w:rFonts w:ascii="Arial" w:cs="Arial" w:eastAsia="Arial" w:hAnsi="Arial"/>
                <w:sz w:val="16"/>
                <w:szCs w:val="16"/>
                <w:i w:val="1"/>
                <w:iCs w:val="1"/>
                <w:color w:val="auto"/>
                <w:w w:val="99"/>
              </w:rPr>
              <w:t>Vesting of Award</w:t>
            </w:r>
          </w:p>
        </w:tc>
        <w:tc>
          <w:tcPr>
            <w:tcW w:w="5880" w:type="dxa"/>
            <w:vAlign w:val="bottom"/>
            <w:tcBorders>
              <w:right w:val="single" w:sz="8" w:color="0063A6"/>
            </w:tcBorders>
            <w:gridSpan w:val="2"/>
          </w:tcPr>
          <w:p>
            <w:pPr>
              <w:spacing w:after="0"/>
              <w:rPr>
                <w:sz w:val="24"/>
                <w:szCs w:val="24"/>
                <w:color w:val="auto"/>
              </w:rPr>
            </w:pPr>
          </w:p>
        </w:tc>
      </w:tr>
      <w:tr>
        <w:trPr>
          <w:trHeight w:val="371"/>
        </w:trPr>
        <w:tc>
          <w:tcPr>
            <w:tcW w:w="2360" w:type="dxa"/>
            <w:vAlign w:val="bottom"/>
            <w:tcBorders>
              <w:left w:val="single" w:sz="8" w:color="0063A6"/>
              <w:right w:val="single" w:sz="8" w:color="0063A6"/>
            </w:tcBorders>
          </w:tcPr>
          <w:p>
            <w:pPr>
              <w:spacing w:after="0"/>
              <w:rPr>
                <w:sz w:val="24"/>
                <w:szCs w:val="24"/>
                <w:color w:val="auto"/>
              </w:rPr>
            </w:pPr>
          </w:p>
        </w:tc>
        <w:tc>
          <w:tcPr>
            <w:tcW w:w="100" w:type="dxa"/>
            <w:vAlign w:val="bottom"/>
          </w:tcPr>
          <w:p>
            <w:pPr>
              <w:spacing w:after="0"/>
              <w:rPr>
                <w:sz w:val="24"/>
                <w:szCs w:val="24"/>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The Annual Award will vest on the one-year anniversary of the grant date of the Annual Award or,</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if earlier, the day before our annual meeting of stockholders that follows the grant date of the</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Annual Award, subject to the non-employee director continuing to provide services to us through</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the applicable vesting date.</w:t>
            </w:r>
          </w:p>
        </w:tc>
      </w:tr>
      <w:tr>
        <w:trPr>
          <w:trHeight w:val="56"/>
        </w:trPr>
        <w:tc>
          <w:tcPr>
            <w:tcW w:w="2360" w:type="dxa"/>
            <w:vAlign w:val="bottom"/>
            <w:tcBorders>
              <w:left w:val="single" w:sz="8" w:color="0063A6"/>
              <w:bottom w:val="single" w:sz="8" w:color="0063A6"/>
              <w:right w:val="single" w:sz="8" w:color="0063A6"/>
            </w:tcBorders>
          </w:tcPr>
          <w:p>
            <w:pPr>
              <w:spacing w:after="0"/>
              <w:rPr>
                <w:sz w:val="4"/>
                <w:szCs w:val="4"/>
                <w:color w:val="auto"/>
              </w:rPr>
            </w:pPr>
          </w:p>
        </w:tc>
        <w:tc>
          <w:tcPr>
            <w:tcW w:w="100" w:type="dxa"/>
            <w:vAlign w:val="bottom"/>
            <w:tcBorders>
              <w:bottom w:val="single" w:sz="8" w:color="0063A6"/>
            </w:tcBorders>
          </w:tcPr>
          <w:p>
            <w:pPr>
              <w:spacing w:after="0"/>
              <w:rPr>
                <w:sz w:val="4"/>
                <w:szCs w:val="4"/>
                <w:color w:val="auto"/>
              </w:rPr>
            </w:pPr>
          </w:p>
        </w:tc>
        <w:tc>
          <w:tcPr>
            <w:tcW w:w="1220" w:type="dxa"/>
            <w:vAlign w:val="bottom"/>
            <w:tcBorders>
              <w:bottom w:val="single" w:sz="8" w:color="0063A6"/>
            </w:tcBorders>
          </w:tcPr>
          <w:p>
            <w:pPr>
              <w:spacing w:after="0"/>
              <w:rPr>
                <w:sz w:val="4"/>
                <w:szCs w:val="4"/>
                <w:color w:val="auto"/>
              </w:rPr>
            </w:pPr>
          </w:p>
        </w:tc>
        <w:tc>
          <w:tcPr>
            <w:tcW w:w="80" w:type="dxa"/>
            <w:vAlign w:val="bottom"/>
            <w:tcBorders>
              <w:bottom w:val="single" w:sz="8" w:color="0063A6"/>
            </w:tcBorders>
          </w:tcPr>
          <w:p>
            <w:pPr>
              <w:spacing w:after="0"/>
              <w:rPr>
                <w:sz w:val="4"/>
                <w:szCs w:val="4"/>
                <w:color w:val="auto"/>
              </w:rPr>
            </w:pPr>
          </w:p>
        </w:tc>
        <w:tc>
          <w:tcPr>
            <w:tcW w:w="5800" w:type="dxa"/>
            <w:vAlign w:val="bottom"/>
            <w:tcBorders>
              <w:bottom w:val="single" w:sz="8" w:color="0063A6"/>
              <w:right w:val="single" w:sz="8" w:color="0063A6"/>
            </w:tcBorders>
          </w:tcPr>
          <w:p>
            <w:pPr>
              <w:spacing w:after="0"/>
              <w:rPr>
                <w:sz w:val="4"/>
                <w:szCs w:val="4"/>
                <w:color w:val="auto"/>
              </w:rPr>
            </w:pPr>
          </w:p>
        </w:tc>
      </w:tr>
      <w:tr>
        <w:trPr>
          <w:trHeight w:val="236"/>
        </w:trPr>
        <w:tc>
          <w:tcPr>
            <w:tcW w:w="2360" w:type="dxa"/>
            <w:vAlign w:val="bottom"/>
            <w:tcBorders>
              <w:left w:val="single" w:sz="8" w:color="0063A6"/>
              <w:right w:val="single" w:sz="8" w:color="0063A6"/>
            </w:tcBorders>
          </w:tcPr>
          <w:p>
            <w:pPr>
              <w:ind w:left="80"/>
              <w:spacing w:after="0"/>
              <w:rPr>
                <w:sz w:val="20"/>
                <w:szCs w:val="20"/>
                <w:color w:val="auto"/>
              </w:rPr>
            </w:pPr>
            <w:r>
              <w:rPr>
                <w:rFonts w:ascii="Arial" w:cs="Arial" w:eastAsia="Arial" w:hAnsi="Arial"/>
                <w:sz w:val="16"/>
                <w:szCs w:val="16"/>
                <w:b w:val="1"/>
                <w:bCs w:val="1"/>
                <w:color w:val="auto"/>
              </w:rPr>
              <w:t>Deferral of Awards</w:t>
            </w:r>
          </w:p>
        </w:tc>
        <w:tc>
          <w:tcPr>
            <w:tcW w:w="100" w:type="dxa"/>
            <w:vAlign w:val="bottom"/>
          </w:tcPr>
          <w:p>
            <w:pPr>
              <w:spacing w:after="0"/>
              <w:rPr>
                <w:sz w:val="20"/>
                <w:szCs w:val="20"/>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Each non-employee director may elect to defer the delivery of the settlement of any Initial Award</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or Annual Award that would otherwise be delivered to such non-employee director on or following</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the date such award vests pursuant to the terms of a deferral election such non-employee director</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makes in accordance with the policy.</w:t>
            </w:r>
          </w:p>
        </w:tc>
      </w:tr>
      <w:tr>
        <w:trPr>
          <w:trHeight w:val="56"/>
        </w:trPr>
        <w:tc>
          <w:tcPr>
            <w:tcW w:w="2360" w:type="dxa"/>
            <w:vAlign w:val="bottom"/>
            <w:tcBorders>
              <w:left w:val="single" w:sz="8" w:color="0063A6"/>
              <w:bottom w:val="single" w:sz="8" w:color="0063A6"/>
              <w:right w:val="single" w:sz="8" w:color="0063A6"/>
            </w:tcBorders>
          </w:tcPr>
          <w:p>
            <w:pPr>
              <w:spacing w:after="0"/>
              <w:rPr>
                <w:sz w:val="4"/>
                <w:szCs w:val="4"/>
                <w:color w:val="auto"/>
              </w:rPr>
            </w:pPr>
          </w:p>
        </w:tc>
        <w:tc>
          <w:tcPr>
            <w:tcW w:w="100" w:type="dxa"/>
            <w:vAlign w:val="bottom"/>
            <w:tcBorders>
              <w:bottom w:val="single" w:sz="8" w:color="0063A6"/>
            </w:tcBorders>
          </w:tcPr>
          <w:p>
            <w:pPr>
              <w:spacing w:after="0"/>
              <w:rPr>
                <w:sz w:val="4"/>
                <w:szCs w:val="4"/>
                <w:color w:val="auto"/>
              </w:rPr>
            </w:pPr>
          </w:p>
        </w:tc>
        <w:tc>
          <w:tcPr>
            <w:tcW w:w="1220" w:type="dxa"/>
            <w:vAlign w:val="bottom"/>
            <w:tcBorders>
              <w:bottom w:val="single" w:sz="8" w:color="0063A6"/>
            </w:tcBorders>
          </w:tcPr>
          <w:p>
            <w:pPr>
              <w:spacing w:after="0"/>
              <w:rPr>
                <w:sz w:val="4"/>
                <w:szCs w:val="4"/>
                <w:color w:val="auto"/>
              </w:rPr>
            </w:pPr>
          </w:p>
        </w:tc>
        <w:tc>
          <w:tcPr>
            <w:tcW w:w="80" w:type="dxa"/>
            <w:vAlign w:val="bottom"/>
            <w:tcBorders>
              <w:bottom w:val="single" w:sz="8" w:color="0063A6"/>
            </w:tcBorders>
          </w:tcPr>
          <w:p>
            <w:pPr>
              <w:spacing w:after="0"/>
              <w:rPr>
                <w:sz w:val="4"/>
                <w:szCs w:val="4"/>
                <w:color w:val="auto"/>
              </w:rPr>
            </w:pPr>
          </w:p>
        </w:tc>
        <w:tc>
          <w:tcPr>
            <w:tcW w:w="5800" w:type="dxa"/>
            <w:vAlign w:val="bottom"/>
            <w:tcBorders>
              <w:bottom w:val="single" w:sz="8" w:color="0063A6"/>
              <w:right w:val="single" w:sz="8" w:color="0063A6"/>
            </w:tcBorders>
          </w:tcPr>
          <w:p>
            <w:pPr>
              <w:spacing w:after="0"/>
              <w:rPr>
                <w:sz w:val="4"/>
                <w:szCs w:val="4"/>
                <w:color w:val="auto"/>
              </w:rPr>
            </w:pPr>
          </w:p>
        </w:tc>
      </w:tr>
      <w:tr>
        <w:trPr>
          <w:trHeight w:val="236"/>
        </w:trPr>
        <w:tc>
          <w:tcPr>
            <w:tcW w:w="2360" w:type="dxa"/>
            <w:vAlign w:val="bottom"/>
            <w:tcBorders>
              <w:left w:val="single" w:sz="8" w:color="0063A6"/>
              <w:right w:val="single" w:sz="8" w:color="0063A6"/>
            </w:tcBorders>
          </w:tcPr>
          <w:p>
            <w:pPr>
              <w:ind w:left="80"/>
              <w:spacing w:after="0"/>
              <w:rPr>
                <w:sz w:val="20"/>
                <w:szCs w:val="20"/>
                <w:color w:val="auto"/>
              </w:rPr>
            </w:pPr>
            <w:r>
              <w:rPr>
                <w:rFonts w:ascii="Arial" w:cs="Arial" w:eastAsia="Arial" w:hAnsi="Arial"/>
                <w:sz w:val="16"/>
                <w:szCs w:val="16"/>
                <w:b w:val="1"/>
                <w:bCs w:val="1"/>
                <w:color w:val="auto"/>
              </w:rPr>
              <w:t>Change in Control</w:t>
            </w:r>
          </w:p>
        </w:tc>
        <w:tc>
          <w:tcPr>
            <w:tcW w:w="100" w:type="dxa"/>
            <w:vAlign w:val="bottom"/>
          </w:tcPr>
          <w:p>
            <w:pPr>
              <w:spacing w:after="0"/>
              <w:rPr>
                <w:sz w:val="20"/>
                <w:szCs w:val="20"/>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In the event of a “change in control” (as defined in our 2018 Equity Incentive Plan), each non-</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employee director will fully vest in his or her outstanding company equity awards, including any</w:t>
            </w:r>
          </w:p>
        </w:tc>
      </w:tr>
      <w:tr>
        <w:trPr>
          <w:trHeight w:val="189"/>
        </w:trPr>
        <w:tc>
          <w:tcPr>
            <w:tcW w:w="2360" w:type="dxa"/>
            <w:vAlign w:val="bottom"/>
            <w:tcBorders>
              <w:left w:val="single" w:sz="8" w:color="0063A6"/>
              <w:right w:val="single" w:sz="8" w:color="0063A6"/>
            </w:tcBorders>
          </w:tcPr>
          <w:p>
            <w:pPr>
              <w:spacing w:after="0"/>
              <w:rPr>
                <w:sz w:val="16"/>
                <w:szCs w:val="16"/>
                <w:color w:val="auto"/>
              </w:rPr>
            </w:pPr>
          </w:p>
        </w:tc>
        <w:tc>
          <w:tcPr>
            <w:tcW w:w="100" w:type="dxa"/>
            <w:vAlign w:val="bottom"/>
          </w:tcPr>
          <w:p>
            <w:pPr>
              <w:spacing w:after="0"/>
              <w:rPr>
                <w:sz w:val="16"/>
                <w:szCs w:val="16"/>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Initial Award or Annual Award, provided that the non-employee director continues to be a non-</w:t>
            </w:r>
          </w:p>
        </w:tc>
      </w:tr>
      <w:tr>
        <w:trPr>
          <w:trHeight w:val="215"/>
        </w:trPr>
        <w:tc>
          <w:tcPr>
            <w:tcW w:w="2360" w:type="dxa"/>
            <w:vAlign w:val="bottom"/>
            <w:tcBorders>
              <w:left w:val="single" w:sz="8" w:color="0063A6"/>
              <w:right w:val="single" w:sz="8" w:color="0063A6"/>
            </w:tcBorders>
          </w:tcPr>
          <w:p>
            <w:pPr>
              <w:spacing w:after="0"/>
              <w:rPr>
                <w:sz w:val="18"/>
                <w:szCs w:val="18"/>
                <w:color w:val="auto"/>
              </w:rPr>
            </w:pPr>
          </w:p>
        </w:tc>
        <w:tc>
          <w:tcPr>
            <w:tcW w:w="100" w:type="dxa"/>
            <w:vAlign w:val="bottom"/>
          </w:tcPr>
          <w:p>
            <w:pPr>
              <w:spacing w:after="0"/>
              <w:rPr>
                <w:sz w:val="18"/>
                <w:szCs w:val="18"/>
                <w:color w:val="auto"/>
              </w:rPr>
            </w:pPr>
          </w:p>
        </w:tc>
        <w:tc>
          <w:tcPr>
            <w:tcW w:w="7100" w:type="dxa"/>
            <w:vAlign w:val="bottom"/>
            <w:tcBorders>
              <w:right w:val="single" w:sz="8" w:color="0063A6"/>
            </w:tcBorders>
            <w:gridSpan w:val="3"/>
          </w:tcPr>
          <w:p>
            <w:pPr>
              <w:spacing w:after="0"/>
              <w:rPr>
                <w:sz w:val="20"/>
                <w:szCs w:val="20"/>
                <w:color w:val="auto"/>
              </w:rPr>
            </w:pPr>
            <w:r>
              <w:rPr>
                <w:rFonts w:ascii="Arial" w:cs="Arial" w:eastAsia="Arial" w:hAnsi="Arial"/>
                <w:sz w:val="16"/>
                <w:szCs w:val="16"/>
                <w:color w:val="auto"/>
              </w:rPr>
              <w:t>employee director through such date.</w:t>
            </w:r>
          </w:p>
        </w:tc>
      </w:tr>
      <w:tr>
        <w:trPr>
          <w:trHeight w:val="43"/>
        </w:trPr>
        <w:tc>
          <w:tcPr>
            <w:tcW w:w="2360" w:type="dxa"/>
            <w:vAlign w:val="bottom"/>
            <w:tcBorders>
              <w:left w:val="single" w:sz="8" w:color="0063A6"/>
              <w:bottom w:val="single" w:sz="8" w:color="0063A6"/>
              <w:right w:val="single" w:sz="8" w:color="0063A6"/>
            </w:tcBorders>
          </w:tcPr>
          <w:p>
            <w:pPr>
              <w:spacing w:after="0"/>
              <w:rPr>
                <w:sz w:val="3"/>
                <w:szCs w:val="3"/>
                <w:color w:val="auto"/>
              </w:rPr>
            </w:pPr>
          </w:p>
        </w:tc>
        <w:tc>
          <w:tcPr>
            <w:tcW w:w="100" w:type="dxa"/>
            <w:vAlign w:val="bottom"/>
            <w:tcBorders>
              <w:bottom w:val="single" w:sz="8" w:color="0063A6"/>
            </w:tcBorders>
          </w:tcPr>
          <w:p>
            <w:pPr>
              <w:spacing w:after="0"/>
              <w:rPr>
                <w:sz w:val="3"/>
                <w:szCs w:val="3"/>
                <w:color w:val="auto"/>
              </w:rPr>
            </w:pPr>
          </w:p>
        </w:tc>
        <w:tc>
          <w:tcPr>
            <w:tcW w:w="1220" w:type="dxa"/>
            <w:vAlign w:val="bottom"/>
            <w:tcBorders>
              <w:bottom w:val="single" w:sz="8" w:color="0063A6"/>
            </w:tcBorders>
          </w:tcPr>
          <w:p>
            <w:pPr>
              <w:spacing w:after="0"/>
              <w:rPr>
                <w:sz w:val="3"/>
                <w:szCs w:val="3"/>
                <w:color w:val="auto"/>
              </w:rPr>
            </w:pPr>
          </w:p>
        </w:tc>
        <w:tc>
          <w:tcPr>
            <w:tcW w:w="80" w:type="dxa"/>
            <w:vAlign w:val="bottom"/>
            <w:tcBorders>
              <w:bottom w:val="single" w:sz="8" w:color="0063A6"/>
            </w:tcBorders>
          </w:tcPr>
          <w:p>
            <w:pPr>
              <w:spacing w:after="0"/>
              <w:rPr>
                <w:sz w:val="3"/>
                <w:szCs w:val="3"/>
                <w:color w:val="auto"/>
              </w:rPr>
            </w:pPr>
          </w:p>
        </w:tc>
        <w:tc>
          <w:tcPr>
            <w:tcW w:w="5800" w:type="dxa"/>
            <w:vAlign w:val="bottom"/>
            <w:tcBorders>
              <w:bottom w:val="single" w:sz="8" w:color="0063A6"/>
              <w:right w:val="single" w:sz="8" w:color="0063A6"/>
            </w:tcBorders>
          </w:tcPr>
          <w:p>
            <w:pPr>
              <w:spacing w:after="0"/>
              <w:rPr>
                <w:sz w:val="3"/>
                <w:szCs w:val="3"/>
                <w:color w:val="auto"/>
              </w:rPr>
            </w:pPr>
          </w:p>
        </w:tc>
      </w:tr>
    </w:tbl>
    <w:p>
      <w:pPr>
        <w:spacing w:after="0" w:line="310"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2021 Compensation</w:t>
      </w:r>
    </w:p>
    <w:p>
      <w:pPr>
        <w:spacing w:after="0" w:line="46" w:lineRule="exact"/>
        <w:rPr>
          <w:sz w:val="20"/>
          <w:szCs w:val="20"/>
          <w:color w:val="auto"/>
        </w:rPr>
      </w:pPr>
    </w:p>
    <w:p>
      <w:pPr>
        <w:ind w:left="720" w:right="860"/>
        <w:spacing w:after="0" w:line="259" w:lineRule="auto"/>
        <w:rPr>
          <w:sz w:val="20"/>
          <w:szCs w:val="20"/>
          <w:color w:val="auto"/>
        </w:rPr>
      </w:pPr>
      <w:r>
        <w:rPr>
          <w:rFonts w:ascii="Arial" w:cs="Arial" w:eastAsia="Arial" w:hAnsi="Arial"/>
          <w:sz w:val="16"/>
          <w:szCs w:val="16"/>
          <w:color w:val="auto"/>
        </w:rPr>
        <w:t>The following table provides information regarding compensation of our non-employee directors for their service as directors, for the fiscal year ended December 31, 2021. Directors who are also our employees receive no additional compensation for their service as directors. During 2021, Mr. Houston was an employee and executive officer of the company and therefore, did not receive compensation as a director. See “</w:t>
      </w:r>
      <w:r>
        <w:rPr>
          <w:rFonts w:ascii="Arial" w:cs="Arial" w:eastAsia="Arial" w:hAnsi="Arial"/>
          <w:sz w:val="16"/>
          <w:szCs w:val="16"/>
          <w:i w:val="1"/>
          <w:iCs w:val="1"/>
          <w:color w:val="auto"/>
        </w:rPr>
        <w:t>Executive Compensation</w:t>
      </w:r>
      <w:r>
        <w:rPr>
          <w:rFonts w:ascii="Arial" w:cs="Arial" w:eastAsia="Arial" w:hAnsi="Arial"/>
          <w:sz w:val="16"/>
          <w:szCs w:val="16"/>
          <w:color w:val="auto"/>
        </w:rPr>
        <w:t>” for additional information regarding Mr. Houston’s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27305</wp:posOffset>
            </wp:positionV>
            <wp:extent cx="6077585" cy="24517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077585" cy="2451735"/>
                    </a:xfrm>
                    <a:prstGeom prst="rect">
                      <a:avLst/>
                    </a:prstGeom>
                    <a:noFill/>
                  </pic:spPr>
                </pic:pic>
              </a:graphicData>
            </a:graphic>
          </wp:anchor>
        </w:drawing>
      </w:r>
    </w:p>
    <w:p>
      <w:pPr>
        <w:spacing w:after="0" w:line="23" w:lineRule="exact"/>
        <w:rPr>
          <w:sz w:val="20"/>
          <w:szCs w:val="20"/>
          <w:color w:val="auto"/>
        </w:rPr>
      </w:pPr>
    </w:p>
    <w:tbl>
      <w:tblPr>
        <w:tblLayout w:type="fixed"/>
        <w:tblInd w:w="720" w:type="dxa"/>
        <w:tblCellMar>
          <w:top w:w="0" w:type="dxa"/>
          <w:left w:w="0" w:type="dxa"/>
          <w:bottom w:w="0" w:type="dxa"/>
          <w:right w:w="0" w:type="dxa"/>
        </w:tblCellMar>
      </w:tblPr>
      <w:tr>
        <w:trPr>
          <w:trHeight w:val="261"/>
        </w:trPr>
        <w:tc>
          <w:tcPr>
            <w:tcW w:w="2400" w:type="dxa"/>
            <w:vAlign w:val="bottom"/>
            <w:shd w:val="clear" w:color="auto" w:fill="0063A6"/>
          </w:tcPr>
          <w:p>
            <w:pPr>
              <w:spacing w:after="0"/>
              <w:rPr>
                <w:sz w:val="22"/>
                <w:szCs w:val="22"/>
                <w:color w:val="auto"/>
              </w:rPr>
            </w:pPr>
          </w:p>
        </w:tc>
        <w:tc>
          <w:tcPr>
            <w:tcW w:w="1940" w:type="dxa"/>
            <w:vAlign w:val="bottom"/>
            <w:shd w:val="clear" w:color="auto" w:fill="0063A6"/>
          </w:tcPr>
          <w:p>
            <w:pPr>
              <w:jc w:val="center"/>
              <w:ind w:left="322"/>
              <w:spacing w:after="0"/>
              <w:rPr>
                <w:sz w:val="20"/>
                <w:szCs w:val="20"/>
                <w:color w:val="auto"/>
              </w:rPr>
            </w:pPr>
            <w:r>
              <w:rPr>
                <w:rFonts w:ascii="Arial" w:cs="Arial" w:eastAsia="Arial" w:hAnsi="Arial"/>
                <w:sz w:val="14"/>
                <w:szCs w:val="14"/>
                <w:b w:val="1"/>
                <w:bCs w:val="1"/>
                <w:color w:val="FFFFFF"/>
              </w:rPr>
              <w:t>Fees Paid</w:t>
            </w:r>
          </w:p>
        </w:tc>
        <w:tc>
          <w:tcPr>
            <w:tcW w:w="1760" w:type="dxa"/>
            <w:vAlign w:val="bottom"/>
            <w:shd w:val="clear" w:color="auto" w:fill="0063A6"/>
          </w:tcPr>
          <w:p>
            <w:pPr>
              <w:spacing w:after="0"/>
              <w:rPr>
                <w:sz w:val="22"/>
                <w:szCs w:val="22"/>
                <w:color w:val="auto"/>
              </w:rPr>
            </w:pPr>
          </w:p>
        </w:tc>
        <w:tc>
          <w:tcPr>
            <w:tcW w:w="1900" w:type="dxa"/>
            <w:vAlign w:val="bottom"/>
            <w:shd w:val="clear" w:color="auto" w:fill="0063A6"/>
          </w:tcPr>
          <w:p>
            <w:pPr>
              <w:spacing w:after="0"/>
              <w:rPr>
                <w:sz w:val="22"/>
                <w:szCs w:val="22"/>
                <w:color w:val="auto"/>
              </w:rPr>
            </w:pPr>
          </w:p>
        </w:tc>
        <w:tc>
          <w:tcPr>
            <w:tcW w:w="1560" w:type="dxa"/>
            <w:vAlign w:val="bottom"/>
            <w:shd w:val="clear" w:color="auto" w:fill="0063A6"/>
          </w:tcPr>
          <w:p>
            <w:pPr>
              <w:spacing w:after="0"/>
              <w:rPr>
                <w:sz w:val="22"/>
                <w:szCs w:val="22"/>
                <w:color w:val="auto"/>
              </w:rPr>
            </w:pPr>
          </w:p>
        </w:tc>
      </w:tr>
      <w:tr>
        <w:trPr>
          <w:trHeight w:val="162"/>
        </w:trPr>
        <w:tc>
          <w:tcPr>
            <w:tcW w:w="2400" w:type="dxa"/>
            <w:vAlign w:val="bottom"/>
            <w:shd w:val="clear" w:color="auto" w:fill="0063A6"/>
          </w:tcPr>
          <w:p>
            <w:pPr>
              <w:spacing w:after="0"/>
              <w:rPr>
                <w:sz w:val="14"/>
                <w:szCs w:val="14"/>
                <w:color w:val="auto"/>
              </w:rPr>
            </w:pPr>
          </w:p>
        </w:tc>
        <w:tc>
          <w:tcPr>
            <w:tcW w:w="1940" w:type="dxa"/>
            <w:vAlign w:val="bottom"/>
            <w:shd w:val="clear" w:color="auto" w:fill="0063A6"/>
          </w:tcPr>
          <w:p>
            <w:pPr>
              <w:jc w:val="center"/>
              <w:ind w:left="322"/>
              <w:spacing w:after="0"/>
              <w:rPr>
                <w:sz w:val="20"/>
                <w:szCs w:val="20"/>
                <w:color w:val="auto"/>
              </w:rPr>
            </w:pPr>
            <w:r>
              <w:rPr>
                <w:rFonts w:ascii="Arial" w:cs="Arial" w:eastAsia="Arial" w:hAnsi="Arial"/>
                <w:sz w:val="14"/>
                <w:szCs w:val="14"/>
                <w:b w:val="1"/>
                <w:bCs w:val="1"/>
                <w:color w:val="FFFFFF"/>
                <w:w w:val="99"/>
              </w:rPr>
              <w:t>or</w:t>
            </w:r>
          </w:p>
        </w:tc>
        <w:tc>
          <w:tcPr>
            <w:tcW w:w="1760" w:type="dxa"/>
            <w:vAlign w:val="bottom"/>
            <w:shd w:val="clear" w:color="auto" w:fill="0063A6"/>
          </w:tcPr>
          <w:p>
            <w:pPr>
              <w:spacing w:after="0"/>
              <w:rPr>
                <w:sz w:val="14"/>
                <w:szCs w:val="14"/>
                <w:color w:val="auto"/>
              </w:rPr>
            </w:pPr>
          </w:p>
        </w:tc>
        <w:tc>
          <w:tcPr>
            <w:tcW w:w="1900" w:type="dxa"/>
            <w:vAlign w:val="bottom"/>
            <w:shd w:val="clear" w:color="auto" w:fill="0063A6"/>
          </w:tcPr>
          <w:p>
            <w:pPr>
              <w:spacing w:after="0"/>
              <w:rPr>
                <w:sz w:val="14"/>
                <w:szCs w:val="14"/>
                <w:color w:val="auto"/>
              </w:rPr>
            </w:pPr>
          </w:p>
        </w:tc>
        <w:tc>
          <w:tcPr>
            <w:tcW w:w="1560" w:type="dxa"/>
            <w:vAlign w:val="bottom"/>
            <w:shd w:val="clear" w:color="auto" w:fill="0063A6"/>
          </w:tcPr>
          <w:p>
            <w:pPr>
              <w:spacing w:after="0"/>
              <w:rPr>
                <w:sz w:val="14"/>
                <w:szCs w:val="14"/>
                <w:color w:val="auto"/>
              </w:rPr>
            </w:pPr>
          </w:p>
        </w:tc>
      </w:tr>
      <w:tr>
        <w:trPr>
          <w:trHeight w:val="145"/>
        </w:trPr>
        <w:tc>
          <w:tcPr>
            <w:tcW w:w="2400" w:type="dxa"/>
            <w:vAlign w:val="bottom"/>
            <w:shd w:val="clear" w:color="auto" w:fill="0063A6"/>
          </w:tcPr>
          <w:p>
            <w:pPr>
              <w:spacing w:after="0"/>
              <w:rPr>
                <w:sz w:val="12"/>
                <w:szCs w:val="12"/>
                <w:color w:val="auto"/>
              </w:rPr>
            </w:pPr>
          </w:p>
        </w:tc>
        <w:tc>
          <w:tcPr>
            <w:tcW w:w="1940" w:type="dxa"/>
            <w:vAlign w:val="bottom"/>
            <w:shd w:val="clear" w:color="auto" w:fill="0063A6"/>
          </w:tcPr>
          <w:p>
            <w:pPr>
              <w:jc w:val="center"/>
              <w:ind w:left="322"/>
              <w:spacing w:after="0" w:line="145" w:lineRule="exact"/>
              <w:rPr>
                <w:sz w:val="20"/>
                <w:szCs w:val="20"/>
                <w:color w:val="auto"/>
              </w:rPr>
            </w:pPr>
            <w:r>
              <w:rPr>
                <w:rFonts w:ascii="Arial" w:cs="Arial" w:eastAsia="Arial" w:hAnsi="Arial"/>
                <w:sz w:val="14"/>
                <w:szCs w:val="14"/>
                <w:b w:val="1"/>
                <w:bCs w:val="1"/>
                <w:color w:val="FFFFFF"/>
              </w:rPr>
              <w:t>Earned in</w:t>
            </w:r>
          </w:p>
        </w:tc>
        <w:tc>
          <w:tcPr>
            <w:tcW w:w="1760" w:type="dxa"/>
            <w:vAlign w:val="bottom"/>
            <w:shd w:val="clear" w:color="auto" w:fill="0063A6"/>
          </w:tcPr>
          <w:p>
            <w:pPr>
              <w:jc w:val="center"/>
              <w:ind w:left="21"/>
              <w:spacing w:after="0" w:line="145" w:lineRule="exact"/>
              <w:rPr>
                <w:sz w:val="20"/>
                <w:szCs w:val="20"/>
                <w:color w:val="auto"/>
              </w:rPr>
            </w:pPr>
            <w:r>
              <w:rPr>
                <w:rFonts w:ascii="Arial" w:cs="Arial" w:eastAsia="Arial" w:hAnsi="Arial"/>
                <w:sz w:val="14"/>
                <w:szCs w:val="14"/>
                <w:b w:val="1"/>
                <w:bCs w:val="1"/>
                <w:color w:val="FFFFFF"/>
                <w:w w:val="99"/>
              </w:rPr>
              <w:t>Stock</w:t>
            </w:r>
          </w:p>
        </w:tc>
        <w:tc>
          <w:tcPr>
            <w:tcW w:w="1900" w:type="dxa"/>
            <w:vAlign w:val="bottom"/>
            <w:shd w:val="clear" w:color="auto" w:fill="0063A6"/>
          </w:tcPr>
          <w:p>
            <w:pPr>
              <w:jc w:val="center"/>
              <w:ind w:right="81"/>
              <w:spacing w:after="0" w:line="145" w:lineRule="exact"/>
              <w:rPr>
                <w:sz w:val="20"/>
                <w:szCs w:val="20"/>
                <w:color w:val="auto"/>
              </w:rPr>
            </w:pPr>
            <w:r>
              <w:rPr>
                <w:rFonts w:ascii="Arial" w:cs="Arial" w:eastAsia="Arial" w:hAnsi="Arial"/>
                <w:sz w:val="14"/>
                <w:szCs w:val="14"/>
                <w:b w:val="1"/>
                <w:bCs w:val="1"/>
                <w:color w:val="FFFFFF"/>
              </w:rPr>
              <w:t>All Other</w:t>
            </w:r>
          </w:p>
        </w:tc>
        <w:tc>
          <w:tcPr>
            <w:tcW w:w="1560" w:type="dxa"/>
            <w:vAlign w:val="bottom"/>
            <w:shd w:val="clear" w:color="auto" w:fill="0063A6"/>
          </w:tcPr>
          <w:p>
            <w:pPr>
              <w:spacing w:after="0"/>
              <w:rPr>
                <w:sz w:val="12"/>
                <w:szCs w:val="12"/>
                <w:color w:val="auto"/>
              </w:rPr>
            </w:pPr>
          </w:p>
        </w:tc>
      </w:tr>
      <w:tr>
        <w:trPr>
          <w:trHeight w:val="282"/>
        </w:trPr>
        <w:tc>
          <w:tcPr>
            <w:tcW w:w="2400" w:type="dxa"/>
            <w:vAlign w:val="bottom"/>
            <w:shd w:val="clear" w:color="auto" w:fill="0063A6"/>
          </w:tcPr>
          <w:p>
            <w:pPr>
              <w:ind w:left="80"/>
              <w:spacing w:after="0"/>
              <w:rPr>
                <w:sz w:val="20"/>
                <w:szCs w:val="20"/>
                <w:color w:val="auto"/>
              </w:rPr>
            </w:pPr>
            <w:r>
              <w:rPr>
                <w:rFonts w:ascii="Arial" w:cs="Arial" w:eastAsia="Arial" w:hAnsi="Arial"/>
                <w:sz w:val="14"/>
                <w:szCs w:val="14"/>
                <w:b w:val="1"/>
                <w:bCs w:val="1"/>
                <w:color w:val="FFFFFF"/>
              </w:rPr>
              <w:t>Name</w:t>
            </w:r>
          </w:p>
        </w:tc>
        <w:tc>
          <w:tcPr>
            <w:tcW w:w="1940" w:type="dxa"/>
            <w:vAlign w:val="bottom"/>
            <w:shd w:val="clear" w:color="auto" w:fill="0063A6"/>
          </w:tcPr>
          <w:p>
            <w:pPr>
              <w:jc w:val="right"/>
              <w:ind w:right="382"/>
              <w:spacing w:after="0"/>
              <w:rPr>
                <w:sz w:val="20"/>
                <w:szCs w:val="20"/>
                <w:color w:val="auto"/>
              </w:rPr>
            </w:pPr>
            <w:r>
              <w:rPr>
                <w:rFonts w:ascii="Arial" w:cs="Arial" w:eastAsia="Arial" w:hAnsi="Arial"/>
                <w:sz w:val="14"/>
                <w:szCs w:val="14"/>
                <w:b w:val="1"/>
                <w:bCs w:val="1"/>
                <w:color w:val="FFFFFF"/>
              </w:rPr>
              <w:t>Cash ($)</w:t>
            </w:r>
          </w:p>
        </w:tc>
        <w:tc>
          <w:tcPr>
            <w:tcW w:w="1760" w:type="dxa"/>
            <w:vAlign w:val="bottom"/>
            <w:shd w:val="clear" w:color="auto" w:fill="0063A6"/>
          </w:tcPr>
          <w:p>
            <w:pPr>
              <w:jc w:val="center"/>
              <w:ind w:left="61"/>
              <w:spacing w:after="0"/>
              <w:rPr>
                <w:sz w:val="20"/>
                <w:szCs w:val="20"/>
                <w:color w:val="auto"/>
              </w:rPr>
            </w:pPr>
            <w:r>
              <w:rPr>
                <w:rFonts w:ascii="Arial" w:cs="Arial" w:eastAsia="Arial" w:hAnsi="Arial"/>
                <w:sz w:val="14"/>
                <w:szCs w:val="14"/>
                <w:b w:val="1"/>
                <w:bCs w:val="1"/>
                <w:color w:val="FFFFFF"/>
                <w:w w:val="93"/>
              </w:rPr>
              <w:t>Awards ($)</w:t>
            </w:r>
            <w:r>
              <w:rPr>
                <w:rFonts w:ascii="Arial" w:cs="Arial" w:eastAsia="Arial" w:hAnsi="Arial"/>
                <w:sz w:val="23"/>
                <w:szCs w:val="23"/>
                <w:b w:val="1"/>
                <w:bCs w:val="1"/>
                <w:color w:val="FFFFFF"/>
                <w:w w:val="93"/>
                <w:vertAlign w:val="superscript"/>
              </w:rPr>
              <w:t>(1)(2)</w:t>
            </w:r>
          </w:p>
        </w:tc>
        <w:tc>
          <w:tcPr>
            <w:tcW w:w="1900" w:type="dxa"/>
            <w:vAlign w:val="bottom"/>
            <w:shd w:val="clear" w:color="auto" w:fill="0063A6"/>
          </w:tcPr>
          <w:p>
            <w:pPr>
              <w:jc w:val="center"/>
              <w:ind w:right="41"/>
              <w:spacing w:after="0"/>
              <w:rPr>
                <w:sz w:val="20"/>
                <w:szCs w:val="20"/>
                <w:color w:val="auto"/>
              </w:rPr>
            </w:pPr>
            <w:r>
              <w:rPr>
                <w:rFonts w:ascii="Arial" w:cs="Arial" w:eastAsia="Arial" w:hAnsi="Arial"/>
                <w:sz w:val="14"/>
                <w:szCs w:val="14"/>
                <w:b w:val="1"/>
                <w:bCs w:val="1"/>
                <w:color w:val="FFFFFF"/>
              </w:rPr>
              <w:t>Compensation ($)</w:t>
            </w:r>
          </w:p>
        </w:tc>
        <w:tc>
          <w:tcPr>
            <w:tcW w:w="1560" w:type="dxa"/>
            <w:vAlign w:val="bottom"/>
            <w:shd w:val="clear" w:color="auto" w:fill="0063A6"/>
          </w:tcPr>
          <w:p>
            <w:pPr>
              <w:ind w:left="420"/>
              <w:spacing w:after="0"/>
              <w:rPr>
                <w:sz w:val="20"/>
                <w:szCs w:val="20"/>
                <w:color w:val="auto"/>
              </w:rPr>
            </w:pPr>
            <w:r>
              <w:rPr>
                <w:rFonts w:ascii="Arial" w:cs="Arial" w:eastAsia="Arial" w:hAnsi="Arial"/>
                <w:sz w:val="14"/>
                <w:szCs w:val="14"/>
                <w:b w:val="1"/>
                <w:bCs w:val="1"/>
                <w:color w:val="FFFFFF"/>
              </w:rPr>
              <w:t>Total ($)</w:t>
            </w:r>
          </w:p>
        </w:tc>
      </w:tr>
      <w:tr>
        <w:trPr>
          <w:trHeight w:val="295"/>
        </w:trPr>
        <w:tc>
          <w:tcPr>
            <w:tcW w:w="2400" w:type="dxa"/>
            <w:vAlign w:val="bottom"/>
            <w:shd w:val="clear" w:color="auto" w:fill="F2F2F2"/>
          </w:tcPr>
          <w:p>
            <w:pPr>
              <w:ind w:left="80"/>
              <w:spacing w:after="0"/>
              <w:rPr>
                <w:sz w:val="20"/>
                <w:szCs w:val="20"/>
                <w:color w:val="auto"/>
              </w:rPr>
            </w:pPr>
            <w:r>
              <w:rPr>
                <w:rFonts w:ascii="Arial" w:cs="Arial" w:eastAsia="Arial" w:hAnsi="Arial"/>
                <w:sz w:val="16"/>
                <w:szCs w:val="16"/>
                <w:color w:val="auto"/>
              </w:rPr>
              <w:t>Donald W. Blair</w:t>
            </w:r>
          </w:p>
        </w:tc>
        <w:tc>
          <w:tcPr>
            <w:tcW w:w="1940" w:type="dxa"/>
            <w:vAlign w:val="bottom"/>
            <w:shd w:val="clear" w:color="auto" w:fill="F2F2F2"/>
          </w:tcPr>
          <w:p>
            <w:pPr>
              <w:jc w:val="right"/>
              <w:ind w:right="382"/>
              <w:spacing w:after="0"/>
              <w:rPr>
                <w:sz w:val="20"/>
                <w:szCs w:val="20"/>
                <w:color w:val="auto"/>
              </w:rPr>
            </w:pPr>
            <w:r>
              <w:rPr>
                <w:rFonts w:ascii="Arial" w:cs="Arial" w:eastAsia="Arial" w:hAnsi="Arial"/>
                <w:sz w:val="16"/>
                <w:szCs w:val="16"/>
                <w:color w:val="auto"/>
              </w:rPr>
              <w:t>115,000</w:t>
            </w:r>
          </w:p>
        </w:tc>
        <w:tc>
          <w:tcPr>
            <w:tcW w:w="1760" w:type="dxa"/>
            <w:vAlign w:val="bottom"/>
            <w:shd w:val="clear" w:color="auto" w:fill="F2F2F2"/>
          </w:tcPr>
          <w:p>
            <w:pPr>
              <w:jc w:val="center"/>
              <w:ind w:left="61"/>
              <w:spacing w:after="0"/>
              <w:rPr>
                <w:sz w:val="20"/>
                <w:szCs w:val="20"/>
                <w:color w:val="auto"/>
              </w:rPr>
            </w:pPr>
            <w:r>
              <w:rPr>
                <w:rFonts w:ascii="Arial" w:cs="Arial" w:eastAsia="Arial" w:hAnsi="Arial"/>
                <w:sz w:val="16"/>
                <w:szCs w:val="16"/>
                <w:color w:val="auto"/>
              </w:rPr>
              <w:t>246,257</w:t>
            </w:r>
          </w:p>
        </w:tc>
        <w:tc>
          <w:tcPr>
            <w:tcW w:w="1900" w:type="dxa"/>
            <w:vAlign w:val="bottom"/>
            <w:shd w:val="clear" w:color="auto" w:fill="F2F2F2"/>
          </w:tcPr>
          <w:p>
            <w:pPr>
              <w:jc w:val="center"/>
              <w:ind w:right="21"/>
              <w:spacing w:after="0"/>
              <w:rPr>
                <w:sz w:val="20"/>
                <w:szCs w:val="20"/>
                <w:color w:val="auto"/>
              </w:rPr>
            </w:pPr>
            <w:r>
              <w:rPr>
                <w:rFonts w:ascii="Arial" w:cs="Arial" w:eastAsia="Arial" w:hAnsi="Arial"/>
                <w:sz w:val="16"/>
                <w:szCs w:val="16"/>
                <w:color w:val="auto"/>
                <w:w w:val="99"/>
              </w:rPr>
              <w:t>—</w:t>
            </w:r>
          </w:p>
        </w:tc>
        <w:tc>
          <w:tcPr>
            <w:tcW w:w="1560" w:type="dxa"/>
            <w:vAlign w:val="bottom"/>
            <w:shd w:val="clear" w:color="auto" w:fill="F2F2F2"/>
          </w:tcPr>
          <w:p>
            <w:pPr>
              <w:ind w:left="400"/>
              <w:spacing w:after="0"/>
              <w:rPr>
                <w:sz w:val="20"/>
                <w:szCs w:val="20"/>
                <w:color w:val="auto"/>
              </w:rPr>
            </w:pPr>
            <w:r>
              <w:rPr>
                <w:rFonts w:ascii="Arial" w:cs="Arial" w:eastAsia="Arial" w:hAnsi="Arial"/>
                <w:sz w:val="16"/>
                <w:szCs w:val="16"/>
                <w:color w:val="auto"/>
              </w:rPr>
              <w:t>361,257</w:t>
            </w:r>
          </w:p>
        </w:tc>
      </w:tr>
      <w:tr>
        <w:trPr>
          <w:trHeight w:val="83"/>
        </w:trPr>
        <w:tc>
          <w:tcPr>
            <w:tcW w:w="2400" w:type="dxa"/>
            <w:vAlign w:val="bottom"/>
            <w:shd w:val="clear" w:color="auto" w:fill="F2F2F2"/>
          </w:tcPr>
          <w:p>
            <w:pPr>
              <w:spacing w:after="0"/>
              <w:rPr>
                <w:sz w:val="7"/>
                <w:szCs w:val="7"/>
                <w:color w:val="auto"/>
              </w:rPr>
            </w:pPr>
          </w:p>
        </w:tc>
        <w:tc>
          <w:tcPr>
            <w:tcW w:w="1940" w:type="dxa"/>
            <w:vAlign w:val="bottom"/>
            <w:shd w:val="clear" w:color="auto" w:fill="F2F2F2"/>
          </w:tcPr>
          <w:p>
            <w:pPr>
              <w:spacing w:after="0"/>
              <w:rPr>
                <w:sz w:val="7"/>
                <w:szCs w:val="7"/>
                <w:color w:val="auto"/>
              </w:rPr>
            </w:pPr>
          </w:p>
        </w:tc>
        <w:tc>
          <w:tcPr>
            <w:tcW w:w="1760" w:type="dxa"/>
            <w:vAlign w:val="bottom"/>
            <w:shd w:val="clear" w:color="auto" w:fill="F2F2F2"/>
          </w:tcPr>
          <w:p>
            <w:pPr>
              <w:spacing w:after="0"/>
              <w:rPr>
                <w:sz w:val="7"/>
                <w:szCs w:val="7"/>
                <w:color w:val="auto"/>
              </w:rPr>
            </w:pPr>
          </w:p>
        </w:tc>
        <w:tc>
          <w:tcPr>
            <w:tcW w:w="1900" w:type="dxa"/>
            <w:vAlign w:val="bottom"/>
            <w:shd w:val="clear" w:color="auto" w:fill="F2F2F2"/>
          </w:tcPr>
          <w:p>
            <w:pPr>
              <w:spacing w:after="0"/>
              <w:rPr>
                <w:sz w:val="7"/>
                <w:szCs w:val="7"/>
                <w:color w:val="auto"/>
              </w:rPr>
            </w:pPr>
          </w:p>
        </w:tc>
        <w:tc>
          <w:tcPr>
            <w:tcW w:w="1560" w:type="dxa"/>
            <w:vAlign w:val="bottom"/>
            <w:shd w:val="clear" w:color="auto" w:fill="F2F2F2"/>
          </w:tcPr>
          <w:p>
            <w:pPr>
              <w:spacing w:after="0"/>
              <w:rPr>
                <w:sz w:val="7"/>
                <w:szCs w:val="7"/>
                <w:color w:val="auto"/>
              </w:rPr>
            </w:pPr>
          </w:p>
        </w:tc>
      </w:tr>
      <w:tr>
        <w:trPr>
          <w:trHeight w:val="295"/>
        </w:trPr>
        <w:tc>
          <w:tcPr>
            <w:tcW w:w="2400" w:type="dxa"/>
            <w:vAlign w:val="bottom"/>
          </w:tcPr>
          <w:p>
            <w:pPr>
              <w:ind w:left="80"/>
              <w:spacing w:after="0"/>
              <w:rPr>
                <w:sz w:val="20"/>
                <w:szCs w:val="20"/>
                <w:color w:val="auto"/>
              </w:rPr>
            </w:pPr>
            <w:r>
              <w:rPr>
                <w:rFonts w:ascii="Arial" w:cs="Arial" w:eastAsia="Arial" w:hAnsi="Arial"/>
                <w:sz w:val="16"/>
                <w:szCs w:val="16"/>
                <w:color w:val="auto"/>
              </w:rPr>
              <w:t>Lisa Campbell</w:t>
            </w:r>
          </w:p>
        </w:tc>
        <w:tc>
          <w:tcPr>
            <w:tcW w:w="1940" w:type="dxa"/>
            <w:vAlign w:val="bottom"/>
          </w:tcPr>
          <w:p>
            <w:pPr>
              <w:jc w:val="right"/>
              <w:ind w:right="402"/>
              <w:spacing w:after="0"/>
              <w:rPr>
                <w:sz w:val="20"/>
                <w:szCs w:val="20"/>
                <w:color w:val="auto"/>
              </w:rPr>
            </w:pPr>
            <w:r>
              <w:rPr>
                <w:rFonts w:ascii="Arial" w:cs="Arial" w:eastAsia="Arial" w:hAnsi="Arial"/>
                <w:sz w:val="16"/>
                <w:szCs w:val="16"/>
                <w:color w:val="auto"/>
              </w:rPr>
              <w:t>67,500</w:t>
            </w:r>
          </w:p>
        </w:tc>
        <w:tc>
          <w:tcPr>
            <w:tcW w:w="1760" w:type="dxa"/>
            <w:vAlign w:val="bottom"/>
          </w:tcPr>
          <w:p>
            <w:pPr>
              <w:jc w:val="center"/>
              <w:ind w:left="61"/>
              <w:spacing w:after="0"/>
              <w:rPr>
                <w:sz w:val="20"/>
                <w:szCs w:val="20"/>
                <w:color w:val="auto"/>
              </w:rPr>
            </w:pPr>
            <w:r>
              <w:rPr>
                <w:rFonts w:ascii="Arial" w:cs="Arial" w:eastAsia="Arial" w:hAnsi="Arial"/>
                <w:sz w:val="16"/>
                <w:szCs w:val="16"/>
                <w:color w:val="auto"/>
              </w:rPr>
              <w:t>246,257</w:t>
            </w:r>
          </w:p>
        </w:tc>
        <w:tc>
          <w:tcPr>
            <w:tcW w:w="1900" w:type="dxa"/>
            <w:vAlign w:val="bottom"/>
          </w:tcPr>
          <w:p>
            <w:pPr>
              <w:jc w:val="center"/>
              <w:ind w:right="21"/>
              <w:spacing w:after="0"/>
              <w:rPr>
                <w:sz w:val="20"/>
                <w:szCs w:val="20"/>
                <w:color w:val="auto"/>
              </w:rPr>
            </w:pPr>
            <w:r>
              <w:rPr>
                <w:rFonts w:ascii="Arial" w:cs="Arial" w:eastAsia="Arial" w:hAnsi="Arial"/>
                <w:sz w:val="16"/>
                <w:szCs w:val="16"/>
                <w:color w:val="auto"/>
                <w:w w:val="99"/>
              </w:rPr>
              <w:t>—</w:t>
            </w:r>
          </w:p>
        </w:tc>
        <w:tc>
          <w:tcPr>
            <w:tcW w:w="1560" w:type="dxa"/>
            <w:vAlign w:val="bottom"/>
          </w:tcPr>
          <w:p>
            <w:pPr>
              <w:ind w:left="400"/>
              <w:spacing w:after="0"/>
              <w:rPr>
                <w:sz w:val="20"/>
                <w:szCs w:val="20"/>
                <w:color w:val="auto"/>
              </w:rPr>
            </w:pPr>
            <w:r>
              <w:rPr>
                <w:rFonts w:ascii="Arial" w:cs="Arial" w:eastAsia="Arial" w:hAnsi="Arial"/>
                <w:sz w:val="16"/>
                <w:szCs w:val="16"/>
                <w:color w:val="auto"/>
              </w:rPr>
              <w:t>313,757</w:t>
            </w:r>
          </w:p>
        </w:tc>
      </w:tr>
      <w:tr>
        <w:trPr>
          <w:trHeight w:val="83"/>
        </w:trPr>
        <w:tc>
          <w:tcPr>
            <w:tcW w:w="2400" w:type="dxa"/>
            <w:vAlign w:val="bottom"/>
          </w:tcPr>
          <w:p>
            <w:pPr>
              <w:spacing w:after="0"/>
              <w:rPr>
                <w:sz w:val="7"/>
                <w:szCs w:val="7"/>
                <w:color w:val="auto"/>
              </w:rPr>
            </w:pPr>
          </w:p>
        </w:tc>
        <w:tc>
          <w:tcPr>
            <w:tcW w:w="1940" w:type="dxa"/>
            <w:vAlign w:val="bottom"/>
          </w:tcPr>
          <w:p>
            <w:pPr>
              <w:spacing w:after="0"/>
              <w:rPr>
                <w:sz w:val="7"/>
                <w:szCs w:val="7"/>
                <w:color w:val="auto"/>
              </w:rPr>
            </w:pPr>
          </w:p>
        </w:tc>
        <w:tc>
          <w:tcPr>
            <w:tcW w:w="1760" w:type="dxa"/>
            <w:vAlign w:val="bottom"/>
          </w:tcPr>
          <w:p>
            <w:pPr>
              <w:spacing w:after="0"/>
              <w:rPr>
                <w:sz w:val="7"/>
                <w:szCs w:val="7"/>
                <w:color w:val="auto"/>
              </w:rPr>
            </w:pPr>
          </w:p>
        </w:tc>
        <w:tc>
          <w:tcPr>
            <w:tcW w:w="1900" w:type="dxa"/>
            <w:vAlign w:val="bottom"/>
          </w:tcPr>
          <w:p>
            <w:pPr>
              <w:spacing w:after="0"/>
              <w:rPr>
                <w:sz w:val="7"/>
                <w:szCs w:val="7"/>
                <w:color w:val="auto"/>
              </w:rPr>
            </w:pPr>
          </w:p>
        </w:tc>
        <w:tc>
          <w:tcPr>
            <w:tcW w:w="1560" w:type="dxa"/>
            <w:vAlign w:val="bottom"/>
          </w:tcPr>
          <w:p>
            <w:pPr>
              <w:spacing w:after="0"/>
              <w:rPr>
                <w:sz w:val="7"/>
                <w:szCs w:val="7"/>
                <w:color w:val="auto"/>
              </w:rPr>
            </w:pPr>
          </w:p>
        </w:tc>
      </w:tr>
      <w:tr>
        <w:trPr>
          <w:trHeight w:val="295"/>
        </w:trPr>
        <w:tc>
          <w:tcPr>
            <w:tcW w:w="2400" w:type="dxa"/>
            <w:vAlign w:val="bottom"/>
            <w:shd w:val="clear" w:color="auto" w:fill="F2F2F2"/>
          </w:tcPr>
          <w:p>
            <w:pPr>
              <w:ind w:left="80"/>
              <w:spacing w:after="0"/>
              <w:rPr>
                <w:sz w:val="20"/>
                <w:szCs w:val="20"/>
                <w:color w:val="auto"/>
              </w:rPr>
            </w:pPr>
            <w:r>
              <w:rPr>
                <w:rFonts w:ascii="Arial" w:cs="Arial" w:eastAsia="Arial" w:hAnsi="Arial"/>
                <w:sz w:val="16"/>
                <w:szCs w:val="16"/>
                <w:color w:val="auto"/>
              </w:rPr>
              <w:t>Paul E. Jacobs</w:t>
            </w:r>
          </w:p>
        </w:tc>
        <w:tc>
          <w:tcPr>
            <w:tcW w:w="1940" w:type="dxa"/>
            <w:vAlign w:val="bottom"/>
            <w:shd w:val="clear" w:color="auto" w:fill="F2F2F2"/>
          </w:tcPr>
          <w:p>
            <w:pPr>
              <w:jc w:val="right"/>
              <w:ind w:right="402"/>
              <w:spacing w:after="0"/>
              <w:rPr>
                <w:sz w:val="20"/>
                <w:szCs w:val="20"/>
                <w:color w:val="auto"/>
              </w:rPr>
            </w:pPr>
            <w:r>
              <w:rPr>
                <w:rFonts w:ascii="Arial" w:cs="Arial" w:eastAsia="Arial" w:hAnsi="Arial"/>
                <w:sz w:val="16"/>
                <w:szCs w:val="16"/>
                <w:color w:val="auto"/>
              </w:rPr>
              <w:t>65,000</w:t>
            </w:r>
          </w:p>
        </w:tc>
        <w:tc>
          <w:tcPr>
            <w:tcW w:w="1760" w:type="dxa"/>
            <w:vAlign w:val="bottom"/>
            <w:shd w:val="clear" w:color="auto" w:fill="F2F2F2"/>
          </w:tcPr>
          <w:p>
            <w:pPr>
              <w:jc w:val="center"/>
              <w:ind w:left="61"/>
              <w:spacing w:after="0"/>
              <w:rPr>
                <w:sz w:val="20"/>
                <w:szCs w:val="20"/>
                <w:color w:val="auto"/>
              </w:rPr>
            </w:pPr>
            <w:r>
              <w:rPr>
                <w:rFonts w:ascii="Arial" w:cs="Arial" w:eastAsia="Arial" w:hAnsi="Arial"/>
                <w:sz w:val="16"/>
                <w:szCs w:val="16"/>
                <w:color w:val="auto"/>
              </w:rPr>
              <w:t>246,257</w:t>
            </w:r>
          </w:p>
        </w:tc>
        <w:tc>
          <w:tcPr>
            <w:tcW w:w="1900" w:type="dxa"/>
            <w:vAlign w:val="bottom"/>
            <w:shd w:val="clear" w:color="auto" w:fill="F2F2F2"/>
          </w:tcPr>
          <w:p>
            <w:pPr>
              <w:jc w:val="center"/>
              <w:ind w:right="21"/>
              <w:spacing w:after="0"/>
              <w:rPr>
                <w:sz w:val="20"/>
                <w:szCs w:val="20"/>
                <w:color w:val="auto"/>
              </w:rPr>
            </w:pPr>
            <w:r>
              <w:rPr>
                <w:rFonts w:ascii="Arial" w:cs="Arial" w:eastAsia="Arial" w:hAnsi="Arial"/>
                <w:sz w:val="16"/>
                <w:szCs w:val="16"/>
                <w:color w:val="auto"/>
                <w:w w:val="99"/>
              </w:rPr>
              <w:t>—</w:t>
            </w:r>
          </w:p>
        </w:tc>
        <w:tc>
          <w:tcPr>
            <w:tcW w:w="1560" w:type="dxa"/>
            <w:vAlign w:val="bottom"/>
            <w:shd w:val="clear" w:color="auto" w:fill="F2F2F2"/>
          </w:tcPr>
          <w:p>
            <w:pPr>
              <w:ind w:left="400"/>
              <w:spacing w:after="0"/>
              <w:rPr>
                <w:sz w:val="20"/>
                <w:szCs w:val="20"/>
                <w:color w:val="auto"/>
              </w:rPr>
            </w:pPr>
            <w:r>
              <w:rPr>
                <w:rFonts w:ascii="Arial" w:cs="Arial" w:eastAsia="Arial" w:hAnsi="Arial"/>
                <w:sz w:val="16"/>
                <w:szCs w:val="16"/>
                <w:color w:val="auto"/>
              </w:rPr>
              <w:t>311,257</w:t>
            </w:r>
          </w:p>
        </w:tc>
      </w:tr>
      <w:tr>
        <w:trPr>
          <w:trHeight w:val="83"/>
        </w:trPr>
        <w:tc>
          <w:tcPr>
            <w:tcW w:w="2400" w:type="dxa"/>
            <w:vAlign w:val="bottom"/>
            <w:shd w:val="clear" w:color="auto" w:fill="F2F2F2"/>
          </w:tcPr>
          <w:p>
            <w:pPr>
              <w:spacing w:after="0"/>
              <w:rPr>
                <w:sz w:val="7"/>
                <w:szCs w:val="7"/>
                <w:color w:val="auto"/>
              </w:rPr>
            </w:pPr>
          </w:p>
        </w:tc>
        <w:tc>
          <w:tcPr>
            <w:tcW w:w="1940" w:type="dxa"/>
            <w:vAlign w:val="bottom"/>
            <w:shd w:val="clear" w:color="auto" w:fill="F2F2F2"/>
          </w:tcPr>
          <w:p>
            <w:pPr>
              <w:spacing w:after="0"/>
              <w:rPr>
                <w:sz w:val="7"/>
                <w:szCs w:val="7"/>
                <w:color w:val="auto"/>
              </w:rPr>
            </w:pPr>
          </w:p>
        </w:tc>
        <w:tc>
          <w:tcPr>
            <w:tcW w:w="1760" w:type="dxa"/>
            <w:vAlign w:val="bottom"/>
            <w:shd w:val="clear" w:color="auto" w:fill="F2F2F2"/>
          </w:tcPr>
          <w:p>
            <w:pPr>
              <w:spacing w:after="0"/>
              <w:rPr>
                <w:sz w:val="7"/>
                <w:szCs w:val="7"/>
                <w:color w:val="auto"/>
              </w:rPr>
            </w:pPr>
          </w:p>
        </w:tc>
        <w:tc>
          <w:tcPr>
            <w:tcW w:w="1900" w:type="dxa"/>
            <w:vAlign w:val="bottom"/>
            <w:shd w:val="clear" w:color="auto" w:fill="F2F2F2"/>
          </w:tcPr>
          <w:p>
            <w:pPr>
              <w:spacing w:after="0"/>
              <w:rPr>
                <w:sz w:val="7"/>
                <w:szCs w:val="7"/>
                <w:color w:val="auto"/>
              </w:rPr>
            </w:pPr>
          </w:p>
        </w:tc>
        <w:tc>
          <w:tcPr>
            <w:tcW w:w="1560" w:type="dxa"/>
            <w:vAlign w:val="bottom"/>
            <w:shd w:val="clear" w:color="auto" w:fill="F2F2F2"/>
          </w:tcPr>
          <w:p>
            <w:pPr>
              <w:spacing w:after="0"/>
              <w:rPr>
                <w:sz w:val="7"/>
                <w:szCs w:val="7"/>
                <w:color w:val="auto"/>
              </w:rPr>
            </w:pPr>
          </w:p>
        </w:tc>
      </w:tr>
      <w:tr>
        <w:trPr>
          <w:trHeight w:val="378"/>
        </w:trPr>
        <w:tc>
          <w:tcPr>
            <w:tcW w:w="2400" w:type="dxa"/>
            <w:vAlign w:val="bottom"/>
          </w:tcPr>
          <w:p>
            <w:pPr>
              <w:ind w:left="80"/>
              <w:spacing w:after="0"/>
              <w:rPr>
                <w:sz w:val="20"/>
                <w:szCs w:val="20"/>
                <w:color w:val="auto"/>
              </w:rPr>
            </w:pPr>
            <w:r>
              <w:rPr>
                <w:rFonts w:ascii="Arial" w:cs="Arial" w:eastAsia="Arial" w:hAnsi="Arial"/>
                <w:sz w:val="16"/>
                <w:szCs w:val="16"/>
                <w:color w:val="auto"/>
              </w:rPr>
              <w:t>Sara Mathew</w:t>
            </w:r>
            <w:r>
              <w:rPr>
                <w:rFonts w:ascii="Arial" w:cs="Arial" w:eastAsia="Arial" w:hAnsi="Arial"/>
                <w:sz w:val="26"/>
                <w:szCs w:val="26"/>
                <w:color w:val="auto"/>
                <w:vertAlign w:val="superscript"/>
              </w:rPr>
              <w:t>(3)</w:t>
            </w:r>
          </w:p>
        </w:tc>
        <w:tc>
          <w:tcPr>
            <w:tcW w:w="1940" w:type="dxa"/>
            <w:vAlign w:val="bottom"/>
          </w:tcPr>
          <w:p>
            <w:pPr>
              <w:jc w:val="right"/>
              <w:ind w:right="402"/>
              <w:spacing w:after="0"/>
              <w:rPr>
                <w:sz w:val="20"/>
                <w:szCs w:val="20"/>
                <w:color w:val="auto"/>
              </w:rPr>
            </w:pPr>
            <w:r>
              <w:rPr>
                <w:rFonts w:ascii="Arial" w:cs="Arial" w:eastAsia="Arial" w:hAnsi="Arial"/>
                <w:sz w:val="16"/>
                <w:szCs w:val="16"/>
                <w:color w:val="auto"/>
              </w:rPr>
              <w:t>12,863</w:t>
            </w:r>
          </w:p>
        </w:tc>
        <w:tc>
          <w:tcPr>
            <w:tcW w:w="1760" w:type="dxa"/>
            <w:vAlign w:val="bottom"/>
          </w:tcPr>
          <w:p>
            <w:pPr>
              <w:jc w:val="center"/>
              <w:ind w:left="61"/>
              <w:spacing w:after="0"/>
              <w:rPr>
                <w:sz w:val="20"/>
                <w:szCs w:val="20"/>
                <w:color w:val="auto"/>
              </w:rPr>
            </w:pPr>
            <w:r>
              <w:rPr>
                <w:rFonts w:ascii="Arial" w:cs="Arial" w:eastAsia="Arial" w:hAnsi="Arial"/>
                <w:sz w:val="16"/>
                <w:szCs w:val="16"/>
                <w:color w:val="auto"/>
              </w:rPr>
              <w:t>202,927</w:t>
            </w:r>
          </w:p>
        </w:tc>
        <w:tc>
          <w:tcPr>
            <w:tcW w:w="1900" w:type="dxa"/>
            <w:vAlign w:val="bottom"/>
          </w:tcPr>
          <w:p>
            <w:pPr>
              <w:jc w:val="center"/>
              <w:ind w:right="21"/>
              <w:spacing w:after="0"/>
              <w:rPr>
                <w:sz w:val="20"/>
                <w:szCs w:val="20"/>
                <w:color w:val="auto"/>
              </w:rPr>
            </w:pPr>
            <w:r>
              <w:rPr>
                <w:rFonts w:ascii="Arial" w:cs="Arial" w:eastAsia="Arial" w:hAnsi="Arial"/>
                <w:sz w:val="16"/>
                <w:szCs w:val="16"/>
                <w:color w:val="auto"/>
                <w:w w:val="99"/>
              </w:rPr>
              <w:t>—</w:t>
            </w:r>
          </w:p>
        </w:tc>
        <w:tc>
          <w:tcPr>
            <w:tcW w:w="1560" w:type="dxa"/>
            <w:vAlign w:val="bottom"/>
          </w:tcPr>
          <w:p>
            <w:pPr>
              <w:ind w:left="400"/>
              <w:spacing w:after="0"/>
              <w:rPr>
                <w:sz w:val="20"/>
                <w:szCs w:val="20"/>
                <w:color w:val="auto"/>
              </w:rPr>
            </w:pPr>
            <w:r>
              <w:rPr>
                <w:rFonts w:ascii="Arial" w:cs="Arial" w:eastAsia="Arial" w:hAnsi="Arial"/>
                <w:sz w:val="16"/>
                <w:szCs w:val="16"/>
                <w:color w:val="auto"/>
              </w:rPr>
              <w:t>215,790</w:t>
            </w:r>
          </w:p>
        </w:tc>
      </w:tr>
      <w:tr>
        <w:trPr>
          <w:trHeight w:val="378"/>
        </w:trPr>
        <w:tc>
          <w:tcPr>
            <w:tcW w:w="2400" w:type="dxa"/>
            <w:vAlign w:val="bottom"/>
            <w:shd w:val="clear" w:color="auto" w:fill="F2F2F2"/>
          </w:tcPr>
          <w:p>
            <w:pPr>
              <w:ind w:left="80"/>
              <w:spacing w:after="0"/>
              <w:rPr>
                <w:sz w:val="20"/>
                <w:szCs w:val="20"/>
                <w:color w:val="auto"/>
              </w:rPr>
            </w:pPr>
            <w:r>
              <w:rPr>
                <w:rFonts w:ascii="Arial" w:cs="Arial" w:eastAsia="Arial" w:hAnsi="Arial"/>
                <w:sz w:val="16"/>
                <w:szCs w:val="16"/>
                <w:color w:val="auto"/>
              </w:rPr>
              <w:t>Robert Mylod</w:t>
            </w:r>
            <w:r>
              <w:rPr>
                <w:rFonts w:ascii="Arial" w:cs="Arial" w:eastAsia="Arial" w:hAnsi="Arial"/>
                <w:sz w:val="26"/>
                <w:szCs w:val="26"/>
                <w:color w:val="auto"/>
                <w:vertAlign w:val="superscript"/>
              </w:rPr>
              <w:t>(4)</w:t>
            </w:r>
          </w:p>
        </w:tc>
        <w:tc>
          <w:tcPr>
            <w:tcW w:w="1940" w:type="dxa"/>
            <w:vAlign w:val="bottom"/>
            <w:shd w:val="clear" w:color="auto" w:fill="F2F2F2"/>
          </w:tcPr>
          <w:p>
            <w:pPr>
              <w:jc w:val="right"/>
              <w:ind w:right="402"/>
              <w:spacing w:after="0"/>
              <w:rPr>
                <w:sz w:val="20"/>
                <w:szCs w:val="20"/>
                <w:color w:val="auto"/>
              </w:rPr>
            </w:pPr>
            <w:r>
              <w:rPr>
                <w:rFonts w:ascii="Arial" w:cs="Arial" w:eastAsia="Arial" w:hAnsi="Arial"/>
                <w:sz w:val="16"/>
                <w:szCs w:val="16"/>
                <w:color w:val="auto"/>
              </w:rPr>
              <w:t>59,637</w:t>
            </w:r>
          </w:p>
        </w:tc>
        <w:tc>
          <w:tcPr>
            <w:tcW w:w="1760" w:type="dxa"/>
            <w:vAlign w:val="bottom"/>
            <w:shd w:val="clear" w:color="auto" w:fill="F2F2F2"/>
          </w:tcPr>
          <w:p>
            <w:pPr>
              <w:jc w:val="center"/>
              <w:ind w:left="61"/>
              <w:spacing w:after="0"/>
              <w:rPr>
                <w:sz w:val="20"/>
                <w:szCs w:val="20"/>
                <w:color w:val="auto"/>
              </w:rPr>
            </w:pPr>
            <w:r>
              <w:rPr>
                <w:rFonts w:ascii="Arial" w:cs="Arial" w:eastAsia="Arial" w:hAnsi="Arial"/>
                <w:sz w:val="16"/>
                <w:szCs w:val="16"/>
                <w:color w:val="auto"/>
              </w:rPr>
              <w:t>246,257</w:t>
            </w:r>
          </w:p>
        </w:tc>
        <w:tc>
          <w:tcPr>
            <w:tcW w:w="1900" w:type="dxa"/>
            <w:vAlign w:val="bottom"/>
            <w:shd w:val="clear" w:color="auto" w:fill="F2F2F2"/>
          </w:tcPr>
          <w:p>
            <w:pPr>
              <w:jc w:val="center"/>
              <w:ind w:right="41"/>
              <w:spacing w:after="0"/>
              <w:rPr>
                <w:sz w:val="20"/>
                <w:szCs w:val="20"/>
                <w:color w:val="auto"/>
              </w:rPr>
            </w:pPr>
            <w:r>
              <w:rPr>
                <w:rFonts w:ascii="Arial" w:cs="Arial" w:eastAsia="Arial" w:hAnsi="Arial"/>
                <w:sz w:val="16"/>
                <w:szCs w:val="16"/>
                <w:color w:val="auto"/>
              </w:rPr>
              <w:t>305,894</w:t>
            </w:r>
          </w:p>
        </w:tc>
        <w:tc>
          <w:tcPr>
            <w:tcW w:w="1560" w:type="dxa"/>
            <w:vAlign w:val="bottom"/>
            <w:shd w:val="clear" w:color="auto" w:fill="F2F2F2"/>
          </w:tcPr>
          <w:p>
            <w:pPr>
              <w:spacing w:after="0"/>
              <w:rPr>
                <w:sz w:val="24"/>
                <w:szCs w:val="24"/>
                <w:color w:val="auto"/>
              </w:rPr>
            </w:pPr>
          </w:p>
        </w:tc>
      </w:tr>
      <w:tr>
        <w:trPr>
          <w:trHeight w:val="295"/>
        </w:trPr>
        <w:tc>
          <w:tcPr>
            <w:tcW w:w="2400" w:type="dxa"/>
            <w:vAlign w:val="bottom"/>
          </w:tcPr>
          <w:p>
            <w:pPr>
              <w:ind w:left="80"/>
              <w:spacing w:after="0"/>
              <w:rPr>
                <w:sz w:val="20"/>
                <w:szCs w:val="20"/>
                <w:color w:val="auto"/>
              </w:rPr>
            </w:pPr>
            <w:r>
              <w:rPr>
                <w:rFonts w:ascii="Arial" w:cs="Arial" w:eastAsia="Arial" w:hAnsi="Arial"/>
                <w:sz w:val="16"/>
                <w:szCs w:val="16"/>
                <w:color w:val="auto"/>
              </w:rPr>
              <w:t>Karen Peacock</w:t>
            </w:r>
          </w:p>
        </w:tc>
        <w:tc>
          <w:tcPr>
            <w:tcW w:w="1940" w:type="dxa"/>
            <w:vAlign w:val="bottom"/>
          </w:tcPr>
          <w:p>
            <w:pPr>
              <w:jc w:val="right"/>
              <w:ind w:right="402"/>
              <w:spacing w:after="0"/>
              <w:rPr>
                <w:sz w:val="20"/>
                <w:szCs w:val="20"/>
                <w:color w:val="auto"/>
              </w:rPr>
            </w:pPr>
            <w:r>
              <w:rPr>
                <w:rFonts w:ascii="Arial" w:cs="Arial" w:eastAsia="Arial" w:hAnsi="Arial"/>
                <w:sz w:val="16"/>
                <w:szCs w:val="16"/>
                <w:color w:val="auto"/>
              </w:rPr>
              <w:t>63,629</w:t>
            </w:r>
          </w:p>
        </w:tc>
        <w:tc>
          <w:tcPr>
            <w:tcW w:w="1760" w:type="dxa"/>
            <w:vAlign w:val="bottom"/>
          </w:tcPr>
          <w:p>
            <w:pPr>
              <w:jc w:val="center"/>
              <w:ind w:left="61"/>
              <w:spacing w:after="0"/>
              <w:rPr>
                <w:sz w:val="20"/>
                <w:szCs w:val="20"/>
                <w:color w:val="auto"/>
              </w:rPr>
            </w:pPr>
            <w:r>
              <w:rPr>
                <w:rFonts w:ascii="Arial" w:cs="Arial" w:eastAsia="Arial" w:hAnsi="Arial"/>
                <w:sz w:val="16"/>
                <w:szCs w:val="16"/>
                <w:color w:val="auto"/>
              </w:rPr>
              <w:t>246,257</w:t>
            </w:r>
          </w:p>
        </w:tc>
        <w:tc>
          <w:tcPr>
            <w:tcW w:w="1900" w:type="dxa"/>
            <w:vAlign w:val="bottom"/>
          </w:tcPr>
          <w:p>
            <w:pPr>
              <w:jc w:val="center"/>
              <w:ind w:right="21"/>
              <w:spacing w:after="0"/>
              <w:rPr>
                <w:sz w:val="20"/>
                <w:szCs w:val="20"/>
                <w:color w:val="auto"/>
              </w:rPr>
            </w:pPr>
            <w:r>
              <w:rPr>
                <w:rFonts w:ascii="Arial" w:cs="Arial" w:eastAsia="Arial" w:hAnsi="Arial"/>
                <w:sz w:val="16"/>
                <w:szCs w:val="16"/>
                <w:color w:val="auto"/>
                <w:w w:val="99"/>
              </w:rPr>
              <w:t>—</w:t>
            </w:r>
          </w:p>
        </w:tc>
        <w:tc>
          <w:tcPr>
            <w:tcW w:w="1560" w:type="dxa"/>
            <w:vAlign w:val="bottom"/>
          </w:tcPr>
          <w:p>
            <w:pPr>
              <w:ind w:left="400"/>
              <w:spacing w:after="0"/>
              <w:rPr>
                <w:sz w:val="20"/>
                <w:szCs w:val="20"/>
                <w:color w:val="auto"/>
              </w:rPr>
            </w:pPr>
            <w:r>
              <w:rPr>
                <w:rFonts w:ascii="Arial" w:cs="Arial" w:eastAsia="Arial" w:hAnsi="Arial"/>
                <w:sz w:val="16"/>
                <w:szCs w:val="16"/>
                <w:color w:val="auto"/>
              </w:rPr>
              <w:t>309,886</w:t>
            </w:r>
          </w:p>
        </w:tc>
      </w:tr>
      <w:tr>
        <w:trPr>
          <w:trHeight w:val="83"/>
        </w:trPr>
        <w:tc>
          <w:tcPr>
            <w:tcW w:w="2400" w:type="dxa"/>
            <w:vAlign w:val="bottom"/>
          </w:tcPr>
          <w:p>
            <w:pPr>
              <w:spacing w:after="0"/>
              <w:rPr>
                <w:sz w:val="7"/>
                <w:szCs w:val="7"/>
                <w:color w:val="auto"/>
              </w:rPr>
            </w:pPr>
          </w:p>
        </w:tc>
        <w:tc>
          <w:tcPr>
            <w:tcW w:w="1940" w:type="dxa"/>
            <w:vAlign w:val="bottom"/>
          </w:tcPr>
          <w:p>
            <w:pPr>
              <w:spacing w:after="0"/>
              <w:rPr>
                <w:sz w:val="7"/>
                <w:szCs w:val="7"/>
                <w:color w:val="auto"/>
              </w:rPr>
            </w:pPr>
          </w:p>
        </w:tc>
        <w:tc>
          <w:tcPr>
            <w:tcW w:w="1760" w:type="dxa"/>
            <w:vAlign w:val="bottom"/>
          </w:tcPr>
          <w:p>
            <w:pPr>
              <w:spacing w:after="0"/>
              <w:rPr>
                <w:sz w:val="7"/>
                <w:szCs w:val="7"/>
                <w:color w:val="auto"/>
              </w:rPr>
            </w:pPr>
          </w:p>
        </w:tc>
        <w:tc>
          <w:tcPr>
            <w:tcW w:w="1900" w:type="dxa"/>
            <w:vAlign w:val="bottom"/>
          </w:tcPr>
          <w:p>
            <w:pPr>
              <w:spacing w:after="0"/>
              <w:rPr>
                <w:sz w:val="7"/>
                <w:szCs w:val="7"/>
                <w:color w:val="auto"/>
              </w:rPr>
            </w:pPr>
          </w:p>
        </w:tc>
        <w:tc>
          <w:tcPr>
            <w:tcW w:w="1560" w:type="dxa"/>
            <w:vAlign w:val="bottom"/>
          </w:tcPr>
          <w:p>
            <w:pPr>
              <w:spacing w:after="0"/>
              <w:rPr>
                <w:sz w:val="7"/>
                <w:szCs w:val="7"/>
                <w:color w:val="auto"/>
              </w:rPr>
            </w:pPr>
          </w:p>
        </w:tc>
      </w:tr>
      <w:tr>
        <w:trPr>
          <w:trHeight w:val="378"/>
        </w:trPr>
        <w:tc>
          <w:tcPr>
            <w:tcW w:w="2400" w:type="dxa"/>
            <w:vAlign w:val="bottom"/>
            <w:shd w:val="clear" w:color="auto" w:fill="F2F2F2"/>
          </w:tcPr>
          <w:p>
            <w:pPr>
              <w:ind w:left="80"/>
              <w:spacing w:after="0"/>
              <w:rPr>
                <w:sz w:val="20"/>
                <w:szCs w:val="20"/>
                <w:color w:val="auto"/>
              </w:rPr>
            </w:pPr>
            <w:r>
              <w:rPr>
                <w:rFonts w:ascii="Arial" w:cs="Arial" w:eastAsia="Arial" w:hAnsi="Arial"/>
                <w:sz w:val="16"/>
                <w:szCs w:val="16"/>
                <w:color w:val="auto"/>
              </w:rPr>
              <w:t>Condoleezza Rice</w:t>
            </w:r>
            <w:r>
              <w:rPr>
                <w:rFonts w:ascii="Arial" w:cs="Arial" w:eastAsia="Arial" w:hAnsi="Arial"/>
                <w:sz w:val="26"/>
                <w:szCs w:val="26"/>
                <w:color w:val="auto"/>
                <w:vertAlign w:val="superscript"/>
              </w:rPr>
              <w:t>(5)</w:t>
            </w:r>
          </w:p>
        </w:tc>
        <w:tc>
          <w:tcPr>
            <w:tcW w:w="1940" w:type="dxa"/>
            <w:vAlign w:val="bottom"/>
            <w:shd w:val="clear" w:color="auto" w:fill="F2F2F2"/>
          </w:tcPr>
          <w:p>
            <w:pPr>
              <w:jc w:val="right"/>
              <w:ind w:right="402"/>
              <w:spacing w:after="0"/>
              <w:rPr>
                <w:sz w:val="20"/>
                <w:szCs w:val="20"/>
                <w:color w:val="auto"/>
              </w:rPr>
            </w:pPr>
            <w:r>
              <w:rPr>
                <w:rFonts w:ascii="Arial" w:cs="Arial" w:eastAsia="Arial" w:hAnsi="Arial"/>
                <w:sz w:val="16"/>
                <w:szCs w:val="16"/>
                <w:color w:val="auto"/>
              </w:rPr>
              <w:t>44,597</w:t>
            </w:r>
          </w:p>
        </w:tc>
        <w:tc>
          <w:tcPr>
            <w:tcW w:w="1760" w:type="dxa"/>
            <w:vAlign w:val="bottom"/>
            <w:shd w:val="clear" w:color="auto" w:fill="F2F2F2"/>
          </w:tcPr>
          <w:p>
            <w:pPr>
              <w:jc w:val="center"/>
              <w:ind w:left="61"/>
              <w:spacing w:after="0"/>
              <w:rPr>
                <w:sz w:val="20"/>
                <w:szCs w:val="20"/>
                <w:color w:val="auto"/>
              </w:rPr>
            </w:pPr>
            <w:r>
              <w:rPr>
                <w:rFonts w:ascii="Arial" w:cs="Arial" w:eastAsia="Arial" w:hAnsi="Arial"/>
                <w:sz w:val="16"/>
                <w:szCs w:val="16"/>
                <w:color w:val="auto"/>
              </w:rPr>
              <w:t>—</w:t>
            </w:r>
          </w:p>
        </w:tc>
        <w:tc>
          <w:tcPr>
            <w:tcW w:w="1900" w:type="dxa"/>
            <w:vAlign w:val="bottom"/>
            <w:shd w:val="clear" w:color="auto" w:fill="F2F2F2"/>
          </w:tcPr>
          <w:p>
            <w:pPr>
              <w:jc w:val="center"/>
              <w:ind w:right="21"/>
              <w:spacing w:after="0"/>
              <w:rPr>
                <w:sz w:val="20"/>
                <w:szCs w:val="20"/>
                <w:color w:val="auto"/>
              </w:rPr>
            </w:pPr>
            <w:r>
              <w:rPr>
                <w:rFonts w:ascii="Arial" w:cs="Arial" w:eastAsia="Arial" w:hAnsi="Arial"/>
                <w:sz w:val="16"/>
                <w:szCs w:val="16"/>
                <w:color w:val="auto"/>
                <w:w w:val="99"/>
              </w:rPr>
              <w:t>—</w:t>
            </w:r>
          </w:p>
        </w:tc>
        <w:tc>
          <w:tcPr>
            <w:tcW w:w="1560" w:type="dxa"/>
            <w:vAlign w:val="bottom"/>
            <w:shd w:val="clear" w:color="auto" w:fill="F2F2F2"/>
          </w:tcPr>
          <w:p>
            <w:pPr>
              <w:ind w:left="480"/>
              <w:spacing w:after="0"/>
              <w:rPr>
                <w:sz w:val="20"/>
                <w:szCs w:val="20"/>
                <w:color w:val="auto"/>
              </w:rPr>
            </w:pPr>
            <w:r>
              <w:rPr>
                <w:rFonts w:ascii="Arial" w:cs="Arial" w:eastAsia="Arial" w:hAnsi="Arial"/>
                <w:sz w:val="16"/>
                <w:szCs w:val="16"/>
                <w:color w:val="auto"/>
              </w:rPr>
              <w:t>44,597</w:t>
            </w:r>
          </w:p>
        </w:tc>
      </w:tr>
      <w:tr>
        <w:trPr>
          <w:trHeight w:val="295"/>
        </w:trPr>
        <w:tc>
          <w:tcPr>
            <w:tcW w:w="2400" w:type="dxa"/>
            <w:vAlign w:val="bottom"/>
          </w:tcPr>
          <w:p>
            <w:pPr>
              <w:ind w:left="80"/>
              <w:spacing w:after="0"/>
              <w:rPr>
                <w:sz w:val="20"/>
                <w:szCs w:val="20"/>
                <w:color w:val="auto"/>
              </w:rPr>
            </w:pPr>
            <w:r>
              <w:rPr>
                <w:rFonts w:ascii="Arial" w:cs="Arial" w:eastAsia="Arial" w:hAnsi="Arial"/>
                <w:sz w:val="16"/>
                <w:szCs w:val="16"/>
                <w:color w:val="auto"/>
              </w:rPr>
              <w:t>Michael Seibel</w:t>
            </w:r>
          </w:p>
        </w:tc>
        <w:tc>
          <w:tcPr>
            <w:tcW w:w="1940" w:type="dxa"/>
            <w:vAlign w:val="bottom"/>
          </w:tcPr>
          <w:p>
            <w:pPr>
              <w:jc w:val="right"/>
              <w:ind w:right="402"/>
              <w:spacing w:after="0"/>
              <w:rPr>
                <w:sz w:val="20"/>
                <w:szCs w:val="20"/>
                <w:color w:val="auto"/>
              </w:rPr>
            </w:pPr>
            <w:r>
              <w:rPr>
                <w:rFonts w:ascii="Arial" w:cs="Arial" w:eastAsia="Arial" w:hAnsi="Arial"/>
                <w:sz w:val="16"/>
                <w:szCs w:val="16"/>
                <w:color w:val="auto"/>
              </w:rPr>
              <w:t>48,607</w:t>
            </w:r>
          </w:p>
        </w:tc>
        <w:tc>
          <w:tcPr>
            <w:tcW w:w="1760" w:type="dxa"/>
            <w:vAlign w:val="bottom"/>
          </w:tcPr>
          <w:p>
            <w:pPr>
              <w:jc w:val="center"/>
              <w:ind w:left="61"/>
              <w:spacing w:after="0"/>
              <w:rPr>
                <w:sz w:val="20"/>
                <w:szCs w:val="20"/>
                <w:color w:val="auto"/>
              </w:rPr>
            </w:pPr>
            <w:r>
              <w:rPr>
                <w:rFonts w:ascii="Arial" w:cs="Arial" w:eastAsia="Arial" w:hAnsi="Arial"/>
                <w:sz w:val="16"/>
                <w:szCs w:val="16"/>
                <w:color w:val="auto"/>
              </w:rPr>
              <w:t>246,257</w:t>
            </w:r>
          </w:p>
        </w:tc>
        <w:tc>
          <w:tcPr>
            <w:tcW w:w="1900" w:type="dxa"/>
            <w:vAlign w:val="bottom"/>
          </w:tcPr>
          <w:p>
            <w:pPr>
              <w:jc w:val="center"/>
              <w:ind w:right="21"/>
              <w:spacing w:after="0"/>
              <w:rPr>
                <w:sz w:val="20"/>
                <w:szCs w:val="20"/>
                <w:color w:val="auto"/>
              </w:rPr>
            </w:pPr>
            <w:r>
              <w:rPr>
                <w:rFonts w:ascii="Arial" w:cs="Arial" w:eastAsia="Arial" w:hAnsi="Arial"/>
                <w:sz w:val="16"/>
                <w:szCs w:val="16"/>
                <w:color w:val="auto"/>
                <w:w w:val="99"/>
              </w:rPr>
              <w:t>—</w:t>
            </w:r>
          </w:p>
        </w:tc>
        <w:tc>
          <w:tcPr>
            <w:tcW w:w="1560" w:type="dxa"/>
            <w:vAlign w:val="bottom"/>
          </w:tcPr>
          <w:p>
            <w:pPr>
              <w:ind w:left="400"/>
              <w:spacing w:after="0"/>
              <w:rPr>
                <w:sz w:val="20"/>
                <w:szCs w:val="20"/>
                <w:color w:val="auto"/>
              </w:rPr>
            </w:pPr>
            <w:r>
              <w:rPr>
                <w:rFonts w:ascii="Arial" w:cs="Arial" w:eastAsia="Arial" w:hAnsi="Arial"/>
                <w:sz w:val="16"/>
                <w:szCs w:val="16"/>
                <w:color w:val="auto"/>
              </w:rPr>
              <w:t>294,864</w:t>
            </w:r>
          </w:p>
        </w:tc>
      </w:tr>
    </w:tbl>
    <w:p>
      <w:pPr>
        <w:spacing w:after="0" w:line="155" w:lineRule="exact"/>
        <w:rPr>
          <w:sz w:val="20"/>
          <w:szCs w:val="20"/>
          <w:color w:val="auto"/>
        </w:rPr>
      </w:pPr>
    </w:p>
    <w:p>
      <w:pPr>
        <w:ind w:left="960" w:right="760" w:hanging="244"/>
        <w:spacing w:after="0" w:line="214" w:lineRule="auto"/>
        <w:tabs>
          <w:tab w:leader="none" w:pos="960" w:val="left"/>
        </w:tabs>
        <w:numPr>
          <w:ilvl w:val="0"/>
          <w:numId w:val="39"/>
        </w:numPr>
        <w:rPr>
          <w:rFonts w:ascii="Arial" w:cs="Arial" w:eastAsia="Arial" w:hAnsi="Arial"/>
          <w:sz w:val="22"/>
          <w:szCs w:val="22"/>
          <w:color w:val="auto"/>
          <w:vertAlign w:val="superscript"/>
        </w:rPr>
      </w:pPr>
      <w:r>
        <w:rPr>
          <w:rFonts w:ascii="Arial" w:cs="Arial" w:eastAsia="Arial" w:hAnsi="Arial"/>
          <w:sz w:val="14"/>
          <w:szCs w:val="14"/>
          <w:color w:val="auto"/>
        </w:rPr>
        <w:t>Amounts shown do not reflect compensation actually received by the director, and there can be no assurance that these amounts will ever be realized by the non-employee directors. Instead, the amount shown is the grant date fair value of the RSU awards granted in fiscal 2021 computed in accordance with ASC Topic 718 — Compensation — Stock Compensation (“</w:t>
      </w:r>
      <w:r>
        <w:rPr>
          <w:rFonts w:ascii="Arial" w:cs="Arial" w:eastAsia="Arial" w:hAnsi="Arial"/>
          <w:sz w:val="14"/>
          <w:szCs w:val="14"/>
          <w:b w:val="1"/>
          <w:bCs w:val="1"/>
          <w:i w:val="1"/>
          <w:iCs w:val="1"/>
          <w:color w:val="auto"/>
        </w:rPr>
        <w:t>ASC Topic 718</w:t>
      </w:r>
      <w:r>
        <w:rPr>
          <w:rFonts w:ascii="Arial" w:cs="Arial" w:eastAsia="Arial" w:hAnsi="Arial"/>
          <w:sz w:val="14"/>
          <w:szCs w:val="14"/>
          <w:color w:val="auto"/>
        </w:rPr>
        <w:t>”), disregarding forfeiture assumptions.</w:t>
      </w:r>
    </w:p>
    <w:p>
      <w:pPr>
        <w:ind w:left="960" w:right="1040" w:hanging="244"/>
        <w:spacing w:after="0" w:line="196" w:lineRule="auto"/>
        <w:tabs>
          <w:tab w:leader="none" w:pos="960" w:val="left"/>
        </w:tabs>
        <w:numPr>
          <w:ilvl w:val="0"/>
          <w:numId w:val="39"/>
        </w:numPr>
        <w:rPr>
          <w:rFonts w:ascii="Arial" w:cs="Arial" w:eastAsia="Arial" w:hAnsi="Arial"/>
          <w:sz w:val="22"/>
          <w:szCs w:val="22"/>
          <w:color w:val="auto"/>
          <w:vertAlign w:val="superscript"/>
        </w:rPr>
      </w:pPr>
      <w:r>
        <w:rPr>
          <w:rFonts w:ascii="Arial" w:cs="Arial" w:eastAsia="Arial" w:hAnsi="Arial"/>
          <w:sz w:val="14"/>
          <w:szCs w:val="14"/>
          <w:color w:val="auto"/>
        </w:rPr>
        <w:t>100% of the shares of our Class A common stock underlying the RSUs vest on May 20, 2022 or the day before the next annual meeting of our stockholders, if earlier, subject to the director’s continued service with us. See “</w:t>
      </w:r>
      <w:r>
        <w:rPr>
          <w:rFonts w:ascii="Arial" w:cs="Arial" w:eastAsia="Arial" w:hAnsi="Arial"/>
          <w:sz w:val="14"/>
          <w:szCs w:val="14"/>
          <w:i w:val="1"/>
          <w:iCs w:val="1"/>
          <w:color w:val="auto"/>
        </w:rPr>
        <w:t>Director Compensation</w:t>
      </w:r>
      <w:r>
        <w:rPr>
          <w:rFonts w:ascii="Arial" w:cs="Arial" w:eastAsia="Arial" w:hAnsi="Arial"/>
          <w:sz w:val="14"/>
          <w:szCs w:val="14"/>
          <w:color w:val="auto"/>
        </w:rPr>
        <w:t>” above.</w:t>
      </w:r>
    </w:p>
    <w:p>
      <w:pPr>
        <w:ind w:left="960" w:right="740" w:hanging="244"/>
        <w:spacing w:after="0" w:line="203" w:lineRule="auto"/>
        <w:tabs>
          <w:tab w:leader="none" w:pos="960" w:val="left"/>
        </w:tabs>
        <w:numPr>
          <w:ilvl w:val="0"/>
          <w:numId w:val="39"/>
        </w:numPr>
        <w:rPr>
          <w:rFonts w:ascii="Arial" w:cs="Arial" w:eastAsia="Arial" w:hAnsi="Arial"/>
          <w:sz w:val="22"/>
          <w:szCs w:val="22"/>
          <w:color w:val="auto"/>
          <w:vertAlign w:val="superscript"/>
        </w:rPr>
      </w:pPr>
      <w:r>
        <w:rPr>
          <w:rFonts w:ascii="Arial" w:cs="Arial" w:eastAsia="Arial" w:hAnsi="Arial"/>
          <w:sz w:val="14"/>
          <w:szCs w:val="14"/>
          <w:color w:val="auto"/>
        </w:rPr>
        <w:t>Ms. Mathew joined our board of directors in July 2021, and therefore her fees and equity awards were prorated for the portion of 2021 in which she served as a director, as reflected in the amount set forth in the table above.</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21</w:t>
            </w:r>
          </w:p>
        </w:tc>
      </w:tr>
      <w:tr>
        <w:trPr>
          <w:trHeight w:val="157"/>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25" w:name="page26"/>
    <w:bookmarkEnd w:id="25"/>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right="600"/>
        <w:spacing w:after="0" w:line="286" w:lineRule="auto"/>
        <w:rPr>
          <w:sz w:val="20"/>
          <w:szCs w:val="20"/>
          <w:color w:val="auto"/>
        </w:rPr>
      </w:pPr>
      <w:r>
        <w:rPr>
          <w:rFonts w:ascii="Arial" w:cs="Arial" w:eastAsia="Arial" w:hAnsi="Arial"/>
          <w:sz w:val="32"/>
          <w:szCs w:val="32"/>
          <w:color w:val="0063A6"/>
        </w:rPr>
        <w:t>BOARD OF DIRECTORS AND CORPORATE GOVERNANCE (continued)</w:t>
      </w:r>
    </w:p>
    <w:p>
      <w:pPr>
        <w:spacing w:after="0" w:line="276" w:lineRule="exact"/>
        <w:rPr>
          <w:sz w:val="20"/>
          <w:szCs w:val="20"/>
          <w:color w:val="auto"/>
        </w:rPr>
      </w:pPr>
    </w:p>
    <w:p>
      <w:pPr>
        <w:ind w:left="244" w:right="240" w:hanging="244"/>
        <w:spacing w:after="0" w:line="203" w:lineRule="auto"/>
        <w:tabs>
          <w:tab w:leader="none" w:pos="244" w:val="left"/>
        </w:tabs>
        <w:numPr>
          <w:ilvl w:val="0"/>
          <w:numId w:val="40"/>
        </w:numPr>
        <w:rPr>
          <w:rFonts w:ascii="Arial" w:cs="Arial" w:eastAsia="Arial" w:hAnsi="Arial"/>
          <w:sz w:val="22"/>
          <w:szCs w:val="22"/>
          <w:color w:val="auto"/>
          <w:vertAlign w:val="superscript"/>
        </w:rPr>
      </w:pPr>
      <w:r>
        <w:rPr>
          <w:rFonts w:ascii="Arial" w:cs="Arial" w:eastAsia="Arial" w:hAnsi="Arial"/>
          <w:sz w:val="14"/>
          <w:szCs w:val="14"/>
          <w:color w:val="auto"/>
        </w:rPr>
        <w:t>Mr. Mylod resigned as a member of the board of directors, effective July 28, 2021 and as such, his fees were prorated for the portion of 2021 in which he served as a director, as reflected in the amount set forth in the table above.</w:t>
      </w:r>
    </w:p>
    <w:p>
      <w:pPr>
        <w:spacing w:after="0" w:line="1" w:lineRule="exact"/>
        <w:rPr>
          <w:rFonts w:ascii="Arial" w:cs="Arial" w:eastAsia="Arial" w:hAnsi="Arial"/>
          <w:sz w:val="22"/>
          <w:szCs w:val="22"/>
          <w:color w:val="auto"/>
          <w:vertAlign w:val="superscript"/>
        </w:rPr>
      </w:pPr>
    </w:p>
    <w:p>
      <w:pPr>
        <w:ind w:left="244" w:right="60" w:hanging="244"/>
        <w:spacing w:after="0" w:line="208" w:lineRule="auto"/>
        <w:tabs>
          <w:tab w:leader="none" w:pos="244" w:val="left"/>
        </w:tabs>
        <w:numPr>
          <w:ilvl w:val="0"/>
          <w:numId w:val="40"/>
        </w:numPr>
        <w:rPr>
          <w:rFonts w:ascii="Arial" w:cs="Arial" w:eastAsia="Arial" w:hAnsi="Arial"/>
          <w:sz w:val="22"/>
          <w:szCs w:val="22"/>
          <w:color w:val="auto"/>
          <w:vertAlign w:val="superscript"/>
        </w:rPr>
      </w:pPr>
      <w:r>
        <w:rPr>
          <w:rFonts w:ascii="Arial" w:cs="Arial" w:eastAsia="Arial" w:hAnsi="Arial"/>
          <w:sz w:val="14"/>
          <w:szCs w:val="14"/>
          <w:color w:val="auto"/>
        </w:rPr>
        <w:t>Dr. Rice did not stand for re-election as a director at the 2021 annual meeting of stockholders and as such, her term as director ended effective as of May 20, 2021 and her fees were prorated for the portion of 2021 in which she served as a director, as reflected in the amount set forth in the table above.</w:t>
      </w:r>
    </w:p>
    <w:p>
      <w:pPr>
        <w:spacing w:after="0" w:line="158" w:lineRule="exact"/>
        <w:rPr>
          <w:sz w:val="20"/>
          <w:szCs w:val="20"/>
          <w:color w:val="auto"/>
        </w:rPr>
      </w:pPr>
    </w:p>
    <w:p>
      <w:pPr>
        <w:ind w:left="4"/>
        <w:spacing w:after="0"/>
        <w:rPr>
          <w:sz w:val="20"/>
          <w:szCs w:val="20"/>
          <w:color w:val="auto"/>
        </w:rPr>
      </w:pPr>
      <w:r>
        <w:rPr>
          <w:rFonts w:ascii="Arial" w:cs="Arial" w:eastAsia="Arial" w:hAnsi="Arial"/>
          <w:sz w:val="16"/>
          <w:szCs w:val="16"/>
          <w:color w:val="auto"/>
        </w:rPr>
        <w:t>The following table lists all outstanding equity awards held by non-employee directors as of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55245</wp:posOffset>
            </wp:positionV>
            <wp:extent cx="6077585" cy="18688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077585" cy="1868805"/>
                    </a:xfrm>
                    <a:prstGeom prst="rect">
                      <a:avLst/>
                    </a:prstGeom>
                    <a:noFill/>
                  </pic:spPr>
                </pic:pic>
              </a:graphicData>
            </a:graphic>
          </wp:anchor>
        </w:drawing>
      </w:r>
    </w:p>
    <w:p>
      <w:pPr>
        <w:spacing w:after="0" w:line="67" w:lineRule="exact"/>
        <w:rPr>
          <w:sz w:val="20"/>
          <w:szCs w:val="20"/>
          <w:color w:val="auto"/>
        </w:rPr>
      </w:pPr>
    </w:p>
    <w:tbl>
      <w:tblPr>
        <w:tblLayout w:type="fixed"/>
        <w:tblInd w:w="4" w:type="dxa"/>
        <w:tblCellMar>
          <w:top w:w="0" w:type="dxa"/>
          <w:left w:w="0" w:type="dxa"/>
          <w:bottom w:w="0" w:type="dxa"/>
          <w:right w:w="0" w:type="dxa"/>
        </w:tblCellMar>
      </w:tblPr>
      <w:tr>
        <w:trPr>
          <w:trHeight w:val="261"/>
        </w:trPr>
        <w:tc>
          <w:tcPr>
            <w:tcW w:w="3280" w:type="dxa"/>
            <w:vAlign w:val="bottom"/>
            <w:shd w:val="clear" w:color="auto" w:fill="0063A6"/>
          </w:tcPr>
          <w:p>
            <w:pPr>
              <w:spacing w:after="0"/>
              <w:rPr>
                <w:sz w:val="22"/>
                <w:szCs w:val="22"/>
                <w:color w:val="auto"/>
              </w:rPr>
            </w:pPr>
          </w:p>
        </w:tc>
        <w:tc>
          <w:tcPr>
            <w:tcW w:w="3440" w:type="dxa"/>
            <w:vAlign w:val="bottom"/>
            <w:shd w:val="clear" w:color="auto" w:fill="0063A6"/>
          </w:tcPr>
          <w:p>
            <w:pPr>
              <w:spacing w:after="0"/>
              <w:rPr>
                <w:sz w:val="22"/>
                <w:szCs w:val="22"/>
                <w:color w:val="auto"/>
              </w:rPr>
            </w:pPr>
          </w:p>
        </w:tc>
        <w:tc>
          <w:tcPr>
            <w:tcW w:w="2840" w:type="dxa"/>
            <w:vAlign w:val="bottom"/>
            <w:shd w:val="clear" w:color="auto" w:fill="0063A6"/>
          </w:tcPr>
          <w:p>
            <w:pPr>
              <w:jc w:val="center"/>
              <w:ind w:left="162"/>
              <w:spacing w:after="0"/>
              <w:rPr>
                <w:sz w:val="20"/>
                <w:szCs w:val="20"/>
                <w:color w:val="auto"/>
              </w:rPr>
            </w:pPr>
            <w:r>
              <w:rPr>
                <w:rFonts w:ascii="Arial" w:cs="Arial" w:eastAsia="Arial" w:hAnsi="Arial"/>
                <w:sz w:val="14"/>
                <w:szCs w:val="14"/>
                <w:b w:val="1"/>
                <w:bCs w:val="1"/>
                <w:color w:val="FFFFFF"/>
              </w:rPr>
              <w:t>Number of Shares</w:t>
            </w:r>
          </w:p>
        </w:tc>
      </w:tr>
      <w:tr>
        <w:trPr>
          <w:trHeight w:val="145"/>
        </w:trPr>
        <w:tc>
          <w:tcPr>
            <w:tcW w:w="3280" w:type="dxa"/>
            <w:vAlign w:val="bottom"/>
            <w:shd w:val="clear" w:color="auto" w:fill="0063A6"/>
          </w:tcPr>
          <w:p>
            <w:pPr>
              <w:spacing w:after="0"/>
              <w:rPr>
                <w:sz w:val="12"/>
                <w:szCs w:val="12"/>
                <w:color w:val="auto"/>
              </w:rPr>
            </w:pPr>
          </w:p>
        </w:tc>
        <w:tc>
          <w:tcPr>
            <w:tcW w:w="3440" w:type="dxa"/>
            <w:vAlign w:val="bottom"/>
            <w:shd w:val="clear" w:color="auto" w:fill="0063A6"/>
          </w:tcPr>
          <w:p>
            <w:pPr>
              <w:ind w:left="2200"/>
              <w:spacing w:after="0" w:line="145" w:lineRule="exact"/>
              <w:rPr>
                <w:sz w:val="20"/>
                <w:szCs w:val="20"/>
                <w:color w:val="auto"/>
              </w:rPr>
            </w:pPr>
            <w:r>
              <w:rPr>
                <w:rFonts w:ascii="Arial" w:cs="Arial" w:eastAsia="Arial" w:hAnsi="Arial"/>
                <w:sz w:val="14"/>
                <w:szCs w:val="14"/>
                <w:b w:val="1"/>
                <w:bCs w:val="1"/>
                <w:color w:val="FFFFFF"/>
              </w:rPr>
              <w:t>Date of</w:t>
            </w:r>
          </w:p>
        </w:tc>
        <w:tc>
          <w:tcPr>
            <w:tcW w:w="2840" w:type="dxa"/>
            <w:vAlign w:val="bottom"/>
            <w:shd w:val="clear" w:color="auto" w:fill="0063A6"/>
          </w:tcPr>
          <w:p>
            <w:pPr>
              <w:jc w:val="center"/>
              <w:ind w:left="142"/>
              <w:spacing w:after="0" w:line="145" w:lineRule="exact"/>
              <w:rPr>
                <w:sz w:val="20"/>
                <w:szCs w:val="20"/>
                <w:color w:val="auto"/>
              </w:rPr>
            </w:pPr>
            <w:r>
              <w:rPr>
                <w:rFonts w:ascii="Arial" w:cs="Arial" w:eastAsia="Arial" w:hAnsi="Arial"/>
                <w:sz w:val="14"/>
                <w:szCs w:val="14"/>
                <w:b w:val="1"/>
                <w:bCs w:val="1"/>
                <w:color w:val="FFFFFF"/>
              </w:rPr>
              <w:t>Underlying</w:t>
            </w:r>
          </w:p>
        </w:tc>
      </w:tr>
      <w:tr>
        <w:trPr>
          <w:trHeight w:val="282"/>
        </w:trPr>
        <w:tc>
          <w:tcPr>
            <w:tcW w:w="3280" w:type="dxa"/>
            <w:vAlign w:val="bottom"/>
            <w:shd w:val="clear" w:color="auto" w:fill="0063A6"/>
          </w:tcPr>
          <w:p>
            <w:pPr>
              <w:ind w:left="80"/>
              <w:spacing w:after="0"/>
              <w:rPr>
                <w:sz w:val="20"/>
                <w:szCs w:val="20"/>
                <w:color w:val="auto"/>
              </w:rPr>
            </w:pPr>
            <w:r>
              <w:rPr>
                <w:rFonts w:ascii="Arial" w:cs="Arial" w:eastAsia="Arial" w:hAnsi="Arial"/>
                <w:sz w:val="14"/>
                <w:szCs w:val="14"/>
                <w:b w:val="1"/>
                <w:bCs w:val="1"/>
                <w:color w:val="FFFFFF"/>
              </w:rPr>
              <w:t>Name</w:t>
            </w:r>
          </w:p>
        </w:tc>
        <w:tc>
          <w:tcPr>
            <w:tcW w:w="3440" w:type="dxa"/>
            <w:vAlign w:val="bottom"/>
            <w:shd w:val="clear" w:color="auto" w:fill="0063A6"/>
          </w:tcPr>
          <w:p>
            <w:pPr>
              <w:jc w:val="center"/>
              <w:ind w:left="1401"/>
              <w:spacing w:after="0"/>
              <w:rPr>
                <w:sz w:val="20"/>
                <w:szCs w:val="20"/>
                <w:color w:val="auto"/>
              </w:rPr>
            </w:pPr>
            <w:r>
              <w:rPr>
                <w:rFonts w:ascii="Arial" w:cs="Arial" w:eastAsia="Arial" w:hAnsi="Arial"/>
                <w:sz w:val="14"/>
                <w:szCs w:val="14"/>
                <w:b w:val="1"/>
                <w:bCs w:val="1"/>
                <w:color w:val="FFFFFF"/>
                <w:w w:val="92"/>
              </w:rPr>
              <w:t>Grant</w:t>
            </w:r>
            <w:r>
              <w:rPr>
                <w:rFonts w:ascii="Arial" w:cs="Arial" w:eastAsia="Arial" w:hAnsi="Arial"/>
                <w:sz w:val="23"/>
                <w:szCs w:val="23"/>
                <w:b w:val="1"/>
                <w:bCs w:val="1"/>
                <w:color w:val="FFFFFF"/>
                <w:w w:val="92"/>
                <w:vertAlign w:val="superscript"/>
              </w:rPr>
              <w:t>(1)</w:t>
            </w:r>
          </w:p>
        </w:tc>
        <w:tc>
          <w:tcPr>
            <w:tcW w:w="2840" w:type="dxa"/>
            <w:vAlign w:val="bottom"/>
            <w:shd w:val="clear" w:color="auto" w:fill="0063A6"/>
          </w:tcPr>
          <w:p>
            <w:pPr>
              <w:jc w:val="center"/>
              <w:ind w:left="182"/>
              <w:spacing w:after="0"/>
              <w:rPr>
                <w:sz w:val="20"/>
                <w:szCs w:val="20"/>
                <w:color w:val="auto"/>
              </w:rPr>
            </w:pPr>
            <w:r>
              <w:rPr>
                <w:rFonts w:ascii="Arial" w:cs="Arial" w:eastAsia="Arial" w:hAnsi="Arial"/>
                <w:sz w:val="14"/>
                <w:szCs w:val="14"/>
                <w:b w:val="1"/>
                <w:bCs w:val="1"/>
                <w:color w:val="FFFFFF"/>
              </w:rPr>
              <w:t>Unvested Stock Awards (#)</w:t>
            </w:r>
          </w:p>
        </w:tc>
      </w:tr>
      <w:tr>
        <w:trPr>
          <w:trHeight w:val="295"/>
        </w:trPr>
        <w:tc>
          <w:tcPr>
            <w:tcW w:w="3280" w:type="dxa"/>
            <w:vAlign w:val="bottom"/>
            <w:shd w:val="clear" w:color="auto" w:fill="F2F2F2"/>
          </w:tcPr>
          <w:p>
            <w:pPr>
              <w:ind w:left="80"/>
              <w:spacing w:after="0"/>
              <w:rPr>
                <w:sz w:val="20"/>
                <w:szCs w:val="20"/>
                <w:color w:val="auto"/>
              </w:rPr>
            </w:pPr>
            <w:r>
              <w:rPr>
                <w:rFonts w:ascii="Arial" w:cs="Arial" w:eastAsia="Arial" w:hAnsi="Arial"/>
                <w:sz w:val="16"/>
                <w:szCs w:val="16"/>
                <w:color w:val="auto"/>
              </w:rPr>
              <w:t>Donald W. Blair</w:t>
            </w:r>
          </w:p>
        </w:tc>
        <w:tc>
          <w:tcPr>
            <w:tcW w:w="3440" w:type="dxa"/>
            <w:vAlign w:val="bottom"/>
            <w:shd w:val="clear" w:color="auto" w:fill="F2F2F2"/>
          </w:tcPr>
          <w:p>
            <w:pPr>
              <w:jc w:val="center"/>
              <w:ind w:left="1401"/>
              <w:spacing w:after="0"/>
              <w:rPr>
                <w:sz w:val="20"/>
                <w:szCs w:val="20"/>
                <w:color w:val="auto"/>
              </w:rPr>
            </w:pPr>
            <w:r>
              <w:rPr>
                <w:rFonts w:ascii="Arial" w:cs="Arial" w:eastAsia="Arial" w:hAnsi="Arial"/>
                <w:sz w:val="16"/>
                <w:szCs w:val="16"/>
                <w:color w:val="auto"/>
              </w:rPr>
              <w:t>5/20/2021</w:t>
            </w:r>
          </w:p>
        </w:tc>
        <w:tc>
          <w:tcPr>
            <w:tcW w:w="2840" w:type="dxa"/>
            <w:vAlign w:val="bottom"/>
            <w:shd w:val="clear" w:color="auto" w:fill="F2F2F2"/>
          </w:tcPr>
          <w:p>
            <w:pPr>
              <w:jc w:val="center"/>
              <w:ind w:left="202"/>
              <w:spacing w:after="0"/>
              <w:rPr>
                <w:sz w:val="20"/>
                <w:szCs w:val="20"/>
                <w:color w:val="auto"/>
              </w:rPr>
            </w:pPr>
            <w:r>
              <w:rPr>
                <w:rFonts w:ascii="Arial" w:cs="Arial" w:eastAsia="Arial" w:hAnsi="Arial"/>
                <w:sz w:val="16"/>
                <w:szCs w:val="16"/>
                <w:color w:val="auto"/>
                <w:w w:val="99"/>
              </w:rPr>
              <w:t>9,335</w:t>
            </w:r>
          </w:p>
        </w:tc>
      </w:tr>
      <w:tr>
        <w:trPr>
          <w:trHeight w:val="83"/>
        </w:trPr>
        <w:tc>
          <w:tcPr>
            <w:tcW w:w="3280" w:type="dxa"/>
            <w:vAlign w:val="bottom"/>
            <w:shd w:val="clear" w:color="auto" w:fill="F2F2F2"/>
          </w:tcPr>
          <w:p>
            <w:pPr>
              <w:spacing w:after="0"/>
              <w:rPr>
                <w:sz w:val="7"/>
                <w:szCs w:val="7"/>
                <w:color w:val="auto"/>
              </w:rPr>
            </w:pPr>
          </w:p>
        </w:tc>
        <w:tc>
          <w:tcPr>
            <w:tcW w:w="3440" w:type="dxa"/>
            <w:vAlign w:val="bottom"/>
            <w:shd w:val="clear" w:color="auto" w:fill="F2F2F2"/>
          </w:tcPr>
          <w:p>
            <w:pPr>
              <w:spacing w:after="0"/>
              <w:rPr>
                <w:sz w:val="7"/>
                <w:szCs w:val="7"/>
                <w:color w:val="auto"/>
              </w:rPr>
            </w:pPr>
          </w:p>
        </w:tc>
        <w:tc>
          <w:tcPr>
            <w:tcW w:w="2840" w:type="dxa"/>
            <w:vAlign w:val="bottom"/>
            <w:shd w:val="clear" w:color="auto" w:fill="F2F2F2"/>
          </w:tcPr>
          <w:p>
            <w:pPr>
              <w:spacing w:after="0"/>
              <w:rPr>
                <w:sz w:val="7"/>
                <w:szCs w:val="7"/>
                <w:color w:val="auto"/>
              </w:rPr>
            </w:pPr>
          </w:p>
        </w:tc>
      </w:tr>
      <w:tr>
        <w:trPr>
          <w:trHeight w:val="295"/>
        </w:trPr>
        <w:tc>
          <w:tcPr>
            <w:tcW w:w="3280" w:type="dxa"/>
            <w:vAlign w:val="bottom"/>
          </w:tcPr>
          <w:p>
            <w:pPr>
              <w:ind w:left="80"/>
              <w:spacing w:after="0"/>
              <w:rPr>
                <w:sz w:val="20"/>
                <w:szCs w:val="20"/>
                <w:color w:val="auto"/>
              </w:rPr>
            </w:pPr>
            <w:r>
              <w:rPr>
                <w:rFonts w:ascii="Arial" w:cs="Arial" w:eastAsia="Arial" w:hAnsi="Arial"/>
                <w:sz w:val="16"/>
                <w:szCs w:val="16"/>
                <w:color w:val="auto"/>
              </w:rPr>
              <w:t>Lisa Campbell</w:t>
            </w:r>
          </w:p>
        </w:tc>
        <w:tc>
          <w:tcPr>
            <w:tcW w:w="3440" w:type="dxa"/>
            <w:vAlign w:val="bottom"/>
          </w:tcPr>
          <w:p>
            <w:pPr>
              <w:jc w:val="center"/>
              <w:ind w:left="1401"/>
              <w:spacing w:after="0"/>
              <w:rPr>
                <w:sz w:val="20"/>
                <w:szCs w:val="20"/>
                <w:color w:val="auto"/>
              </w:rPr>
            </w:pPr>
            <w:r>
              <w:rPr>
                <w:rFonts w:ascii="Arial" w:cs="Arial" w:eastAsia="Arial" w:hAnsi="Arial"/>
                <w:sz w:val="16"/>
                <w:szCs w:val="16"/>
                <w:color w:val="auto"/>
              </w:rPr>
              <w:t>5/20/2021</w:t>
            </w:r>
          </w:p>
        </w:tc>
        <w:tc>
          <w:tcPr>
            <w:tcW w:w="2840" w:type="dxa"/>
            <w:vAlign w:val="bottom"/>
          </w:tcPr>
          <w:p>
            <w:pPr>
              <w:jc w:val="center"/>
              <w:ind w:left="202"/>
              <w:spacing w:after="0"/>
              <w:rPr>
                <w:sz w:val="20"/>
                <w:szCs w:val="20"/>
                <w:color w:val="auto"/>
              </w:rPr>
            </w:pPr>
            <w:r>
              <w:rPr>
                <w:rFonts w:ascii="Arial" w:cs="Arial" w:eastAsia="Arial" w:hAnsi="Arial"/>
                <w:sz w:val="16"/>
                <w:szCs w:val="16"/>
                <w:color w:val="auto"/>
                <w:w w:val="99"/>
              </w:rPr>
              <w:t>9,335</w:t>
            </w:r>
          </w:p>
        </w:tc>
      </w:tr>
      <w:tr>
        <w:trPr>
          <w:trHeight w:val="83"/>
        </w:trPr>
        <w:tc>
          <w:tcPr>
            <w:tcW w:w="3280" w:type="dxa"/>
            <w:vAlign w:val="bottom"/>
          </w:tcPr>
          <w:p>
            <w:pPr>
              <w:spacing w:after="0"/>
              <w:rPr>
                <w:sz w:val="7"/>
                <w:szCs w:val="7"/>
                <w:color w:val="auto"/>
              </w:rPr>
            </w:pPr>
          </w:p>
        </w:tc>
        <w:tc>
          <w:tcPr>
            <w:tcW w:w="3440" w:type="dxa"/>
            <w:vAlign w:val="bottom"/>
          </w:tcPr>
          <w:p>
            <w:pPr>
              <w:spacing w:after="0"/>
              <w:rPr>
                <w:sz w:val="7"/>
                <w:szCs w:val="7"/>
                <w:color w:val="auto"/>
              </w:rPr>
            </w:pPr>
          </w:p>
        </w:tc>
        <w:tc>
          <w:tcPr>
            <w:tcW w:w="2840" w:type="dxa"/>
            <w:vAlign w:val="bottom"/>
          </w:tcPr>
          <w:p>
            <w:pPr>
              <w:spacing w:after="0"/>
              <w:rPr>
                <w:sz w:val="7"/>
                <w:szCs w:val="7"/>
                <w:color w:val="auto"/>
              </w:rPr>
            </w:pPr>
          </w:p>
        </w:tc>
      </w:tr>
      <w:tr>
        <w:trPr>
          <w:trHeight w:val="295"/>
        </w:trPr>
        <w:tc>
          <w:tcPr>
            <w:tcW w:w="3280" w:type="dxa"/>
            <w:vAlign w:val="bottom"/>
            <w:shd w:val="clear" w:color="auto" w:fill="F2F2F2"/>
          </w:tcPr>
          <w:p>
            <w:pPr>
              <w:ind w:left="80"/>
              <w:spacing w:after="0"/>
              <w:rPr>
                <w:sz w:val="20"/>
                <w:szCs w:val="20"/>
                <w:color w:val="auto"/>
              </w:rPr>
            </w:pPr>
            <w:r>
              <w:rPr>
                <w:rFonts w:ascii="Arial" w:cs="Arial" w:eastAsia="Arial" w:hAnsi="Arial"/>
                <w:sz w:val="16"/>
                <w:szCs w:val="16"/>
                <w:color w:val="auto"/>
              </w:rPr>
              <w:t>Paul E. Jacobs</w:t>
            </w:r>
          </w:p>
        </w:tc>
        <w:tc>
          <w:tcPr>
            <w:tcW w:w="3440" w:type="dxa"/>
            <w:vAlign w:val="bottom"/>
            <w:shd w:val="clear" w:color="auto" w:fill="F2F2F2"/>
          </w:tcPr>
          <w:p>
            <w:pPr>
              <w:jc w:val="center"/>
              <w:ind w:left="1401"/>
              <w:spacing w:after="0"/>
              <w:rPr>
                <w:sz w:val="20"/>
                <w:szCs w:val="20"/>
                <w:color w:val="auto"/>
              </w:rPr>
            </w:pPr>
            <w:r>
              <w:rPr>
                <w:rFonts w:ascii="Arial" w:cs="Arial" w:eastAsia="Arial" w:hAnsi="Arial"/>
                <w:sz w:val="16"/>
                <w:szCs w:val="16"/>
                <w:color w:val="auto"/>
              </w:rPr>
              <w:t>5/20/2021</w:t>
            </w:r>
          </w:p>
        </w:tc>
        <w:tc>
          <w:tcPr>
            <w:tcW w:w="2840" w:type="dxa"/>
            <w:vAlign w:val="bottom"/>
            <w:shd w:val="clear" w:color="auto" w:fill="F2F2F2"/>
          </w:tcPr>
          <w:p>
            <w:pPr>
              <w:jc w:val="center"/>
              <w:ind w:left="202"/>
              <w:spacing w:after="0"/>
              <w:rPr>
                <w:sz w:val="20"/>
                <w:szCs w:val="20"/>
                <w:color w:val="auto"/>
              </w:rPr>
            </w:pPr>
            <w:r>
              <w:rPr>
                <w:rFonts w:ascii="Arial" w:cs="Arial" w:eastAsia="Arial" w:hAnsi="Arial"/>
                <w:sz w:val="16"/>
                <w:szCs w:val="16"/>
                <w:color w:val="auto"/>
                <w:w w:val="99"/>
              </w:rPr>
              <w:t>9,335</w:t>
            </w:r>
          </w:p>
        </w:tc>
      </w:tr>
      <w:tr>
        <w:trPr>
          <w:trHeight w:val="83"/>
        </w:trPr>
        <w:tc>
          <w:tcPr>
            <w:tcW w:w="3280" w:type="dxa"/>
            <w:vAlign w:val="bottom"/>
            <w:shd w:val="clear" w:color="auto" w:fill="F2F2F2"/>
          </w:tcPr>
          <w:p>
            <w:pPr>
              <w:spacing w:after="0"/>
              <w:rPr>
                <w:sz w:val="7"/>
                <w:szCs w:val="7"/>
                <w:color w:val="auto"/>
              </w:rPr>
            </w:pPr>
          </w:p>
        </w:tc>
        <w:tc>
          <w:tcPr>
            <w:tcW w:w="3440" w:type="dxa"/>
            <w:vAlign w:val="bottom"/>
            <w:shd w:val="clear" w:color="auto" w:fill="F2F2F2"/>
          </w:tcPr>
          <w:p>
            <w:pPr>
              <w:spacing w:after="0"/>
              <w:rPr>
                <w:sz w:val="7"/>
                <w:szCs w:val="7"/>
                <w:color w:val="auto"/>
              </w:rPr>
            </w:pPr>
          </w:p>
        </w:tc>
        <w:tc>
          <w:tcPr>
            <w:tcW w:w="2840" w:type="dxa"/>
            <w:vAlign w:val="bottom"/>
            <w:shd w:val="clear" w:color="auto" w:fill="F2F2F2"/>
          </w:tcPr>
          <w:p>
            <w:pPr>
              <w:spacing w:after="0"/>
              <w:rPr>
                <w:sz w:val="7"/>
                <w:szCs w:val="7"/>
                <w:color w:val="auto"/>
              </w:rPr>
            </w:pPr>
          </w:p>
        </w:tc>
      </w:tr>
      <w:tr>
        <w:trPr>
          <w:trHeight w:val="378"/>
        </w:trPr>
        <w:tc>
          <w:tcPr>
            <w:tcW w:w="3280" w:type="dxa"/>
            <w:vAlign w:val="bottom"/>
          </w:tcPr>
          <w:p>
            <w:pPr>
              <w:ind w:left="80"/>
              <w:spacing w:after="0"/>
              <w:rPr>
                <w:sz w:val="20"/>
                <w:szCs w:val="20"/>
                <w:color w:val="auto"/>
              </w:rPr>
            </w:pPr>
            <w:r>
              <w:rPr>
                <w:rFonts w:ascii="Arial" w:cs="Arial" w:eastAsia="Arial" w:hAnsi="Arial"/>
                <w:sz w:val="16"/>
                <w:szCs w:val="16"/>
                <w:color w:val="auto"/>
              </w:rPr>
              <w:t>Sara Mathew</w:t>
            </w:r>
            <w:r>
              <w:rPr>
                <w:rFonts w:ascii="Arial" w:cs="Arial" w:eastAsia="Arial" w:hAnsi="Arial"/>
                <w:sz w:val="26"/>
                <w:szCs w:val="26"/>
                <w:color w:val="auto"/>
                <w:vertAlign w:val="superscript"/>
              </w:rPr>
              <w:t>(2)</w:t>
            </w:r>
          </w:p>
        </w:tc>
        <w:tc>
          <w:tcPr>
            <w:tcW w:w="3440" w:type="dxa"/>
            <w:vAlign w:val="bottom"/>
          </w:tcPr>
          <w:p>
            <w:pPr>
              <w:jc w:val="center"/>
              <w:ind w:left="1401"/>
              <w:spacing w:after="0"/>
              <w:rPr>
                <w:sz w:val="20"/>
                <w:szCs w:val="20"/>
                <w:color w:val="auto"/>
              </w:rPr>
            </w:pPr>
            <w:r>
              <w:rPr>
                <w:rFonts w:ascii="Arial" w:cs="Arial" w:eastAsia="Arial" w:hAnsi="Arial"/>
                <w:sz w:val="16"/>
                <w:szCs w:val="16"/>
                <w:color w:val="auto"/>
              </w:rPr>
              <w:t>7/28/2021</w:t>
            </w:r>
          </w:p>
        </w:tc>
        <w:tc>
          <w:tcPr>
            <w:tcW w:w="2840" w:type="dxa"/>
            <w:vAlign w:val="bottom"/>
          </w:tcPr>
          <w:p>
            <w:pPr>
              <w:jc w:val="center"/>
              <w:ind w:left="202"/>
              <w:spacing w:after="0"/>
              <w:rPr>
                <w:sz w:val="20"/>
                <w:szCs w:val="20"/>
                <w:color w:val="auto"/>
              </w:rPr>
            </w:pPr>
            <w:r>
              <w:rPr>
                <w:rFonts w:ascii="Arial" w:cs="Arial" w:eastAsia="Arial" w:hAnsi="Arial"/>
                <w:sz w:val="16"/>
                <w:szCs w:val="16"/>
                <w:color w:val="auto"/>
                <w:w w:val="99"/>
              </w:rPr>
              <w:t>6,580</w:t>
            </w:r>
          </w:p>
        </w:tc>
      </w:tr>
      <w:tr>
        <w:trPr>
          <w:trHeight w:val="295"/>
        </w:trPr>
        <w:tc>
          <w:tcPr>
            <w:tcW w:w="3280" w:type="dxa"/>
            <w:vAlign w:val="bottom"/>
            <w:shd w:val="clear" w:color="auto" w:fill="F2F2F2"/>
          </w:tcPr>
          <w:p>
            <w:pPr>
              <w:ind w:left="80"/>
              <w:spacing w:after="0"/>
              <w:rPr>
                <w:sz w:val="20"/>
                <w:szCs w:val="20"/>
                <w:color w:val="auto"/>
              </w:rPr>
            </w:pPr>
            <w:r>
              <w:rPr>
                <w:rFonts w:ascii="Arial" w:cs="Arial" w:eastAsia="Arial" w:hAnsi="Arial"/>
                <w:sz w:val="16"/>
                <w:szCs w:val="16"/>
                <w:color w:val="auto"/>
              </w:rPr>
              <w:t>Karen Peacock</w:t>
            </w:r>
          </w:p>
        </w:tc>
        <w:tc>
          <w:tcPr>
            <w:tcW w:w="3440" w:type="dxa"/>
            <w:vAlign w:val="bottom"/>
            <w:shd w:val="clear" w:color="auto" w:fill="F2F2F2"/>
          </w:tcPr>
          <w:p>
            <w:pPr>
              <w:jc w:val="center"/>
              <w:ind w:left="1401"/>
              <w:spacing w:after="0"/>
              <w:rPr>
                <w:sz w:val="20"/>
                <w:szCs w:val="20"/>
                <w:color w:val="auto"/>
              </w:rPr>
            </w:pPr>
            <w:r>
              <w:rPr>
                <w:rFonts w:ascii="Arial" w:cs="Arial" w:eastAsia="Arial" w:hAnsi="Arial"/>
                <w:sz w:val="16"/>
                <w:szCs w:val="16"/>
                <w:color w:val="auto"/>
              </w:rPr>
              <w:t>5/20/2021</w:t>
            </w:r>
          </w:p>
        </w:tc>
        <w:tc>
          <w:tcPr>
            <w:tcW w:w="2840" w:type="dxa"/>
            <w:vAlign w:val="bottom"/>
            <w:shd w:val="clear" w:color="auto" w:fill="F2F2F2"/>
          </w:tcPr>
          <w:p>
            <w:pPr>
              <w:jc w:val="center"/>
              <w:ind w:left="202"/>
              <w:spacing w:after="0"/>
              <w:rPr>
                <w:sz w:val="20"/>
                <w:szCs w:val="20"/>
                <w:color w:val="auto"/>
              </w:rPr>
            </w:pPr>
            <w:r>
              <w:rPr>
                <w:rFonts w:ascii="Arial" w:cs="Arial" w:eastAsia="Arial" w:hAnsi="Arial"/>
                <w:sz w:val="16"/>
                <w:szCs w:val="16"/>
                <w:color w:val="auto"/>
                <w:w w:val="99"/>
              </w:rPr>
              <w:t>9,335</w:t>
            </w:r>
          </w:p>
        </w:tc>
      </w:tr>
      <w:tr>
        <w:trPr>
          <w:trHeight w:val="83"/>
        </w:trPr>
        <w:tc>
          <w:tcPr>
            <w:tcW w:w="3280" w:type="dxa"/>
            <w:vAlign w:val="bottom"/>
            <w:shd w:val="clear" w:color="auto" w:fill="F2F2F2"/>
          </w:tcPr>
          <w:p>
            <w:pPr>
              <w:spacing w:after="0"/>
              <w:rPr>
                <w:sz w:val="7"/>
                <w:szCs w:val="7"/>
                <w:color w:val="auto"/>
              </w:rPr>
            </w:pPr>
          </w:p>
        </w:tc>
        <w:tc>
          <w:tcPr>
            <w:tcW w:w="3440" w:type="dxa"/>
            <w:vAlign w:val="bottom"/>
            <w:shd w:val="clear" w:color="auto" w:fill="F2F2F2"/>
          </w:tcPr>
          <w:p>
            <w:pPr>
              <w:spacing w:after="0"/>
              <w:rPr>
                <w:sz w:val="7"/>
                <w:szCs w:val="7"/>
                <w:color w:val="auto"/>
              </w:rPr>
            </w:pPr>
          </w:p>
        </w:tc>
        <w:tc>
          <w:tcPr>
            <w:tcW w:w="2840" w:type="dxa"/>
            <w:vAlign w:val="bottom"/>
            <w:shd w:val="clear" w:color="auto" w:fill="F2F2F2"/>
          </w:tcPr>
          <w:p>
            <w:pPr>
              <w:spacing w:after="0"/>
              <w:rPr>
                <w:sz w:val="7"/>
                <w:szCs w:val="7"/>
                <w:color w:val="auto"/>
              </w:rPr>
            </w:pPr>
          </w:p>
        </w:tc>
      </w:tr>
      <w:tr>
        <w:trPr>
          <w:trHeight w:val="295"/>
        </w:trPr>
        <w:tc>
          <w:tcPr>
            <w:tcW w:w="3280" w:type="dxa"/>
            <w:vAlign w:val="bottom"/>
          </w:tcPr>
          <w:p>
            <w:pPr>
              <w:ind w:left="80"/>
              <w:spacing w:after="0"/>
              <w:rPr>
                <w:sz w:val="20"/>
                <w:szCs w:val="20"/>
                <w:color w:val="auto"/>
              </w:rPr>
            </w:pPr>
            <w:r>
              <w:rPr>
                <w:rFonts w:ascii="Arial" w:cs="Arial" w:eastAsia="Arial" w:hAnsi="Arial"/>
                <w:sz w:val="16"/>
                <w:szCs w:val="16"/>
                <w:color w:val="auto"/>
              </w:rPr>
              <w:t>Michael Seibel</w:t>
            </w:r>
          </w:p>
        </w:tc>
        <w:tc>
          <w:tcPr>
            <w:tcW w:w="3440" w:type="dxa"/>
            <w:vAlign w:val="bottom"/>
          </w:tcPr>
          <w:p>
            <w:pPr>
              <w:jc w:val="center"/>
              <w:ind w:left="1401"/>
              <w:spacing w:after="0"/>
              <w:rPr>
                <w:sz w:val="20"/>
                <w:szCs w:val="20"/>
                <w:color w:val="auto"/>
              </w:rPr>
            </w:pPr>
            <w:r>
              <w:rPr>
                <w:rFonts w:ascii="Arial" w:cs="Arial" w:eastAsia="Arial" w:hAnsi="Arial"/>
                <w:sz w:val="16"/>
                <w:szCs w:val="16"/>
                <w:color w:val="auto"/>
              </w:rPr>
              <w:t>5/20/2021</w:t>
            </w:r>
          </w:p>
        </w:tc>
        <w:tc>
          <w:tcPr>
            <w:tcW w:w="2840" w:type="dxa"/>
            <w:vAlign w:val="bottom"/>
          </w:tcPr>
          <w:p>
            <w:pPr>
              <w:jc w:val="center"/>
              <w:ind w:left="202"/>
              <w:spacing w:after="0"/>
              <w:rPr>
                <w:sz w:val="20"/>
                <w:szCs w:val="20"/>
                <w:color w:val="auto"/>
              </w:rPr>
            </w:pPr>
            <w:r>
              <w:rPr>
                <w:rFonts w:ascii="Arial" w:cs="Arial" w:eastAsia="Arial" w:hAnsi="Arial"/>
                <w:sz w:val="16"/>
                <w:szCs w:val="16"/>
                <w:color w:val="auto"/>
                <w:w w:val="99"/>
              </w:rPr>
              <w:t>9,335</w:t>
            </w:r>
          </w:p>
        </w:tc>
      </w:tr>
    </w:tbl>
    <w:p>
      <w:pPr>
        <w:spacing w:after="0" w:line="155" w:lineRule="exact"/>
        <w:rPr>
          <w:sz w:val="20"/>
          <w:szCs w:val="20"/>
          <w:color w:val="auto"/>
        </w:rPr>
      </w:pPr>
    </w:p>
    <w:p>
      <w:pPr>
        <w:ind w:left="244" w:right="300" w:hanging="244"/>
        <w:spacing w:after="0" w:line="203" w:lineRule="auto"/>
        <w:tabs>
          <w:tab w:leader="none" w:pos="244" w:val="left"/>
        </w:tabs>
        <w:numPr>
          <w:ilvl w:val="0"/>
          <w:numId w:val="41"/>
        </w:numPr>
        <w:rPr>
          <w:rFonts w:ascii="Arial" w:cs="Arial" w:eastAsia="Arial" w:hAnsi="Arial"/>
          <w:sz w:val="22"/>
          <w:szCs w:val="22"/>
          <w:color w:val="auto"/>
          <w:vertAlign w:val="superscript"/>
        </w:rPr>
      </w:pPr>
      <w:r>
        <w:rPr>
          <w:rFonts w:ascii="Arial" w:cs="Arial" w:eastAsia="Arial" w:hAnsi="Arial"/>
          <w:sz w:val="14"/>
          <w:szCs w:val="14"/>
          <w:color w:val="auto"/>
        </w:rPr>
        <w:t>100% of the shares of our Class A common stock underlying the RSUs vest on May 20, 2022 or the day before the next annual meeting of our stockholders, if earlier, subject to the director’s continued service with us. See “</w:t>
      </w:r>
      <w:r>
        <w:rPr>
          <w:rFonts w:ascii="Arial" w:cs="Arial" w:eastAsia="Arial" w:hAnsi="Arial"/>
          <w:sz w:val="14"/>
          <w:szCs w:val="14"/>
          <w:i w:val="1"/>
          <w:iCs w:val="1"/>
          <w:color w:val="auto"/>
        </w:rPr>
        <w:t>Director Compensation</w:t>
      </w:r>
      <w:r>
        <w:rPr>
          <w:rFonts w:ascii="Arial" w:cs="Arial" w:eastAsia="Arial" w:hAnsi="Arial"/>
          <w:sz w:val="14"/>
          <w:szCs w:val="14"/>
          <w:color w:val="auto"/>
        </w:rPr>
        <w:t>” above.</w:t>
      </w:r>
    </w:p>
    <w:p>
      <w:pPr>
        <w:spacing w:after="0" w:line="1" w:lineRule="exact"/>
        <w:rPr>
          <w:rFonts w:ascii="Arial" w:cs="Arial" w:eastAsia="Arial" w:hAnsi="Arial"/>
          <w:sz w:val="22"/>
          <w:szCs w:val="22"/>
          <w:color w:val="auto"/>
          <w:vertAlign w:val="superscript"/>
        </w:rPr>
      </w:pPr>
    </w:p>
    <w:p>
      <w:pPr>
        <w:ind w:left="244" w:right="400" w:hanging="244"/>
        <w:spacing w:after="0" w:line="196" w:lineRule="auto"/>
        <w:tabs>
          <w:tab w:leader="none" w:pos="244" w:val="left"/>
        </w:tabs>
        <w:numPr>
          <w:ilvl w:val="0"/>
          <w:numId w:val="41"/>
        </w:numPr>
        <w:rPr>
          <w:rFonts w:ascii="Arial" w:cs="Arial" w:eastAsia="Arial" w:hAnsi="Arial"/>
          <w:sz w:val="22"/>
          <w:szCs w:val="22"/>
          <w:color w:val="auto"/>
          <w:vertAlign w:val="superscript"/>
        </w:rPr>
      </w:pPr>
      <w:r>
        <w:rPr>
          <w:rFonts w:ascii="Arial" w:cs="Arial" w:eastAsia="Arial" w:hAnsi="Arial"/>
          <w:sz w:val="14"/>
          <w:szCs w:val="14"/>
          <w:color w:val="auto"/>
        </w:rPr>
        <w:t>Ms. Mathew joined our board of directors in July 2021, and therefore the number of shares covered by her equity award was prorated for the portion of 2021 in which she served as a director, as reflected in the figure set forth in the table above.</w:t>
      </w:r>
    </w:p>
    <w:p>
      <w:pPr>
        <w:spacing w:after="0" w:line="188" w:lineRule="exact"/>
        <w:rPr>
          <w:sz w:val="20"/>
          <w:szCs w:val="20"/>
          <w:color w:val="auto"/>
        </w:rPr>
      </w:pPr>
    </w:p>
    <w:p>
      <w:pPr>
        <w:ind w:left="524" w:hanging="524"/>
        <w:spacing w:after="0"/>
        <w:tabs>
          <w:tab w:leader="none" w:pos="524" w:val="left"/>
        </w:tabs>
        <w:numPr>
          <w:ilvl w:val="0"/>
          <w:numId w:val="42"/>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126365</wp:posOffset>
            </wp:positionV>
            <wp:extent cx="6995160" cy="171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26" w:name="page27"/>
    <w:bookmarkEnd w:id="26"/>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PROPOSAL NO. 1—ELECTION OF DIRECTORS</w:t>
      </w:r>
    </w:p>
    <w:p>
      <w:pPr>
        <w:spacing w:after="0" w:line="186" w:lineRule="exact"/>
        <w:rPr>
          <w:sz w:val="20"/>
          <w:szCs w:val="20"/>
          <w:color w:val="auto"/>
        </w:rPr>
      </w:pPr>
    </w:p>
    <w:p>
      <w:pPr>
        <w:ind w:left="720" w:right="820"/>
        <w:spacing w:after="0" w:line="266" w:lineRule="auto"/>
        <w:rPr>
          <w:sz w:val="20"/>
          <w:szCs w:val="20"/>
          <w:color w:val="auto"/>
        </w:rPr>
      </w:pPr>
      <w:r>
        <w:rPr>
          <w:rFonts w:ascii="Arial" w:cs="Arial" w:eastAsia="Arial" w:hAnsi="Arial"/>
          <w:sz w:val="16"/>
          <w:szCs w:val="16"/>
          <w:color w:val="auto"/>
        </w:rPr>
        <w:t>As of March 25, 2022, our board of directors consisted of eight directors. Until the outstanding shares of our Class B common stock represent less than a majority of the combined voting power of our common stock, we will have a single class of directors with each director elected for a one-year term and until their successor is duly elected and qualified, or until their earlier resignation or removal.</w:t>
      </w:r>
    </w:p>
    <w:p>
      <w:pPr>
        <w:spacing w:after="0" w:line="315"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Nominees</w:t>
      </w:r>
    </w:p>
    <w:p>
      <w:pPr>
        <w:spacing w:after="0" w:line="179" w:lineRule="exact"/>
        <w:rPr>
          <w:sz w:val="20"/>
          <w:szCs w:val="20"/>
          <w:color w:val="auto"/>
        </w:rPr>
      </w:pPr>
    </w:p>
    <w:p>
      <w:pPr>
        <w:ind w:left="720" w:right="740"/>
        <w:spacing w:after="0" w:line="251" w:lineRule="auto"/>
        <w:rPr>
          <w:sz w:val="20"/>
          <w:szCs w:val="20"/>
          <w:color w:val="auto"/>
        </w:rPr>
      </w:pPr>
      <w:r>
        <w:rPr>
          <w:rFonts w:ascii="Arial" w:cs="Arial" w:eastAsia="Arial" w:hAnsi="Arial"/>
          <w:sz w:val="16"/>
          <w:szCs w:val="16"/>
          <w:color w:val="auto"/>
        </w:rPr>
        <w:t>Our nominating and corporate governance committee has recommended, and our board of directors has approved, Andrew W. Houston, Donald W. Blair, Lisa Campbell, Paul E. Jacobs, Sara Mathew, Abhay Parasnis, Karen Peacock and Michael Seibel as nominees for election as directors at the Annual Meeting. If elected, each of the nominees will serve as directors until the 2023 annual meeting of stockholders and until their successors are duly elected and qualified. Each of the nominees is currently a director of our company, although Ms. Mathew and Mr. Parasnis are standing for election by our stockholders for the first time. For information concerning the nominees, please see “</w:t>
      </w:r>
      <w:r>
        <w:rPr>
          <w:rFonts w:ascii="Arial" w:cs="Arial" w:eastAsia="Arial" w:hAnsi="Arial"/>
          <w:sz w:val="16"/>
          <w:szCs w:val="16"/>
          <w:i w:val="1"/>
          <w:iCs w:val="1"/>
          <w:color w:val="auto"/>
        </w:rPr>
        <w:t>Board of Directors and Corporate Governance</w:t>
      </w:r>
      <w:r>
        <w:rPr>
          <w:rFonts w:ascii="Arial" w:cs="Arial" w:eastAsia="Arial" w:hAnsi="Arial"/>
          <w:sz w:val="16"/>
          <w:szCs w:val="16"/>
          <w:color w:val="auto"/>
        </w:rPr>
        <w:t>.” We expect that each of Dr. Jacobs, Messrs. Houston, Blair, Parasnis and Seibel, and Mss. Campbell, Mathew and Peacock will accept such nomination; however, in the event that a director nominee is unable or declines to serve as a director at the time of the Annual Meeting, the proxies will be voted for any nominee designated by our board of directors to fill such vacancy.</w:t>
      </w:r>
    </w:p>
    <w:p>
      <w:pPr>
        <w:spacing w:after="0" w:line="131" w:lineRule="exact"/>
        <w:rPr>
          <w:sz w:val="20"/>
          <w:szCs w:val="20"/>
          <w:color w:val="auto"/>
        </w:rPr>
      </w:pPr>
    </w:p>
    <w:p>
      <w:pPr>
        <w:ind w:left="720" w:right="760"/>
        <w:spacing w:after="0" w:line="259" w:lineRule="auto"/>
        <w:rPr>
          <w:sz w:val="20"/>
          <w:szCs w:val="20"/>
          <w:color w:val="auto"/>
        </w:rPr>
      </w:pPr>
      <w:r>
        <w:rPr>
          <w:rFonts w:ascii="Arial" w:cs="Arial" w:eastAsia="Arial" w:hAnsi="Arial"/>
          <w:sz w:val="16"/>
          <w:szCs w:val="16"/>
          <w:color w:val="auto"/>
        </w:rPr>
        <w:t>If you are a stockholder of record and you sign your proxy card or vote by telephone or over the Internet but do not give instructions with respect to the voting of directors, your shares will be voted “FOR” the election of Dr. Jacobs, Messrs. Houston, Blair, Parasnis and Seibel, and Mss. Campbell, Mathew and Peacock. If you are a street name stockholder and you do not give voting instructions to your broker or nominee, your broker will leave your shares unvoted on this matter.</w:t>
      </w:r>
    </w:p>
    <w:p>
      <w:pPr>
        <w:spacing w:after="0" w:line="335"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Vote Required</w:t>
      </w:r>
    </w:p>
    <w:p>
      <w:pPr>
        <w:spacing w:after="0" w:line="179" w:lineRule="exact"/>
        <w:rPr>
          <w:sz w:val="20"/>
          <w:szCs w:val="20"/>
          <w:color w:val="auto"/>
        </w:rPr>
      </w:pPr>
    </w:p>
    <w:p>
      <w:pPr>
        <w:ind w:left="720" w:right="740"/>
        <w:spacing w:after="0" w:line="256" w:lineRule="auto"/>
        <w:rPr>
          <w:sz w:val="20"/>
          <w:szCs w:val="20"/>
          <w:color w:val="auto"/>
        </w:rPr>
      </w:pPr>
      <w:r>
        <w:rPr>
          <w:rFonts w:ascii="Arial" w:cs="Arial" w:eastAsia="Arial" w:hAnsi="Arial"/>
          <w:sz w:val="16"/>
          <w:szCs w:val="16"/>
          <w:color w:val="auto"/>
        </w:rPr>
        <w:t>Each director is elected by a plurality of the votes of the shares present virtually or represented by proxy at the meeting and entitled to vote on the election of directors at the Annual Meeting. “Plurality” means that the eight nominees who receive the largest number of votes cast “For” such nominees are elected as directors. As a result, any shares not voted “For” a particular nominee (whether as a result of a withhold vote or a broker non-vote) will not be counted in such nominee’s favor and will have no effect on the outcome of the election.</w:t>
      </w:r>
    </w:p>
    <w:p>
      <w:pPr>
        <w:spacing w:after="0" w:line="355"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THE BOARD OF DIRECTORS RECOMMENDS A VOTE “FOR” EACH OF THE NOMINEES NAMED ABOVE.</w:t>
      </w:r>
    </w:p>
    <w:p>
      <w:pPr>
        <w:spacing w:after="0" w:line="22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00" w:type="dxa"/>
            <w:vAlign w:val="bottom"/>
          </w:tcPr>
          <w:p>
            <w:pPr>
              <w:ind w:left="434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20" w:type="dxa"/>
            <w:vAlign w:val="bottom"/>
          </w:tcPr>
          <w:p>
            <w:pPr>
              <w:jc w:val="right"/>
              <w:ind w:right="648"/>
              <w:spacing w:after="0"/>
              <w:rPr>
                <w:sz w:val="20"/>
                <w:szCs w:val="20"/>
                <w:color w:val="auto"/>
              </w:rPr>
            </w:pPr>
            <w:r>
              <w:rPr>
                <w:rFonts w:ascii="Arial" w:cs="Arial" w:eastAsia="Arial" w:hAnsi="Arial"/>
                <w:sz w:val="14"/>
                <w:szCs w:val="14"/>
                <w:b w:val="1"/>
                <w:bCs w:val="1"/>
                <w:color w:val="auto"/>
              </w:rPr>
              <w:t>23</w:t>
            </w:r>
          </w:p>
        </w:tc>
      </w:tr>
      <w:tr>
        <w:trPr>
          <w:trHeight w:val="157"/>
        </w:trPr>
        <w:tc>
          <w:tcPr>
            <w:tcW w:w="9900" w:type="dxa"/>
            <w:vAlign w:val="bottom"/>
            <w:tcBorders>
              <w:bottom w:val="single" w:sz="8" w:color="auto"/>
            </w:tcBorders>
          </w:tcPr>
          <w:p>
            <w:pPr>
              <w:spacing w:after="0"/>
              <w:rPr>
                <w:sz w:val="13"/>
                <w:szCs w:val="13"/>
                <w:color w:val="auto"/>
              </w:rPr>
            </w:pPr>
          </w:p>
        </w:tc>
        <w:tc>
          <w:tcPr>
            <w:tcW w:w="112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27" w:name="page28"/>
    <w:bookmarkEnd w:id="27"/>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right="640"/>
        <w:spacing w:after="0" w:line="286" w:lineRule="auto"/>
        <w:rPr>
          <w:sz w:val="20"/>
          <w:szCs w:val="20"/>
          <w:color w:val="auto"/>
        </w:rPr>
      </w:pPr>
      <w:r>
        <w:rPr>
          <w:rFonts w:ascii="Arial" w:cs="Arial" w:eastAsia="Arial" w:hAnsi="Arial"/>
          <w:sz w:val="32"/>
          <w:szCs w:val="32"/>
          <w:color w:val="0063A6"/>
        </w:rPr>
        <w:t>PROPOSAL NO. 2—RATIFICATION OF APPOINTMENT OF INDEPENDENT REGISTERED PUBLIC ACCOUNTING FIRM</w:t>
      </w:r>
    </w:p>
    <w:p>
      <w:pPr>
        <w:spacing w:after="0" w:line="55" w:lineRule="exact"/>
        <w:rPr>
          <w:sz w:val="20"/>
          <w:szCs w:val="20"/>
          <w:color w:val="auto"/>
        </w:rPr>
      </w:pPr>
    </w:p>
    <w:p>
      <w:pPr>
        <w:ind w:left="4" w:right="220"/>
        <w:spacing w:after="0" w:line="266" w:lineRule="auto"/>
        <w:rPr>
          <w:sz w:val="20"/>
          <w:szCs w:val="20"/>
          <w:color w:val="auto"/>
        </w:rPr>
      </w:pPr>
      <w:r>
        <w:rPr>
          <w:rFonts w:ascii="Arial" w:cs="Arial" w:eastAsia="Arial" w:hAnsi="Arial"/>
          <w:sz w:val="16"/>
          <w:szCs w:val="16"/>
          <w:color w:val="auto"/>
        </w:rPr>
        <w:t>Our audit committee has appointed Ernst &amp; Young LLP, an independent registered public accounting firm, to audit our consolidated financial statements for our fiscal year ending December 31, 2022. Ernst &amp; Young LLP has served as our independent registered public accounting firm since 2013.</w:t>
      </w:r>
    </w:p>
    <w:p>
      <w:pPr>
        <w:spacing w:after="0" w:line="117" w:lineRule="exact"/>
        <w:rPr>
          <w:sz w:val="20"/>
          <w:szCs w:val="20"/>
          <w:color w:val="auto"/>
        </w:rPr>
      </w:pPr>
    </w:p>
    <w:p>
      <w:pPr>
        <w:ind w:left="4" w:right="20"/>
        <w:spacing w:after="0" w:line="251" w:lineRule="auto"/>
        <w:rPr>
          <w:sz w:val="20"/>
          <w:szCs w:val="20"/>
          <w:color w:val="auto"/>
        </w:rPr>
      </w:pPr>
      <w:r>
        <w:rPr>
          <w:rFonts w:ascii="Arial" w:cs="Arial" w:eastAsia="Arial" w:hAnsi="Arial"/>
          <w:sz w:val="16"/>
          <w:szCs w:val="16"/>
          <w:color w:val="auto"/>
        </w:rPr>
        <w:t>At the Annual Meeting, our stockholders are being asked to ratify the appointment of Ernst &amp; Young LLP as our independent registered public accounting firm for our fiscal year ending December 31, 2022. Our audit committee is submitting the appointment of Ernst &amp; Young LLP to our stockholders because we value our stockholders’ views on our independent registered public accounting firm and as a matter of good corporate governance. Notwithstanding the appointment of Ernst &amp; Young LLP, and even if our stockholders ratify the appointment, our audit committee, in its discretion, may appoint another independent registered public accounting firm at any time during our fiscal year if our audit committee believes that such a change would be in the best interests of our company and our stockholders. If our stockholders do not ratify the appointment of Ernst &amp; Young LLP, our board of directors may reconsider the appointment. Representatives of Ernst &amp; Young LLP will be present at the Annual Meeting, and they will have an opportunity to make a statement and will be available to respond to appropriate questions from our stockholders.</w:t>
      </w:r>
    </w:p>
    <w:p>
      <w:pPr>
        <w:spacing w:after="0" w:line="329" w:lineRule="exact"/>
        <w:rPr>
          <w:sz w:val="20"/>
          <w:szCs w:val="20"/>
          <w:color w:val="auto"/>
        </w:rPr>
      </w:pPr>
    </w:p>
    <w:p>
      <w:pPr>
        <w:ind w:left="4"/>
        <w:spacing w:after="0"/>
        <w:rPr>
          <w:sz w:val="20"/>
          <w:szCs w:val="20"/>
          <w:color w:val="auto"/>
        </w:rPr>
      </w:pPr>
      <w:r>
        <w:rPr>
          <w:rFonts w:ascii="Arial" w:cs="Arial" w:eastAsia="Arial" w:hAnsi="Arial"/>
          <w:sz w:val="26"/>
          <w:szCs w:val="26"/>
          <w:color w:val="0063A6"/>
        </w:rPr>
        <w:t>Fees Paid to the Independent Registered Public Accounting Firm</w:t>
      </w:r>
    </w:p>
    <w:p>
      <w:pPr>
        <w:spacing w:after="0" w:line="179" w:lineRule="exact"/>
        <w:rPr>
          <w:sz w:val="20"/>
          <w:szCs w:val="20"/>
          <w:color w:val="auto"/>
        </w:rPr>
      </w:pPr>
    </w:p>
    <w:p>
      <w:pPr>
        <w:ind w:left="4" w:right="160"/>
        <w:spacing w:after="0" w:line="286" w:lineRule="auto"/>
        <w:rPr>
          <w:sz w:val="20"/>
          <w:szCs w:val="20"/>
          <w:color w:val="auto"/>
        </w:rPr>
      </w:pPr>
      <w:r>
        <w:rPr>
          <w:rFonts w:ascii="Arial" w:cs="Arial" w:eastAsia="Arial" w:hAnsi="Arial"/>
          <w:sz w:val="16"/>
          <w:szCs w:val="16"/>
          <w:color w:val="auto"/>
        </w:rPr>
        <w:t>The following table presents fees for professional audit services and other services rendered to our company by Ernst &amp; Young LLP for our fiscal years ended December 31, 2021 and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22225</wp:posOffset>
            </wp:positionV>
            <wp:extent cx="6077585" cy="14230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6077585" cy="1423035"/>
                    </a:xfrm>
                    <a:prstGeom prst="rect">
                      <a:avLst/>
                    </a:prstGeom>
                    <a:noFill/>
                  </pic:spPr>
                </pic:pic>
              </a:graphicData>
            </a:graphic>
          </wp:anchor>
        </w:drawing>
      </w:r>
    </w:p>
    <w:p>
      <w:pPr>
        <w:spacing w:after="0" w:line="15" w:lineRule="exact"/>
        <w:rPr>
          <w:sz w:val="20"/>
          <w:szCs w:val="20"/>
          <w:color w:val="auto"/>
        </w:rPr>
      </w:pPr>
    </w:p>
    <w:tbl>
      <w:tblPr>
        <w:tblLayout w:type="fixed"/>
        <w:tblInd w:w="4" w:type="dxa"/>
        <w:tblCellMar>
          <w:top w:w="0" w:type="dxa"/>
          <w:left w:w="0" w:type="dxa"/>
          <w:bottom w:w="0" w:type="dxa"/>
          <w:right w:w="0" w:type="dxa"/>
        </w:tblCellMar>
      </w:tblPr>
      <w:tr>
        <w:trPr>
          <w:trHeight w:val="295"/>
        </w:trPr>
        <w:tc>
          <w:tcPr>
            <w:tcW w:w="3960" w:type="dxa"/>
            <w:vAlign w:val="bottom"/>
            <w:shd w:val="clear" w:color="auto" w:fill="0063A6"/>
          </w:tcPr>
          <w:p>
            <w:pPr>
              <w:spacing w:after="0"/>
              <w:rPr>
                <w:sz w:val="24"/>
                <w:szCs w:val="24"/>
                <w:color w:val="auto"/>
              </w:rPr>
            </w:pPr>
          </w:p>
        </w:tc>
        <w:tc>
          <w:tcPr>
            <w:tcW w:w="2680" w:type="dxa"/>
            <w:vAlign w:val="bottom"/>
            <w:shd w:val="clear" w:color="auto" w:fill="0063A6"/>
          </w:tcPr>
          <w:p>
            <w:pPr>
              <w:spacing w:after="0"/>
              <w:rPr>
                <w:sz w:val="24"/>
                <w:szCs w:val="24"/>
                <w:color w:val="auto"/>
              </w:rPr>
            </w:pPr>
          </w:p>
        </w:tc>
        <w:tc>
          <w:tcPr>
            <w:tcW w:w="1240" w:type="dxa"/>
            <w:vAlign w:val="bottom"/>
            <w:shd w:val="clear" w:color="auto" w:fill="0063A6"/>
          </w:tcPr>
          <w:p>
            <w:pPr>
              <w:jc w:val="right"/>
              <w:ind w:right="601"/>
              <w:spacing w:after="0"/>
              <w:rPr>
                <w:sz w:val="20"/>
                <w:szCs w:val="20"/>
                <w:color w:val="auto"/>
              </w:rPr>
            </w:pPr>
            <w:r>
              <w:rPr>
                <w:rFonts w:ascii="Arial" w:cs="Arial" w:eastAsia="Arial" w:hAnsi="Arial"/>
                <w:sz w:val="14"/>
                <w:szCs w:val="14"/>
                <w:b w:val="1"/>
                <w:bCs w:val="1"/>
                <w:color w:val="FFFFFF"/>
              </w:rPr>
              <w:t>2021</w:t>
            </w:r>
          </w:p>
        </w:tc>
        <w:tc>
          <w:tcPr>
            <w:tcW w:w="420" w:type="dxa"/>
            <w:vAlign w:val="bottom"/>
            <w:shd w:val="clear" w:color="auto" w:fill="0063A6"/>
          </w:tcPr>
          <w:p>
            <w:pPr>
              <w:spacing w:after="0"/>
              <w:rPr>
                <w:sz w:val="24"/>
                <w:szCs w:val="24"/>
                <w:color w:val="auto"/>
              </w:rPr>
            </w:pPr>
          </w:p>
        </w:tc>
        <w:tc>
          <w:tcPr>
            <w:tcW w:w="1260" w:type="dxa"/>
            <w:vAlign w:val="bottom"/>
            <w:shd w:val="clear" w:color="auto" w:fill="0063A6"/>
          </w:tcPr>
          <w:p>
            <w:pPr>
              <w:jc w:val="right"/>
              <w:ind w:right="621"/>
              <w:spacing w:after="0"/>
              <w:rPr>
                <w:sz w:val="20"/>
                <w:szCs w:val="20"/>
                <w:color w:val="auto"/>
              </w:rPr>
            </w:pPr>
            <w:r>
              <w:rPr>
                <w:rFonts w:ascii="Arial" w:cs="Arial" w:eastAsia="Arial" w:hAnsi="Arial"/>
                <w:sz w:val="14"/>
                <w:szCs w:val="14"/>
                <w:b w:val="1"/>
                <w:bCs w:val="1"/>
                <w:color w:val="FFFFFF"/>
              </w:rPr>
              <w:t>2020</w:t>
            </w:r>
          </w:p>
        </w:tc>
      </w:tr>
      <w:tr>
        <w:trPr>
          <w:trHeight w:val="70"/>
        </w:trPr>
        <w:tc>
          <w:tcPr>
            <w:tcW w:w="3960" w:type="dxa"/>
            <w:vAlign w:val="bottom"/>
            <w:shd w:val="clear" w:color="auto" w:fill="0063A6"/>
          </w:tcPr>
          <w:p>
            <w:pPr>
              <w:spacing w:after="0"/>
              <w:rPr>
                <w:sz w:val="6"/>
                <w:szCs w:val="6"/>
                <w:color w:val="auto"/>
              </w:rPr>
            </w:pPr>
          </w:p>
        </w:tc>
        <w:tc>
          <w:tcPr>
            <w:tcW w:w="2680" w:type="dxa"/>
            <w:vAlign w:val="bottom"/>
            <w:shd w:val="clear" w:color="auto" w:fill="0063A6"/>
          </w:tcPr>
          <w:p>
            <w:pPr>
              <w:spacing w:after="0"/>
              <w:rPr>
                <w:sz w:val="6"/>
                <w:szCs w:val="6"/>
                <w:color w:val="auto"/>
              </w:rPr>
            </w:pPr>
          </w:p>
        </w:tc>
        <w:tc>
          <w:tcPr>
            <w:tcW w:w="1240" w:type="dxa"/>
            <w:vAlign w:val="bottom"/>
            <w:shd w:val="clear" w:color="auto" w:fill="0063A6"/>
          </w:tcPr>
          <w:p>
            <w:pPr>
              <w:spacing w:after="0"/>
              <w:rPr>
                <w:sz w:val="6"/>
                <w:szCs w:val="6"/>
                <w:color w:val="auto"/>
              </w:rPr>
            </w:pPr>
          </w:p>
        </w:tc>
        <w:tc>
          <w:tcPr>
            <w:tcW w:w="420" w:type="dxa"/>
            <w:vAlign w:val="bottom"/>
            <w:shd w:val="clear" w:color="auto" w:fill="0063A6"/>
          </w:tcPr>
          <w:p>
            <w:pPr>
              <w:spacing w:after="0"/>
              <w:rPr>
                <w:sz w:val="6"/>
                <w:szCs w:val="6"/>
                <w:color w:val="auto"/>
              </w:rPr>
            </w:pPr>
          </w:p>
        </w:tc>
        <w:tc>
          <w:tcPr>
            <w:tcW w:w="1260" w:type="dxa"/>
            <w:vAlign w:val="bottom"/>
            <w:shd w:val="clear" w:color="auto" w:fill="0063A6"/>
          </w:tcPr>
          <w:p>
            <w:pPr>
              <w:spacing w:after="0"/>
              <w:rPr>
                <w:sz w:val="6"/>
                <w:szCs w:val="6"/>
                <w:color w:val="auto"/>
              </w:rPr>
            </w:pPr>
          </w:p>
        </w:tc>
      </w:tr>
      <w:tr>
        <w:trPr>
          <w:trHeight w:val="378"/>
        </w:trPr>
        <w:tc>
          <w:tcPr>
            <w:tcW w:w="3960" w:type="dxa"/>
            <w:vAlign w:val="bottom"/>
            <w:shd w:val="clear" w:color="auto" w:fill="F2F2F2"/>
          </w:tcPr>
          <w:p>
            <w:pPr>
              <w:ind w:left="80"/>
              <w:spacing w:after="0"/>
              <w:rPr>
                <w:sz w:val="20"/>
                <w:szCs w:val="20"/>
                <w:color w:val="auto"/>
              </w:rPr>
            </w:pPr>
            <w:r>
              <w:rPr>
                <w:rFonts w:ascii="Arial" w:cs="Arial" w:eastAsia="Arial" w:hAnsi="Arial"/>
                <w:sz w:val="16"/>
                <w:szCs w:val="16"/>
                <w:color w:val="auto"/>
              </w:rPr>
              <w:t>Audit Fees</w:t>
            </w:r>
            <w:r>
              <w:rPr>
                <w:rFonts w:ascii="Arial" w:cs="Arial" w:eastAsia="Arial" w:hAnsi="Arial"/>
                <w:sz w:val="26"/>
                <w:szCs w:val="26"/>
                <w:color w:val="auto"/>
                <w:vertAlign w:val="superscript"/>
              </w:rPr>
              <w:t>(1)</w:t>
            </w:r>
          </w:p>
        </w:tc>
        <w:tc>
          <w:tcPr>
            <w:tcW w:w="2680" w:type="dxa"/>
            <w:vAlign w:val="bottom"/>
            <w:shd w:val="clear" w:color="auto" w:fill="F2F2F2"/>
          </w:tcPr>
          <w:p>
            <w:pPr>
              <w:jc w:val="right"/>
              <w:ind w:right="159"/>
              <w:spacing w:after="0"/>
              <w:rPr>
                <w:sz w:val="20"/>
                <w:szCs w:val="20"/>
                <w:color w:val="auto"/>
              </w:rPr>
            </w:pPr>
            <w:r>
              <w:rPr>
                <w:rFonts w:ascii="Arial" w:cs="Arial" w:eastAsia="Arial" w:hAnsi="Arial"/>
                <w:sz w:val="16"/>
                <w:szCs w:val="16"/>
                <w:color w:val="auto"/>
              </w:rPr>
              <w:t>$</w:t>
            </w:r>
          </w:p>
        </w:tc>
        <w:tc>
          <w:tcPr>
            <w:tcW w:w="1240" w:type="dxa"/>
            <w:vAlign w:val="bottom"/>
            <w:shd w:val="clear" w:color="auto" w:fill="F2F2F2"/>
          </w:tcPr>
          <w:p>
            <w:pPr>
              <w:jc w:val="right"/>
              <w:ind w:right="41"/>
              <w:spacing w:after="0"/>
              <w:rPr>
                <w:sz w:val="20"/>
                <w:szCs w:val="20"/>
                <w:color w:val="auto"/>
              </w:rPr>
            </w:pPr>
            <w:r>
              <w:rPr>
                <w:rFonts w:ascii="Arial" w:cs="Arial" w:eastAsia="Arial" w:hAnsi="Arial"/>
                <w:sz w:val="16"/>
                <w:szCs w:val="16"/>
                <w:color w:val="auto"/>
              </w:rPr>
              <w:t>3,375,000</w:t>
            </w:r>
          </w:p>
        </w:tc>
        <w:tc>
          <w:tcPr>
            <w:tcW w:w="420" w:type="dxa"/>
            <w:vAlign w:val="bottom"/>
            <w:shd w:val="clear" w:color="auto" w:fill="F2F2F2"/>
          </w:tcPr>
          <w:p>
            <w:pPr>
              <w:jc w:val="right"/>
              <w:ind w:right="139"/>
              <w:spacing w:after="0"/>
              <w:rPr>
                <w:sz w:val="20"/>
                <w:szCs w:val="20"/>
                <w:color w:val="auto"/>
              </w:rPr>
            </w:pPr>
            <w:r>
              <w:rPr>
                <w:rFonts w:ascii="Arial" w:cs="Arial" w:eastAsia="Arial" w:hAnsi="Arial"/>
                <w:sz w:val="16"/>
                <w:szCs w:val="16"/>
                <w:color w:val="auto"/>
              </w:rPr>
              <w:t>$</w:t>
            </w:r>
          </w:p>
        </w:tc>
        <w:tc>
          <w:tcPr>
            <w:tcW w:w="1260" w:type="dxa"/>
            <w:vAlign w:val="bottom"/>
            <w:shd w:val="clear" w:color="auto" w:fill="F2F2F2"/>
          </w:tcPr>
          <w:p>
            <w:pPr>
              <w:jc w:val="right"/>
              <w:ind w:right="41"/>
              <w:spacing w:after="0"/>
              <w:rPr>
                <w:sz w:val="20"/>
                <w:szCs w:val="20"/>
                <w:color w:val="auto"/>
              </w:rPr>
            </w:pPr>
            <w:r>
              <w:rPr>
                <w:rFonts w:ascii="Arial" w:cs="Arial" w:eastAsia="Arial" w:hAnsi="Arial"/>
                <w:sz w:val="16"/>
                <w:szCs w:val="16"/>
                <w:color w:val="auto"/>
              </w:rPr>
              <w:t>3,082,000</w:t>
            </w:r>
          </w:p>
        </w:tc>
      </w:tr>
      <w:tr>
        <w:trPr>
          <w:trHeight w:val="378"/>
        </w:trPr>
        <w:tc>
          <w:tcPr>
            <w:tcW w:w="3960" w:type="dxa"/>
            <w:vAlign w:val="bottom"/>
          </w:tcPr>
          <w:p>
            <w:pPr>
              <w:ind w:left="80"/>
              <w:spacing w:after="0"/>
              <w:rPr>
                <w:sz w:val="20"/>
                <w:szCs w:val="20"/>
                <w:color w:val="auto"/>
              </w:rPr>
            </w:pPr>
            <w:r>
              <w:rPr>
                <w:rFonts w:ascii="Arial" w:cs="Arial" w:eastAsia="Arial" w:hAnsi="Arial"/>
                <w:sz w:val="16"/>
                <w:szCs w:val="16"/>
                <w:color w:val="auto"/>
              </w:rPr>
              <w:t>Audit-Related Fees</w:t>
            </w:r>
            <w:r>
              <w:rPr>
                <w:rFonts w:ascii="Arial" w:cs="Arial" w:eastAsia="Arial" w:hAnsi="Arial"/>
                <w:sz w:val="26"/>
                <w:szCs w:val="26"/>
                <w:color w:val="auto"/>
                <w:vertAlign w:val="superscript"/>
              </w:rPr>
              <w:t>(2)</w:t>
            </w:r>
          </w:p>
        </w:tc>
        <w:tc>
          <w:tcPr>
            <w:tcW w:w="2680" w:type="dxa"/>
            <w:vAlign w:val="bottom"/>
          </w:tcPr>
          <w:p>
            <w:pPr>
              <w:jc w:val="right"/>
              <w:ind w:right="159"/>
              <w:spacing w:after="0"/>
              <w:rPr>
                <w:sz w:val="20"/>
                <w:szCs w:val="20"/>
                <w:color w:val="auto"/>
              </w:rPr>
            </w:pPr>
            <w:r>
              <w:rPr>
                <w:rFonts w:ascii="Arial" w:cs="Arial" w:eastAsia="Arial" w:hAnsi="Arial"/>
                <w:sz w:val="16"/>
                <w:szCs w:val="16"/>
                <w:color w:val="auto"/>
              </w:rPr>
              <w:t>$</w:t>
            </w:r>
          </w:p>
        </w:tc>
        <w:tc>
          <w:tcPr>
            <w:tcW w:w="1240" w:type="dxa"/>
            <w:vAlign w:val="bottom"/>
          </w:tcPr>
          <w:p>
            <w:pPr>
              <w:jc w:val="right"/>
              <w:ind w:right="41"/>
              <w:spacing w:after="0"/>
              <w:rPr>
                <w:sz w:val="20"/>
                <w:szCs w:val="20"/>
                <w:color w:val="auto"/>
              </w:rPr>
            </w:pPr>
            <w:r>
              <w:rPr>
                <w:rFonts w:ascii="Arial" w:cs="Arial" w:eastAsia="Arial" w:hAnsi="Arial"/>
                <w:sz w:val="16"/>
                <w:szCs w:val="16"/>
                <w:color w:val="auto"/>
              </w:rPr>
              <w:t>534,000</w:t>
            </w:r>
          </w:p>
        </w:tc>
        <w:tc>
          <w:tcPr>
            <w:tcW w:w="420" w:type="dxa"/>
            <w:vAlign w:val="bottom"/>
          </w:tcPr>
          <w:p>
            <w:pPr>
              <w:jc w:val="right"/>
              <w:ind w:right="139"/>
              <w:spacing w:after="0"/>
              <w:rPr>
                <w:sz w:val="20"/>
                <w:szCs w:val="20"/>
                <w:color w:val="auto"/>
              </w:rPr>
            </w:pPr>
            <w:r>
              <w:rPr>
                <w:rFonts w:ascii="Arial" w:cs="Arial" w:eastAsia="Arial" w:hAnsi="Arial"/>
                <w:sz w:val="16"/>
                <w:szCs w:val="16"/>
                <w:color w:val="auto"/>
              </w:rPr>
              <w:t>$</w:t>
            </w:r>
          </w:p>
        </w:tc>
        <w:tc>
          <w:tcPr>
            <w:tcW w:w="1260" w:type="dxa"/>
            <w:vAlign w:val="bottom"/>
          </w:tcPr>
          <w:p>
            <w:pPr>
              <w:jc w:val="right"/>
              <w:ind w:right="61"/>
              <w:spacing w:after="0"/>
              <w:rPr>
                <w:sz w:val="20"/>
                <w:szCs w:val="20"/>
                <w:color w:val="auto"/>
              </w:rPr>
            </w:pPr>
            <w:r>
              <w:rPr>
                <w:rFonts w:ascii="Arial" w:cs="Arial" w:eastAsia="Arial" w:hAnsi="Arial"/>
                <w:sz w:val="16"/>
                <w:szCs w:val="16"/>
                <w:color w:val="auto"/>
              </w:rPr>
              <w:t>711,000</w:t>
            </w:r>
          </w:p>
        </w:tc>
      </w:tr>
      <w:tr>
        <w:trPr>
          <w:trHeight w:val="378"/>
        </w:trPr>
        <w:tc>
          <w:tcPr>
            <w:tcW w:w="3960" w:type="dxa"/>
            <w:vAlign w:val="bottom"/>
            <w:shd w:val="clear" w:color="auto" w:fill="F2F2F2"/>
          </w:tcPr>
          <w:p>
            <w:pPr>
              <w:ind w:left="80"/>
              <w:spacing w:after="0"/>
              <w:rPr>
                <w:sz w:val="20"/>
                <w:szCs w:val="20"/>
                <w:color w:val="auto"/>
              </w:rPr>
            </w:pPr>
            <w:r>
              <w:rPr>
                <w:rFonts w:ascii="Arial" w:cs="Arial" w:eastAsia="Arial" w:hAnsi="Arial"/>
                <w:sz w:val="16"/>
                <w:szCs w:val="16"/>
                <w:color w:val="auto"/>
              </w:rPr>
              <w:t>Tax Fees</w:t>
            </w:r>
            <w:r>
              <w:rPr>
                <w:rFonts w:ascii="Arial" w:cs="Arial" w:eastAsia="Arial" w:hAnsi="Arial"/>
                <w:sz w:val="26"/>
                <w:szCs w:val="26"/>
                <w:color w:val="auto"/>
                <w:vertAlign w:val="superscript"/>
              </w:rPr>
              <w:t>(3)</w:t>
            </w:r>
          </w:p>
        </w:tc>
        <w:tc>
          <w:tcPr>
            <w:tcW w:w="2680" w:type="dxa"/>
            <w:vAlign w:val="bottom"/>
            <w:shd w:val="clear" w:color="auto" w:fill="F2F2F2"/>
          </w:tcPr>
          <w:p>
            <w:pPr>
              <w:jc w:val="right"/>
              <w:ind w:right="159"/>
              <w:spacing w:after="0"/>
              <w:rPr>
                <w:sz w:val="20"/>
                <w:szCs w:val="20"/>
                <w:color w:val="auto"/>
              </w:rPr>
            </w:pPr>
            <w:r>
              <w:rPr>
                <w:rFonts w:ascii="Arial" w:cs="Arial" w:eastAsia="Arial" w:hAnsi="Arial"/>
                <w:sz w:val="16"/>
                <w:szCs w:val="16"/>
                <w:color w:val="auto"/>
              </w:rPr>
              <w:t>$</w:t>
            </w:r>
          </w:p>
        </w:tc>
        <w:tc>
          <w:tcPr>
            <w:tcW w:w="1240" w:type="dxa"/>
            <w:vAlign w:val="bottom"/>
            <w:shd w:val="clear" w:color="auto" w:fill="F2F2F2"/>
          </w:tcPr>
          <w:p>
            <w:pPr>
              <w:jc w:val="right"/>
              <w:ind w:right="41"/>
              <w:spacing w:after="0"/>
              <w:rPr>
                <w:sz w:val="20"/>
                <w:szCs w:val="20"/>
                <w:color w:val="auto"/>
              </w:rPr>
            </w:pPr>
            <w:r>
              <w:rPr>
                <w:rFonts w:ascii="Arial" w:cs="Arial" w:eastAsia="Arial" w:hAnsi="Arial"/>
                <w:sz w:val="16"/>
                <w:szCs w:val="16"/>
                <w:color w:val="auto"/>
              </w:rPr>
              <w:t>110,000</w:t>
            </w:r>
          </w:p>
        </w:tc>
        <w:tc>
          <w:tcPr>
            <w:tcW w:w="420" w:type="dxa"/>
            <w:vAlign w:val="bottom"/>
            <w:shd w:val="clear" w:color="auto" w:fill="F2F2F2"/>
          </w:tcPr>
          <w:p>
            <w:pPr>
              <w:jc w:val="right"/>
              <w:ind w:right="139"/>
              <w:spacing w:after="0"/>
              <w:rPr>
                <w:sz w:val="20"/>
                <w:szCs w:val="20"/>
                <w:color w:val="auto"/>
              </w:rPr>
            </w:pPr>
            <w:r>
              <w:rPr>
                <w:rFonts w:ascii="Arial" w:cs="Arial" w:eastAsia="Arial" w:hAnsi="Arial"/>
                <w:sz w:val="16"/>
                <w:szCs w:val="16"/>
                <w:color w:val="auto"/>
              </w:rPr>
              <w:t>$</w:t>
            </w:r>
          </w:p>
        </w:tc>
        <w:tc>
          <w:tcPr>
            <w:tcW w:w="1260" w:type="dxa"/>
            <w:vAlign w:val="bottom"/>
            <w:shd w:val="clear" w:color="auto" w:fill="F2F2F2"/>
          </w:tcPr>
          <w:p>
            <w:pPr>
              <w:jc w:val="right"/>
              <w:ind w:right="41"/>
              <w:spacing w:after="0"/>
              <w:rPr>
                <w:sz w:val="20"/>
                <w:szCs w:val="20"/>
                <w:color w:val="auto"/>
              </w:rPr>
            </w:pPr>
            <w:r>
              <w:rPr>
                <w:rFonts w:ascii="Arial" w:cs="Arial" w:eastAsia="Arial" w:hAnsi="Arial"/>
                <w:sz w:val="16"/>
                <w:szCs w:val="16"/>
                <w:color w:val="auto"/>
              </w:rPr>
              <w:t>126,000</w:t>
            </w:r>
          </w:p>
        </w:tc>
      </w:tr>
      <w:tr>
        <w:trPr>
          <w:trHeight w:val="378"/>
        </w:trPr>
        <w:tc>
          <w:tcPr>
            <w:tcW w:w="3960" w:type="dxa"/>
            <w:vAlign w:val="bottom"/>
          </w:tcPr>
          <w:p>
            <w:pPr>
              <w:ind w:left="80"/>
              <w:spacing w:after="0"/>
              <w:rPr>
                <w:sz w:val="20"/>
                <w:szCs w:val="20"/>
                <w:color w:val="auto"/>
              </w:rPr>
            </w:pPr>
            <w:r>
              <w:rPr>
                <w:rFonts w:ascii="Arial" w:cs="Arial" w:eastAsia="Arial" w:hAnsi="Arial"/>
                <w:sz w:val="16"/>
                <w:szCs w:val="16"/>
                <w:color w:val="auto"/>
              </w:rPr>
              <w:t>All Other Fees</w:t>
            </w:r>
            <w:r>
              <w:rPr>
                <w:rFonts w:ascii="Arial" w:cs="Arial" w:eastAsia="Arial" w:hAnsi="Arial"/>
                <w:sz w:val="26"/>
                <w:szCs w:val="26"/>
                <w:color w:val="auto"/>
                <w:vertAlign w:val="superscript"/>
              </w:rPr>
              <w:t>(4)</w:t>
            </w:r>
          </w:p>
        </w:tc>
        <w:tc>
          <w:tcPr>
            <w:tcW w:w="2680" w:type="dxa"/>
            <w:vAlign w:val="bottom"/>
          </w:tcPr>
          <w:p>
            <w:pPr>
              <w:jc w:val="right"/>
              <w:ind w:right="159"/>
              <w:spacing w:after="0"/>
              <w:rPr>
                <w:sz w:val="20"/>
                <w:szCs w:val="20"/>
                <w:color w:val="auto"/>
              </w:rPr>
            </w:pPr>
            <w:r>
              <w:rPr>
                <w:rFonts w:ascii="Arial" w:cs="Arial" w:eastAsia="Arial" w:hAnsi="Arial"/>
                <w:sz w:val="16"/>
                <w:szCs w:val="16"/>
                <w:color w:val="auto"/>
              </w:rPr>
              <w:t>$</w:t>
            </w:r>
          </w:p>
        </w:tc>
        <w:tc>
          <w:tcPr>
            <w:tcW w:w="1240" w:type="dxa"/>
            <w:vAlign w:val="bottom"/>
          </w:tcPr>
          <w:p>
            <w:pPr>
              <w:jc w:val="right"/>
              <w:ind w:right="41"/>
              <w:spacing w:after="0"/>
              <w:rPr>
                <w:sz w:val="20"/>
                <w:szCs w:val="20"/>
                <w:color w:val="auto"/>
              </w:rPr>
            </w:pPr>
            <w:r>
              <w:rPr>
                <w:rFonts w:ascii="Arial" w:cs="Arial" w:eastAsia="Arial" w:hAnsi="Arial"/>
                <w:sz w:val="16"/>
                <w:szCs w:val="16"/>
                <w:color w:val="auto"/>
              </w:rPr>
              <w:t>6,000</w:t>
            </w:r>
          </w:p>
        </w:tc>
        <w:tc>
          <w:tcPr>
            <w:tcW w:w="420" w:type="dxa"/>
            <w:vAlign w:val="bottom"/>
          </w:tcPr>
          <w:p>
            <w:pPr>
              <w:jc w:val="right"/>
              <w:ind w:right="139"/>
              <w:spacing w:after="0"/>
              <w:rPr>
                <w:sz w:val="20"/>
                <w:szCs w:val="20"/>
                <w:color w:val="auto"/>
              </w:rPr>
            </w:pPr>
            <w:r>
              <w:rPr>
                <w:rFonts w:ascii="Arial" w:cs="Arial" w:eastAsia="Arial" w:hAnsi="Arial"/>
                <w:sz w:val="16"/>
                <w:szCs w:val="16"/>
                <w:color w:val="auto"/>
              </w:rPr>
              <w:t>$</w:t>
            </w:r>
          </w:p>
        </w:tc>
        <w:tc>
          <w:tcPr>
            <w:tcW w:w="1260" w:type="dxa"/>
            <w:vAlign w:val="bottom"/>
          </w:tcPr>
          <w:p>
            <w:pPr>
              <w:jc w:val="right"/>
              <w:ind w:right="41"/>
              <w:spacing w:after="0"/>
              <w:rPr>
                <w:sz w:val="20"/>
                <w:szCs w:val="20"/>
                <w:color w:val="auto"/>
              </w:rPr>
            </w:pPr>
            <w:r>
              <w:rPr>
                <w:rFonts w:ascii="Arial" w:cs="Arial" w:eastAsia="Arial" w:hAnsi="Arial"/>
                <w:sz w:val="16"/>
                <w:szCs w:val="16"/>
                <w:color w:val="auto"/>
              </w:rPr>
              <w:t>6,000</w:t>
            </w:r>
          </w:p>
        </w:tc>
      </w:tr>
      <w:tr>
        <w:trPr>
          <w:trHeight w:val="303"/>
        </w:trPr>
        <w:tc>
          <w:tcPr>
            <w:tcW w:w="396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Total Fees</w:t>
            </w:r>
          </w:p>
        </w:tc>
        <w:tc>
          <w:tcPr>
            <w:tcW w:w="2680" w:type="dxa"/>
            <w:vAlign w:val="bottom"/>
            <w:shd w:val="clear" w:color="auto" w:fill="F2F2F2"/>
          </w:tcPr>
          <w:p>
            <w:pPr>
              <w:jc w:val="right"/>
              <w:ind w:right="159"/>
              <w:spacing w:after="0"/>
              <w:rPr>
                <w:sz w:val="20"/>
                <w:szCs w:val="20"/>
                <w:color w:val="auto"/>
              </w:rPr>
            </w:pPr>
            <w:r>
              <w:rPr>
                <w:rFonts w:ascii="Arial" w:cs="Arial" w:eastAsia="Arial" w:hAnsi="Arial"/>
                <w:sz w:val="16"/>
                <w:szCs w:val="16"/>
                <w:b w:val="1"/>
                <w:bCs w:val="1"/>
                <w:color w:val="auto"/>
              </w:rPr>
              <w:t>$</w:t>
            </w:r>
          </w:p>
        </w:tc>
        <w:tc>
          <w:tcPr>
            <w:tcW w:w="1240" w:type="dxa"/>
            <w:vAlign w:val="bottom"/>
            <w:shd w:val="clear" w:color="auto" w:fill="F2F2F2"/>
          </w:tcPr>
          <w:p>
            <w:pPr>
              <w:jc w:val="right"/>
              <w:ind w:right="41"/>
              <w:spacing w:after="0"/>
              <w:rPr>
                <w:sz w:val="20"/>
                <w:szCs w:val="20"/>
                <w:color w:val="auto"/>
              </w:rPr>
            </w:pPr>
            <w:r>
              <w:rPr>
                <w:rFonts w:ascii="Arial" w:cs="Arial" w:eastAsia="Arial" w:hAnsi="Arial"/>
                <w:sz w:val="16"/>
                <w:szCs w:val="16"/>
                <w:b w:val="1"/>
                <w:bCs w:val="1"/>
                <w:color w:val="auto"/>
              </w:rPr>
              <w:t>4,025,000</w:t>
            </w:r>
          </w:p>
        </w:tc>
        <w:tc>
          <w:tcPr>
            <w:tcW w:w="420" w:type="dxa"/>
            <w:vAlign w:val="bottom"/>
            <w:shd w:val="clear" w:color="auto" w:fill="F2F2F2"/>
          </w:tcPr>
          <w:p>
            <w:pPr>
              <w:jc w:val="right"/>
              <w:ind w:right="139"/>
              <w:spacing w:after="0"/>
              <w:rPr>
                <w:sz w:val="20"/>
                <w:szCs w:val="20"/>
                <w:color w:val="auto"/>
              </w:rPr>
            </w:pPr>
            <w:r>
              <w:rPr>
                <w:rFonts w:ascii="Arial" w:cs="Arial" w:eastAsia="Arial" w:hAnsi="Arial"/>
                <w:sz w:val="16"/>
                <w:szCs w:val="16"/>
                <w:b w:val="1"/>
                <w:bCs w:val="1"/>
                <w:color w:val="auto"/>
              </w:rPr>
              <w:t>$</w:t>
            </w:r>
          </w:p>
        </w:tc>
        <w:tc>
          <w:tcPr>
            <w:tcW w:w="1260" w:type="dxa"/>
            <w:vAlign w:val="bottom"/>
            <w:shd w:val="clear" w:color="auto" w:fill="F2F2F2"/>
          </w:tcPr>
          <w:p>
            <w:pPr>
              <w:jc w:val="right"/>
              <w:ind w:right="41"/>
              <w:spacing w:after="0"/>
              <w:rPr>
                <w:sz w:val="20"/>
                <w:szCs w:val="20"/>
                <w:color w:val="auto"/>
              </w:rPr>
            </w:pPr>
            <w:r>
              <w:rPr>
                <w:rFonts w:ascii="Arial" w:cs="Arial" w:eastAsia="Arial" w:hAnsi="Arial"/>
                <w:sz w:val="16"/>
                <w:szCs w:val="16"/>
                <w:b w:val="1"/>
                <w:bCs w:val="1"/>
                <w:color w:val="auto"/>
              </w:rPr>
              <w:t>3,925,000</w:t>
            </w:r>
          </w:p>
        </w:tc>
      </w:tr>
      <w:tr>
        <w:trPr>
          <w:trHeight w:val="48"/>
        </w:trPr>
        <w:tc>
          <w:tcPr>
            <w:tcW w:w="3960" w:type="dxa"/>
            <w:vAlign w:val="bottom"/>
            <w:shd w:val="clear" w:color="auto" w:fill="F2F2F2"/>
          </w:tcPr>
          <w:p>
            <w:pPr>
              <w:spacing w:after="0"/>
              <w:rPr>
                <w:sz w:val="4"/>
                <w:szCs w:val="4"/>
                <w:color w:val="auto"/>
              </w:rPr>
            </w:pPr>
          </w:p>
        </w:tc>
        <w:tc>
          <w:tcPr>
            <w:tcW w:w="2680" w:type="dxa"/>
            <w:vAlign w:val="bottom"/>
            <w:shd w:val="clear" w:color="auto" w:fill="F2F2F2"/>
          </w:tcPr>
          <w:p>
            <w:pPr>
              <w:spacing w:after="0"/>
              <w:rPr>
                <w:sz w:val="4"/>
                <w:szCs w:val="4"/>
                <w:color w:val="auto"/>
              </w:rPr>
            </w:pPr>
          </w:p>
        </w:tc>
        <w:tc>
          <w:tcPr>
            <w:tcW w:w="1240" w:type="dxa"/>
            <w:vAlign w:val="bottom"/>
            <w:shd w:val="clear" w:color="auto" w:fill="F2F2F2"/>
          </w:tcPr>
          <w:p>
            <w:pPr>
              <w:spacing w:after="0"/>
              <w:rPr>
                <w:sz w:val="4"/>
                <w:szCs w:val="4"/>
                <w:color w:val="auto"/>
              </w:rPr>
            </w:pPr>
          </w:p>
        </w:tc>
        <w:tc>
          <w:tcPr>
            <w:tcW w:w="420" w:type="dxa"/>
            <w:vAlign w:val="bottom"/>
            <w:shd w:val="clear" w:color="auto" w:fill="F2F2F2"/>
          </w:tcPr>
          <w:p>
            <w:pPr>
              <w:spacing w:after="0"/>
              <w:rPr>
                <w:sz w:val="4"/>
                <w:szCs w:val="4"/>
                <w:color w:val="auto"/>
              </w:rPr>
            </w:pPr>
          </w:p>
        </w:tc>
        <w:tc>
          <w:tcPr>
            <w:tcW w:w="1260" w:type="dxa"/>
            <w:vAlign w:val="bottom"/>
            <w:shd w:val="clear" w:color="auto" w:fill="F2F2F2"/>
          </w:tcPr>
          <w:p>
            <w:pPr>
              <w:spacing w:after="0"/>
              <w:rPr>
                <w:sz w:val="4"/>
                <w:szCs w:val="4"/>
                <w:color w:val="auto"/>
              </w:rPr>
            </w:pPr>
          </w:p>
        </w:tc>
      </w:tr>
    </w:tbl>
    <w:p>
      <w:pPr>
        <w:spacing w:after="0" w:line="85" w:lineRule="exact"/>
        <w:rPr>
          <w:sz w:val="20"/>
          <w:szCs w:val="20"/>
          <w:color w:val="auto"/>
        </w:rPr>
      </w:pPr>
    </w:p>
    <w:p>
      <w:pPr>
        <w:ind w:left="244" w:right="60" w:hanging="244"/>
        <w:spacing w:after="0"/>
        <w:tabs>
          <w:tab w:leader="none" w:pos="244" w:val="left"/>
        </w:tabs>
        <w:numPr>
          <w:ilvl w:val="0"/>
          <w:numId w:val="43"/>
        </w:numPr>
        <w:rPr>
          <w:rFonts w:ascii="Arial" w:cs="Arial" w:eastAsia="Arial" w:hAnsi="Arial"/>
          <w:sz w:val="22"/>
          <w:szCs w:val="22"/>
          <w:color w:val="auto"/>
          <w:vertAlign w:val="superscript"/>
        </w:rPr>
      </w:pPr>
      <w:r>
        <w:rPr>
          <w:rFonts w:ascii="Arial" w:cs="Arial" w:eastAsia="Arial" w:hAnsi="Arial"/>
          <w:sz w:val="14"/>
          <w:szCs w:val="14"/>
          <w:color w:val="auto"/>
        </w:rPr>
        <w:t>Consists of fees billed for professional services rendered in connection with the audit of our consolidated financial statements, audit of our internal controls over financial reporting, reviews of our quarterly consolidated financial statements, related accounting consultations, and statutory audits of our international subsidiaries. For fiscal 2021, this category also includes fees for services incurred in connection with our convertible notes offering.</w:t>
      </w:r>
    </w:p>
    <w:p>
      <w:pPr>
        <w:spacing w:after="0" w:line="101" w:lineRule="exact"/>
        <w:rPr>
          <w:rFonts w:ascii="Arial" w:cs="Arial" w:eastAsia="Arial" w:hAnsi="Arial"/>
          <w:sz w:val="22"/>
          <w:szCs w:val="22"/>
          <w:color w:val="auto"/>
          <w:vertAlign w:val="superscript"/>
        </w:rPr>
      </w:pPr>
    </w:p>
    <w:p>
      <w:pPr>
        <w:ind w:left="244" w:right="60" w:hanging="244"/>
        <w:spacing w:after="0" w:line="219" w:lineRule="auto"/>
        <w:tabs>
          <w:tab w:leader="none" w:pos="244" w:val="left"/>
        </w:tabs>
        <w:numPr>
          <w:ilvl w:val="0"/>
          <w:numId w:val="43"/>
        </w:numPr>
        <w:rPr>
          <w:rFonts w:ascii="Arial" w:cs="Arial" w:eastAsia="Arial" w:hAnsi="Arial"/>
          <w:sz w:val="22"/>
          <w:szCs w:val="22"/>
          <w:color w:val="auto"/>
          <w:vertAlign w:val="superscript"/>
        </w:rPr>
      </w:pPr>
      <w:r>
        <w:rPr>
          <w:rFonts w:ascii="Arial" w:cs="Arial" w:eastAsia="Arial" w:hAnsi="Arial"/>
          <w:sz w:val="14"/>
          <w:szCs w:val="14"/>
          <w:color w:val="auto"/>
        </w:rPr>
        <w:t>Consists of fees billed for assurance and related services that are reasonably related to the performance of the audit or review of our consolidated financial statements, audit of our internal controls over financial reporting, and not reported under “</w:t>
      </w:r>
      <w:r>
        <w:rPr>
          <w:rFonts w:ascii="Arial" w:cs="Arial" w:eastAsia="Arial" w:hAnsi="Arial"/>
          <w:sz w:val="14"/>
          <w:szCs w:val="14"/>
          <w:i w:val="1"/>
          <w:iCs w:val="1"/>
          <w:color w:val="auto"/>
        </w:rPr>
        <w:t>Audit Fees</w:t>
      </w:r>
      <w:r>
        <w:rPr>
          <w:rFonts w:ascii="Arial" w:cs="Arial" w:eastAsia="Arial" w:hAnsi="Arial"/>
          <w:sz w:val="14"/>
          <w:szCs w:val="14"/>
          <w:color w:val="auto"/>
        </w:rPr>
        <w:t>”. This includes fees for professional services with respect to the Statement on Standards for Attestation Engagements (SSAE) No. 18 and other service organization control related examinations, certifications, and assessments.</w:t>
      </w:r>
    </w:p>
    <w:p>
      <w:pPr>
        <w:spacing w:after="0" w:line="2" w:lineRule="exact"/>
        <w:rPr>
          <w:rFonts w:ascii="Arial" w:cs="Arial" w:eastAsia="Arial" w:hAnsi="Arial"/>
          <w:sz w:val="22"/>
          <w:szCs w:val="22"/>
          <w:color w:val="auto"/>
          <w:vertAlign w:val="superscript"/>
        </w:rPr>
      </w:pPr>
    </w:p>
    <w:p>
      <w:pPr>
        <w:ind w:left="244" w:hanging="244"/>
        <w:spacing w:after="0" w:line="183" w:lineRule="auto"/>
        <w:tabs>
          <w:tab w:leader="none" w:pos="244" w:val="left"/>
        </w:tabs>
        <w:numPr>
          <w:ilvl w:val="0"/>
          <w:numId w:val="43"/>
        </w:numPr>
        <w:rPr>
          <w:rFonts w:ascii="Arial" w:cs="Arial" w:eastAsia="Arial" w:hAnsi="Arial"/>
          <w:sz w:val="20"/>
          <w:szCs w:val="20"/>
          <w:color w:val="auto"/>
          <w:vertAlign w:val="superscript"/>
        </w:rPr>
      </w:pPr>
      <w:r>
        <w:rPr>
          <w:rFonts w:ascii="Arial" w:cs="Arial" w:eastAsia="Arial" w:hAnsi="Arial"/>
          <w:sz w:val="14"/>
          <w:szCs w:val="14"/>
          <w:color w:val="auto"/>
        </w:rPr>
        <w:t>Tax Fees consist of fees for professional services for domestic and international tax advisory services.</w:t>
      </w:r>
    </w:p>
    <w:p>
      <w:pPr>
        <w:ind w:left="244" w:right="540" w:hanging="244"/>
        <w:spacing w:after="0" w:line="196" w:lineRule="auto"/>
        <w:tabs>
          <w:tab w:leader="none" w:pos="244" w:val="left"/>
        </w:tabs>
        <w:numPr>
          <w:ilvl w:val="0"/>
          <w:numId w:val="43"/>
        </w:numPr>
        <w:rPr>
          <w:rFonts w:ascii="Arial" w:cs="Arial" w:eastAsia="Arial" w:hAnsi="Arial"/>
          <w:sz w:val="22"/>
          <w:szCs w:val="22"/>
          <w:color w:val="auto"/>
          <w:vertAlign w:val="superscript"/>
        </w:rPr>
      </w:pPr>
      <w:r>
        <w:rPr>
          <w:rFonts w:ascii="Arial" w:cs="Arial" w:eastAsia="Arial" w:hAnsi="Arial"/>
          <w:sz w:val="14"/>
          <w:szCs w:val="14"/>
          <w:color w:val="auto"/>
        </w:rPr>
        <w:t>Consists of aggregate fees billed for products and services provided by the independent registered public accounting firm other than those disclosed above, which relate to subscription fees paid for access to online accounting research software applications.</w:t>
      </w:r>
    </w:p>
    <w:p>
      <w:pPr>
        <w:spacing w:after="0" w:line="188" w:lineRule="exact"/>
        <w:rPr>
          <w:sz w:val="20"/>
          <w:szCs w:val="20"/>
          <w:color w:val="auto"/>
        </w:rPr>
      </w:pPr>
    </w:p>
    <w:p>
      <w:pPr>
        <w:ind w:left="524" w:hanging="524"/>
        <w:spacing w:after="0"/>
        <w:tabs>
          <w:tab w:leader="none" w:pos="524" w:val="left"/>
        </w:tabs>
        <w:numPr>
          <w:ilvl w:val="0"/>
          <w:numId w:val="44"/>
        </w:numPr>
        <w:rPr>
          <w:rFonts w:ascii="Arial" w:cs="Arial" w:eastAsia="Arial" w:hAnsi="Arial"/>
          <w:sz w:val="14"/>
          <w:szCs w:val="14"/>
          <w:b w:val="1"/>
          <w:bCs w:val="1"/>
          <w:color w:val="auto"/>
        </w:rPr>
      </w:pPr>
      <w:r>
        <w:rPr>
          <w:rFonts w:ascii="Arial" w:cs="Arial" w:eastAsia="Arial" w:hAnsi="Arial"/>
          <w:sz w:val="14"/>
          <w:szCs w:val="14"/>
          <w:b w:val="1"/>
          <w:bCs w:val="1"/>
          <w:color w:val="0063A6"/>
        </w:rPr>
        <w:t>Dropbox, Inc</w:t>
      </w:r>
      <w:r>
        <w:rPr>
          <w:rFonts w:ascii="Arial" w:cs="Arial" w:eastAsia="Arial" w:hAnsi="Arial"/>
          <w:sz w:val="14"/>
          <w:szCs w:val="14"/>
          <w:color w:val="0063A6"/>
        </w:rPr>
        <w:t>. 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126365</wp:posOffset>
            </wp:positionV>
            <wp:extent cx="6995160" cy="171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28" w:name="page29"/>
    <w:bookmarkEnd w:id="28"/>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jc w:val="both"/>
        <w:ind w:left="720" w:right="1380"/>
        <w:spacing w:after="0" w:line="266" w:lineRule="auto"/>
        <w:rPr>
          <w:sz w:val="20"/>
          <w:szCs w:val="20"/>
          <w:color w:val="auto"/>
        </w:rPr>
      </w:pPr>
      <w:r>
        <w:rPr>
          <w:rFonts w:ascii="Arial" w:cs="Arial" w:eastAsia="Arial" w:hAnsi="Arial"/>
          <w:sz w:val="32"/>
          <w:szCs w:val="32"/>
          <w:color w:val="0063A6"/>
        </w:rPr>
        <w:t>PROPOSAL NO. 2—RATIFICATION OF APPOINTMENT OF INDEPENDENT REGISTERED PUBLIC ACCOUNTING FIRM (continued)</w:t>
      </w:r>
    </w:p>
    <w:p>
      <w:pPr>
        <w:spacing w:after="0" w:line="284"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Auditor Independence</w:t>
      </w:r>
    </w:p>
    <w:p>
      <w:pPr>
        <w:spacing w:after="0" w:line="179" w:lineRule="exact"/>
        <w:rPr>
          <w:sz w:val="20"/>
          <w:szCs w:val="20"/>
          <w:color w:val="auto"/>
        </w:rPr>
      </w:pPr>
    </w:p>
    <w:p>
      <w:pPr>
        <w:ind w:left="720" w:right="820"/>
        <w:spacing w:after="0" w:line="266" w:lineRule="auto"/>
        <w:rPr>
          <w:sz w:val="20"/>
          <w:szCs w:val="20"/>
          <w:color w:val="auto"/>
        </w:rPr>
      </w:pPr>
      <w:r>
        <w:rPr>
          <w:rFonts w:ascii="Arial" w:cs="Arial" w:eastAsia="Arial" w:hAnsi="Arial"/>
          <w:sz w:val="16"/>
          <w:szCs w:val="16"/>
          <w:color w:val="auto"/>
        </w:rPr>
        <w:t>In our fiscal year ended December 31, 2021, there were no other professional services provided by Ernst &amp; Young LLP, other than those listed above, that would have required our audit committee to consider their compatibility with maintaining the independence of Ernst &amp; Young LLP.</w:t>
      </w:r>
    </w:p>
    <w:p>
      <w:pPr>
        <w:spacing w:after="0" w:line="153" w:lineRule="exact"/>
        <w:rPr>
          <w:sz w:val="20"/>
          <w:szCs w:val="20"/>
          <w:color w:val="auto"/>
        </w:rPr>
      </w:pPr>
    </w:p>
    <w:p>
      <w:pPr>
        <w:ind w:left="720" w:right="1520"/>
        <w:spacing w:after="0" w:line="276" w:lineRule="auto"/>
        <w:rPr>
          <w:sz w:val="20"/>
          <w:szCs w:val="20"/>
          <w:color w:val="auto"/>
        </w:rPr>
      </w:pPr>
      <w:r>
        <w:rPr>
          <w:rFonts w:ascii="Arial" w:cs="Arial" w:eastAsia="Arial" w:hAnsi="Arial"/>
          <w:sz w:val="26"/>
          <w:szCs w:val="26"/>
          <w:color w:val="0063A6"/>
        </w:rPr>
        <w:t>Audit Committee Policy on Pre-Approval of Audit and Permissible Non-Audit Services of Independent Registered Public Accounting Firm</w:t>
      </w:r>
    </w:p>
    <w:p>
      <w:pPr>
        <w:spacing w:after="0" w:line="87" w:lineRule="exact"/>
        <w:rPr>
          <w:sz w:val="20"/>
          <w:szCs w:val="20"/>
          <w:color w:val="auto"/>
        </w:rPr>
      </w:pPr>
    </w:p>
    <w:p>
      <w:pPr>
        <w:ind w:left="720" w:right="840"/>
        <w:spacing w:after="0" w:line="256" w:lineRule="auto"/>
        <w:rPr>
          <w:sz w:val="20"/>
          <w:szCs w:val="20"/>
          <w:color w:val="auto"/>
        </w:rPr>
      </w:pPr>
      <w:r>
        <w:rPr>
          <w:rFonts w:ascii="Arial" w:cs="Arial" w:eastAsia="Arial" w:hAnsi="Arial"/>
          <w:sz w:val="16"/>
          <w:szCs w:val="16"/>
          <w:color w:val="auto"/>
        </w:rPr>
        <w:t>Our audit committee has established a policy governing our use of the services of our independent registered public accounting firm. Under this policy, our audit committee is required to pre-approve all services performed by our independent registered public accounting firm in order to ensure that the provision of such services does not impair the public accountants’ independence. All services provided by Ernst &amp; Young LLP for our fiscal years ended December 31, 2020 and 2021 were pre-approved by our audit committee.</w:t>
      </w:r>
    </w:p>
    <w:p>
      <w:pPr>
        <w:spacing w:after="0" w:line="323"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Vote Required</w:t>
      </w:r>
    </w:p>
    <w:p>
      <w:pPr>
        <w:spacing w:after="0" w:line="179" w:lineRule="exact"/>
        <w:rPr>
          <w:sz w:val="20"/>
          <w:szCs w:val="20"/>
          <w:color w:val="auto"/>
        </w:rPr>
      </w:pPr>
    </w:p>
    <w:p>
      <w:pPr>
        <w:ind w:left="720" w:right="860"/>
        <w:spacing w:after="0" w:line="259" w:lineRule="auto"/>
        <w:rPr>
          <w:sz w:val="20"/>
          <w:szCs w:val="20"/>
          <w:color w:val="auto"/>
        </w:rPr>
      </w:pPr>
      <w:r>
        <w:rPr>
          <w:rFonts w:ascii="Arial" w:cs="Arial" w:eastAsia="Arial" w:hAnsi="Arial"/>
          <w:sz w:val="16"/>
          <w:szCs w:val="16"/>
          <w:color w:val="auto"/>
        </w:rPr>
        <w:t>The ratification of the appointment of Ernst &amp; Young LLP as our independent registered public accounting firm for our fiscal year ending December 31, 2022 requires the affirmative vote of a majority of the voting power of the shares of our common stock present virtually or by proxy at the Annual Meeting and entitled to vote thereon. Abstentions will have the effect of a vote against this proposal, and broker non-votes will have no effect.</w:t>
      </w:r>
    </w:p>
    <w:p>
      <w:pPr>
        <w:spacing w:after="0" w:line="353" w:lineRule="exact"/>
        <w:rPr>
          <w:sz w:val="20"/>
          <w:szCs w:val="20"/>
          <w:color w:val="auto"/>
        </w:rPr>
      </w:pPr>
    </w:p>
    <w:p>
      <w:pPr>
        <w:ind w:left="720" w:right="1220"/>
        <w:spacing w:after="0" w:line="296" w:lineRule="auto"/>
        <w:rPr>
          <w:sz w:val="20"/>
          <w:szCs w:val="20"/>
          <w:color w:val="auto"/>
        </w:rPr>
      </w:pPr>
      <w:r>
        <w:rPr>
          <w:rFonts w:ascii="Arial" w:cs="Arial" w:eastAsia="Arial" w:hAnsi="Arial"/>
          <w:sz w:val="16"/>
          <w:szCs w:val="16"/>
          <w:b w:val="1"/>
          <w:bCs w:val="1"/>
          <w:color w:val="0063A6"/>
        </w:rPr>
        <w:t>THE BOARD OF DIRECTORS RECOMMENDS A VOTE “FOR” THE RATIFICATION OF THE APPOINTMENT OF ERNST &amp; YOUNG LLP AS OUR INDEPENDENT REGISTERED PUBLIC ACCOUNTING FIRM.</w:t>
      </w:r>
    </w:p>
    <w:p>
      <w:pPr>
        <w:spacing w:after="0" w:line="14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00" w:type="dxa"/>
            <w:vAlign w:val="bottom"/>
          </w:tcPr>
          <w:p>
            <w:pPr>
              <w:ind w:left="4340"/>
              <w:spacing w:after="0"/>
              <w:rPr>
                <w:sz w:val="20"/>
                <w:szCs w:val="20"/>
                <w:color w:val="auto"/>
              </w:rPr>
            </w:pPr>
            <w:r>
              <w:rPr>
                <w:rFonts w:ascii="Arial" w:cs="Arial" w:eastAsia="Arial" w:hAnsi="Arial"/>
                <w:sz w:val="14"/>
                <w:szCs w:val="14"/>
                <w:b w:val="1"/>
                <w:bCs w:val="1"/>
                <w:color w:val="0063A6"/>
              </w:rPr>
              <w:t>Dropbox, Inc</w:t>
            </w:r>
            <w:r>
              <w:rPr>
                <w:rFonts w:ascii="Arial" w:cs="Arial" w:eastAsia="Arial" w:hAnsi="Arial"/>
                <w:sz w:val="14"/>
                <w:szCs w:val="14"/>
                <w:color w:val="0063A6"/>
              </w:rPr>
              <w:t>. Proxy Statement and Notice of 2022 Annual Meeting of Stockholders</w:t>
            </w:r>
          </w:p>
        </w:tc>
        <w:tc>
          <w:tcPr>
            <w:tcW w:w="1120" w:type="dxa"/>
            <w:vAlign w:val="bottom"/>
          </w:tcPr>
          <w:p>
            <w:pPr>
              <w:jc w:val="right"/>
              <w:ind w:right="648"/>
              <w:spacing w:after="0"/>
              <w:rPr>
                <w:sz w:val="20"/>
                <w:szCs w:val="20"/>
                <w:color w:val="auto"/>
              </w:rPr>
            </w:pPr>
            <w:r>
              <w:rPr>
                <w:rFonts w:ascii="Arial" w:cs="Arial" w:eastAsia="Arial" w:hAnsi="Arial"/>
                <w:sz w:val="14"/>
                <w:szCs w:val="14"/>
                <w:b w:val="1"/>
                <w:bCs w:val="1"/>
                <w:color w:val="auto"/>
              </w:rPr>
              <w:t>25</w:t>
            </w:r>
          </w:p>
        </w:tc>
      </w:tr>
      <w:tr>
        <w:trPr>
          <w:trHeight w:val="158"/>
        </w:trPr>
        <w:tc>
          <w:tcPr>
            <w:tcW w:w="9900" w:type="dxa"/>
            <w:vAlign w:val="bottom"/>
            <w:tcBorders>
              <w:bottom w:val="single" w:sz="8" w:color="auto"/>
            </w:tcBorders>
          </w:tcPr>
          <w:p>
            <w:pPr>
              <w:spacing w:after="0"/>
              <w:rPr>
                <w:sz w:val="13"/>
                <w:szCs w:val="13"/>
                <w:color w:val="auto"/>
              </w:rPr>
            </w:pPr>
          </w:p>
        </w:tc>
        <w:tc>
          <w:tcPr>
            <w:tcW w:w="112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29" w:name="page30"/>
    <w:bookmarkEnd w:id="29"/>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REPORT OF THE AUDIT COMMITTEE</w:t>
      </w:r>
    </w:p>
    <w:p>
      <w:pPr>
        <w:spacing w:after="0" w:line="186" w:lineRule="exact"/>
        <w:rPr>
          <w:sz w:val="20"/>
          <w:szCs w:val="20"/>
          <w:color w:val="auto"/>
        </w:rPr>
      </w:pPr>
    </w:p>
    <w:p>
      <w:pPr>
        <w:ind w:left="4" w:right="40"/>
        <w:spacing w:after="0" w:line="251" w:lineRule="auto"/>
        <w:rPr>
          <w:sz w:val="20"/>
          <w:szCs w:val="20"/>
          <w:color w:val="auto"/>
        </w:rPr>
      </w:pPr>
      <w:r>
        <w:rPr>
          <w:rFonts w:ascii="Arial" w:cs="Arial" w:eastAsia="Arial" w:hAnsi="Arial"/>
          <w:sz w:val="16"/>
          <w:szCs w:val="16"/>
          <w:color w:val="auto"/>
        </w:rPr>
        <w:t>The audit committee is a committee of the board of directors comprised solely of independent directors as required by Nasdaq listing standards and SEC rules and regulations. The composition of the audit committee, the attributes of its members and the responsibilities of the audit committee, as reflected in its charter, are intended to be in accordance with applicable requirements for corporate audit committees. With respect to Dropbox’s financial reporting process, Dropbox’s management is responsible for</w:t>
      </w:r>
    </w:p>
    <w:p>
      <w:pPr>
        <w:spacing w:after="0" w:line="2" w:lineRule="exact"/>
        <w:rPr>
          <w:sz w:val="20"/>
          <w:szCs w:val="20"/>
          <w:color w:val="auto"/>
        </w:rPr>
      </w:pPr>
    </w:p>
    <w:p>
      <w:pPr>
        <w:ind w:left="4" w:right="120" w:hanging="4"/>
        <w:spacing w:after="0" w:line="250" w:lineRule="auto"/>
        <w:tabs>
          <w:tab w:leader="none" w:pos="247" w:val="left"/>
        </w:tabs>
        <w:numPr>
          <w:ilvl w:val="0"/>
          <w:numId w:val="45"/>
        </w:numPr>
        <w:rPr>
          <w:rFonts w:ascii="Arial" w:cs="Arial" w:eastAsia="Arial" w:hAnsi="Arial"/>
          <w:sz w:val="16"/>
          <w:szCs w:val="16"/>
          <w:color w:val="auto"/>
        </w:rPr>
      </w:pPr>
      <w:r>
        <w:rPr>
          <w:rFonts w:ascii="Arial" w:cs="Arial" w:eastAsia="Arial" w:hAnsi="Arial"/>
          <w:sz w:val="16"/>
          <w:szCs w:val="16"/>
          <w:color w:val="auto"/>
        </w:rPr>
        <w:t>establishing and maintaining internal controls and (2) preparing Dropbox’s consolidated financial statements. Dropbox’s independent registered public accounting firm, Ernst &amp; Young LLP (“</w:t>
      </w:r>
      <w:r>
        <w:rPr>
          <w:rFonts w:ascii="Arial" w:cs="Arial" w:eastAsia="Arial" w:hAnsi="Arial"/>
          <w:sz w:val="16"/>
          <w:szCs w:val="16"/>
          <w:b w:val="1"/>
          <w:bCs w:val="1"/>
          <w:i w:val="1"/>
          <w:iCs w:val="1"/>
          <w:color w:val="auto"/>
        </w:rPr>
        <w:t>Ernst &amp; Young</w:t>
      </w:r>
      <w:r>
        <w:rPr>
          <w:rFonts w:ascii="Arial" w:cs="Arial" w:eastAsia="Arial" w:hAnsi="Arial"/>
          <w:sz w:val="16"/>
          <w:szCs w:val="16"/>
          <w:color w:val="auto"/>
        </w:rPr>
        <w:t>”), is responsible for performing an independent audit of Dropbox’s consolidated financial statements and the effectiveness of the company’s internal control over financial reporting. It is the responsibility of the audit committee to oversee these activities. It is not the responsibility of the audit committee to prepare Dropbox’s financial statements. These are the fundamental responsibilities of management. In the performance of its oversight function, the audit committee has:</w:t>
      </w:r>
    </w:p>
    <w:p>
      <w:pPr>
        <w:spacing w:after="0" w:line="130" w:lineRule="exact"/>
        <w:rPr>
          <w:rFonts w:ascii="Arial" w:cs="Arial" w:eastAsia="Arial" w:hAnsi="Arial"/>
          <w:sz w:val="16"/>
          <w:szCs w:val="16"/>
          <w:color w:val="auto"/>
        </w:rPr>
      </w:pPr>
    </w:p>
    <w:p>
      <w:pPr>
        <w:ind w:left="644" w:hanging="284"/>
        <w:spacing w:after="0"/>
        <w:tabs>
          <w:tab w:leader="none" w:pos="644" w:val="left"/>
        </w:tabs>
        <w:numPr>
          <w:ilvl w:val="1"/>
          <w:numId w:val="45"/>
        </w:numPr>
        <w:rPr>
          <w:rFonts w:ascii="Arial" w:cs="Arial" w:eastAsia="Arial" w:hAnsi="Arial"/>
          <w:sz w:val="16"/>
          <w:szCs w:val="16"/>
          <w:color w:val="0063A6"/>
        </w:rPr>
      </w:pPr>
      <w:r>
        <w:rPr>
          <w:rFonts w:ascii="Arial" w:cs="Arial" w:eastAsia="Arial" w:hAnsi="Arial"/>
          <w:sz w:val="16"/>
          <w:szCs w:val="16"/>
          <w:color w:val="auto"/>
        </w:rPr>
        <w:t>reviewed and discussed the audited consolidated financial statements with management, internal audit and Ernst &amp; Young;</w:t>
      </w:r>
    </w:p>
    <w:p>
      <w:pPr>
        <w:spacing w:after="0" w:line="167" w:lineRule="exact"/>
        <w:rPr>
          <w:rFonts w:ascii="Arial" w:cs="Arial" w:eastAsia="Arial" w:hAnsi="Arial"/>
          <w:sz w:val="16"/>
          <w:szCs w:val="16"/>
          <w:color w:val="0063A6"/>
        </w:rPr>
      </w:pPr>
    </w:p>
    <w:p>
      <w:pPr>
        <w:ind w:left="644" w:right="160" w:hanging="284"/>
        <w:spacing w:after="0" w:line="296" w:lineRule="auto"/>
        <w:tabs>
          <w:tab w:leader="none" w:pos="644" w:val="left"/>
        </w:tabs>
        <w:numPr>
          <w:ilvl w:val="1"/>
          <w:numId w:val="45"/>
        </w:numPr>
        <w:rPr>
          <w:rFonts w:ascii="Arial" w:cs="Arial" w:eastAsia="Arial" w:hAnsi="Arial"/>
          <w:sz w:val="16"/>
          <w:szCs w:val="16"/>
          <w:color w:val="0063A6"/>
        </w:rPr>
      </w:pPr>
      <w:r>
        <w:rPr>
          <w:rFonts w:ascii="Arial" w:cs="Arial" w:eastAsia="Arial" w:hAnsi="Arial"/>
          <w:sz w:val="16"/>
          <w:szCs w:val="16"/>
          <w:color w:val="auto"/>
        </w:rPr>
        <w:t>discussed with Ernst &amp; Young the matters required to be discussed by the applicable requirements of the Public Company Accounting Oversight Board (“</w:t>
      </w:r>
      <w:r>
        <w:rPr>
          <w:rFonts w:ascii="Arial" w:cs="Arial" w:eastAsia="Arial" w:hAnsi="Arial"/>
          <w:sz w:val="16"/>
          <w:szCs w:val="16"/>
          <w:b w:val="1"/>
          <w:bCs w:val="1"/>
          <w:i w:val="1"/>
          <w:iCs w:val="1"/>
          <w:color w:val="auto"/>
        </w:rPr>
        <w:t>PCAOB</w:t>
      </w:r>
      <w:r>
        <w:rPr>
          <w:rFonts w:ascii="Arial" w:cs="Arial" w:eastAsia="Arial" w:hAnsi="Arial"/>
          <w:sz w:val="16"/>
          <w:szCs w:val="16"/>
          <w:color w:val="auto"/>
        </w:rPr>
        <w:t>”); and</w:t>
      </w:r>
    </w:p>
    <w:p>
      <w:pPr>
        <w:spacing w:after="0" w:line="86" w:lineRule="exact"/>
        <w:rPr>
          <w:rFonts w:ascii="Arial" w:cs="Arial" w:eastAsia="Arial" w:hAnsi="Arial"/>
          <w:sz w:val="16"/>
          <w:szCs w:val="16"/>
          <w:color w:val="0063A6"/>
        </w:rPr>
      </w:pPr>
    </w:p>
    <w:p>
      <w:pPr>
        <w:jc w:val="both"/>
        <w:ind w:left="644" w:right="460" w:hanging="284"/>
        <w:spacing w:after="0" w:line="266" w:lineRule="auto"/>
        <w:tabs>
          <w:tab w:leader="none" w:pos="644" w:val="left"/>
        </w:tabs>
        <w:numPr>
          <w:ilvl w:val="1"/>
          <w:numId w:val="45"/>
        </w:numPr>
        <w:rPr>
          <w:rFonts w:ascii="Arial" w:cs="Arial" w:eastAsia="Arial" w:hAnsi="Arial"/>
          <w:sz w:val="16"/>
          <w:szCs w:val="16"/>
          <w:color w:val="0063A6"/>
        </w:rPr>
      </w:pPr>
      <w:r>
        <w:rPr>
          <w:rFonts w:ascii="Arial" w:cs="Arial" w:eastAsia="Arial" w:hAnsi="Arial"/>
          <w:sz w:val="16"/>
          <w:szCs w:val="16"/>
          <w:color w:val="auto"/>
        </w:rPr>
        <w:t>received the written disclosures and the letter from Ernst &amp; Young required by applicable requirements of the PCAOB regarding the independent accountant’s communications with the audit committee concerning independence, and has discussed with Ernst &amp; Young its independence.</w:t>
      </w:r>
    </w:p>
    <w:p>
      <w:pPr>
        <w:spacing w:after="0" w:line="117" w:lineRule="exact"/>
        <w:rPr>
          <w:sz w:val="20"/>
          <w:szCs w:val="20"/>
          <w:color w:val="auto"/>
        </w:rPr>
      </w:pPr>
    </w:p>
    <w:p>
      <w:pPr>
        <w:jc w:val="both"/>
        <w:ind w:left="4" w:right="80"/>
        <w:spacing w:after="0" w:line="266" w:lineRule="auto"/>
        <w:rPr>
          <w:sz w:val="20"/>
          <w:szCs w:val="20"/>
          <w:color w:val="auto"/>
        </w:rPr>
      </w:pPr>
      <w:r>
        <w:rPr>
          <w:rFonts w:ascii="Arial" w:cs="Arial" w:eastAsia="Arial" w:hAnsi="Arial"/>
          <w:sz w:val="16"/>
          <w:szCs w:val="16"/>
          <w:color w:val="auto"/>
        </w:rPr>
        <w:t>Based on the audit committee’s review and discussions with management and Ernst &amp; Young, the audit committee recommended to the board of directors that the audited financial statements be included in the Annual Report on Form 10-K for the fiscal year ended December 31, 2021 for filing with the SEC.</w:t>
      </w:r>
    </w:p>
    <w:p>
      <w:pPr>
        <w:spacing w:after="0" w:line="171" w:lineRule="exact"/>
        <w:rPr>
          <w:sz w:val="20"/>
          <w:szCs w:val="20"/>
          <w:color w:val="auto"/>
        </w:rPr>
      </w:pPr>
    </w:p>
    <w:p>
      <w:pPr>
        <w:ind w:left="4"/>
        <w:spacing w:after="0"/>
        <w:rPr>
          <w:sz w:val="20"/>
          <w:szCs w:val="20"/>
          <w:color w:val="auto"/>
        </w:rPr>
      </w:pPr>
      <w:r>
        <w:rPr>
          <w:rFonts w:ascii="Arial" w:cs="Arial" w:eastAsia="Arial" w:hAnsi="Arial"/>
          <w:sz w:val="16"/>
          <w:szCs w:val="16"/>
          <w:color w:val="auto"/>
        </w:rPr>
        <w:t>Respectfully submitted by the members of the audit committee of the board of directors:</w:t>
      </w:r>
    </w:p>
    <w:p>
      <w:pPr>
        <w:spacing w:after="0" w:line="235"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Donald W. Blair (Chair)</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Lisa Campbell</w:t>
      </w:r>
    </w:p>
    <w:p>
      <w:pPr>
        <w:spacing w:after="0" w:line="5"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Sara Mathew</w:t>
      </w:r>
    </w:p>
    <w:p>
      <w:pPr>
        <w:spacing w:after="0" w:line="151" w:lineRule="exact"/>
        <w:rPr>
          <w:sz w:val="20"/>
          <w:szCs w:val="20"/>
          <w:color w:val="auto"/>
        </w:rPr>
      </w:pPr>
    </w:p>
    <w:p>
      <w:pPr>
        <w:ind w:left="4"/>
        <w:spacing w:after="0" w:line="256" w:lineRule="auto"/>
        <w:rPr>
          <w:sz w:val="20"/>
          <w:szCs w:val="20"/>
          <w:color w:val="auto"/>
        </w:rPr>
      </w:pPr>
      <w:r>
        <w:rPr>
          <w:rFonts w:ascii="Arial" w:cs="Arial" w:eastAsia="Arial" w:hAnsi="Arial"/>
          <w:sz w:val="16"/>
          <w:szCs w:val="16"/>
          <w:color w:val="auto"/>
        </w:rPr>
        <w:t>This report of the audit committee is required by the SEC and, in accordance with the SEC’s rules, will not be deemed to be part of or incorporated by reference by any general statement incorporating by reference this proxy statement into any filing under the Securities Act of 1933, as amended (“</w:t>
      </w:r>
      <w:r>
        <w:rPr>
          <w:rFonts w:ascii="Arial" w:cs="Arial" w:eastAsia="Arial" w:hAnsi="Arial"/>
          <w:sz w:val="16"/>
          <w:szCs w:val="16"/>
          <w:b w:val="1"/>
          <w:bCs w:val="1"/>
          <w:i w:val="1"/>
          <w:iCs w:val="1"/>
          <w:color w:val="auto"/>
        </w:rPr>
        <w:t>Securities Act</w:t>
      </w:r>
      <w:r>
        <w:rPr>
          <w:rFonts w:ascii="Arial" w:cs="Arial" w:eastAsia="Arial" w:hAnsi="Arial"/>
          <w:sz w:val="16"/>
          <w:szCs w:val="16"/>
          <w:color w:val="auto"/>
        </w:rPr>
        <w:t>”), or under the Exchange Act, except to the extent that we specifically incorporate this information by reference, and will not otherwise be deemed “soliciting material” or “filed” under either the Securities Act or the Exchange Act.</w:t>
      </w:r>
    </w:p>
    <w:p>
      <w:pPr>
        <w:spacing w:after="0" w:line="185" w:lineRule="exact"/>
        <w:rPr>
          <w:sz w:val="20"/>
          <w:szCs w:val="20"/>
          <w:color w:val="auto"/>
        </w:rPr>
      </w:pPr>
    </w:p>
    <w:p>
      <w:pPr>
        <w:ind w:left="524" w:hanging="524"/>
        <w:spacing w:after="0"/>
        <w:tabs>
          <w:tab w:leader="none" w:pos="524" w:val="left"/>
        </w:tabs>
        <w:numPr>
          <w:ilvl w:val="0"/>
          <w:numId w:val="46"/>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24"/>
          </w:cols>
          <w:pgMar w:left="1156" w:top="263" w:right="1219" w:bottom="1440" w:gutter="0" w:footer="0" w:header="0"/>
        </w:sectPr>
      </w:pPr>
    </w:p>
    <w:bookmarkStart w:id="30" w:name="page31"/>
    <w:bookmarkEnd w:id="30"/>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440"/>
        <w:spacing w:after="0" w:line="286" w:lineRule="auto"/>
        <w:rPr>
          <w:sz w:val="20"/>
          <w:szCs w:val="20"/>
          <w:color w:val="auto"/>
        </w:rPr>
      </w:pPr>
      <w:r>
        <w:rPr>
          <w:rFonts w:ascii="Arial" w:cs="Arial" w:eastAsia="Arial" w:hAnsi="Arial"/>
          <w:sz w:val="32"/>
          <w:szCs w:val="32"/>
          <w:color w:val="0063A6"/>
        </w:rPr>
        <w:t>PROPOSAL NO. 3—ADVISORY VOTE ON THE COMPENSATION OF OUR NAMED EXECUTIVE OFFICERS</w:t>
      </w:r>
    </w:p>
    <w:p>
      <w:pPr>
        <w:spacing w:after="0" w:line="55" w:lineRule="exact"/>
        <w:rPr>
          <w:sz w:val="20"/>
          <w:szCs w:val="20"/>
          <w:color w:val="auto"/>
        </w:rPr>
      </w:pPr>
    </w:p>
    <w:p>
      <w:pPr>
        <w:ind w:left="720" w:right="740"/>
        <w:spacing w:after="0" w:line="253" w:lineRule="auto"/>
        <w:rPr>
          <w:sz w:val="20"/>
          <w:szCs w:val="20"/>
          <w:color w:val="auto"/>
        </w:rPr>
      </w:pPr>
      <w:r>
        <w:rPr>
          <w:rFonts w:ascii="Arial" w:cs="Arial" w:eastAsia="Arial" w:hAnsi="Arial"/>
          <w:sz w:val="16"/>
          <w:szCs w:val="16"/>
          <w:color w:val="auto"/>
        </w:rPr>
        <w:t>In accordance with the Dodd-Frank Wall Street Reform and Consumer Protection Act of 2010 (the “</w:t>
      </w:r>
      <w:r>
        <w:rPr>
          <w:rFonts w:ascii="Arial" w:cs="Arial" w:eastAsia="Arial" w:hAnsi="Arial"/>
          <w:sz w:val="16"/>
          <w:szCs w:val="16"/>
          <w:b w:val="1"/>
          <w:bCs w:val="1"/>
          <w:i w:val="1"/>
          <w:iCs w:val="1"/>
          <w:color w:val="auto"/>
        </w:rPr>
        <w:t>Dodd-Frank Act</w:t>
      </w:r>
      <w:r>
        <w:rPr>
          <w:rFonts w:ascii="Arial" w:cs="Arial" w:eastAsia="Arial" w:hAnsi="Arial"/>
          <w:sz w:val="16"/>
          <w:szCs w:val="16"/>
          <w:color w:val="auto"/>
        </w:rPr>
        <w:t>”) and SEC rules, we are providing our stockholders with the opportunity to vote to approve, on an advisory or non-binding basis, the compensation of our named executive officers as disclosed pursuant to Section 14A of the Exchange Act. This proposal, commonly known as a “Say-on-Pay” proposal, gives our stockholders the opportunity to express their views on our named executive officers’ compensation as a whole. This vote is not intended to address any specific item of compensation or any specific named executive officer, but rather the overall compensation of all of our named executive officers and the philosophy, policies and practices described in this proxy statement.</w:t>
      </w:r>
    </w:p>
    <w:p>
      <w:pPr>
        <w:spacing w:after="0" w:line="127" w:lineRule="exact"/>
        <w:rPr>
          <w:sz w:val="20"/>
          <w:szCs w:val="20"/>
          <w:color w:val="auto"/>
        </w:rPr>
      </w:pPr>
    </w:p>
    <w:p>
      <w:pPr>
        <w:ind w:left="720" w:right="760"/>
        <w:spacing w:after="0" w:line="252" w:lineRule="auto"/>
        <w:rPr>
          <w:sz w:val="20"/>
          <w:szCs w:val="20"/>
          <w:color w:val="auto"/>
        </w:rPr>
      </w:pPr>
      <w:r>
        <w:rPr>
          <w:rFonts w:ascii="Arial" w:cs="Arial" w:eastAsia="Arial" w:hAnsi="Arial"/>
          <w:sz w:val="16"/>
          <w:szCs w:val="16"/>
          <w:color w:val="auto"/>
        </w:rPr>
        <w:t>The Say-on-Pay vote is advisory, and therefore is not binding on us, our compensation committee, or our board of directors. The Say-on-Pay vote will, however, provide information to us regarding investor sentiment about our executive compensation philosophy, policies and practices, which our compensation committee will be able to consider when determining executive compensation for the remainder of the current fiscal year and beyond. Our board of directors and our compensation committee value the opinions of our stockholders. To the extent there is any significant vote against the compensation of our named executive officers as disclosed in this proxy statement, we will endeavor to communicate with stockholders to better understand the concerns that influenced the vote and consider our stockholders’ concerns, and our compensation committee will evaluate whether any actions are necessary to address those concerns.</w:t>
      </w:r>
    </w:p>
    <w:p>
      <w:pPr>
        <w:spacing w:after="0" w:line="129" w:lineRule="exact"/>
        <w:rPr>
          <w:sz w:val="20"/>
          <w:szCs w:val="20"/>
          <w:color w:val="auto"/>
        </w:rPr>
      </w:pPr>
    </w:p>
    <w:p>
      <w:pPr>
        <w:ind w:left="720" w:right="780"/>
        <w:spacing w:after="0" w:line="259" w:lineRule="auto"/>
        <w:rPr>
          <w:sz w:val="20"/>
          <w:szCs w:val="20"/>
          <w:color w:val="auto"/>
        </w:rPr>
      </w:pPr>
      <w:r>
        <w:rPr>
          <w:rFonts w:ascii="Arial" w:cs="Arial" w:eastAsia="Arial" w:hAnsi="Arial"/>
          <w:sz w:val="16"/>
          <w:szCs w:val="16"/>
          <w:color w:val="auto"/>
        </w:rPr>
        <w:t>We believe that the information provided in the section titled “</w:t>
      </w:r>
      <w:r>
        <w:rPr>
          <w:rFonts w:ascii="Arial" w:cs="Arial" w:eastAsia="Arial" w:hAnsi="Arial"/>
          <w:sz w:val="16"/>
          <w:szCs w:val="16"/>
          <w:i w:val="1"/>
          <w:iCs w:val="1"/>
          <w:color w:val="auto"/>
        </w:rPr>
        <w:t>Executive Compensation</w:t>
      </w:r>
      <w:r>
        <w:rPr>
          <w:rFonts w:ascii="Arial" w:cs="Arial" w:eastAsia="Arial" w:hAnsi="Arial"/>
          <w:sz w:val="16"/>
          <w:szCs w:val="16"/>
          <w:color w:val="auto"/>
        </w:rPr>
        <w:t>,” and in particular the information discussed in the section titled “</w:t>
      </w:r>
      <w:r>
        <w:rPr>
          <w:rFonts w:ascii="Arial" w:cs="Arial" w:eastAsia="Arial" w:hAnsi="Arial"/>
          <w:sz w:val="16"/>
          <w:szCs w:val="16"/>
          <w:i w:val="1"/>
          <w:iCs w:val="1"/>
          <w:color w:val="auto"/>
        </w:rPr>
        <w:t>Executive Compensation—Compensation Philosophy</w:t>
      </w:r>
      <w:r>
        <w:rPr>
          <w:rFonts w:ascii="Arial" w:cs="Arial" w:eastAsia="Arial" w:hAnsi="Arial"/>
          <w:sz w:val="16"/>
          <w:szCs w:val="16"/>
          <w:color w:val="auto"/>
        </w:rPr>
        <w:t>,” demonstrates that our executive compensation program was designed appropriately and is working to ensure management’s interests are aligned with our stockholders’ interests to support long-term value creation. Accordingly, we ask our stockholders to vote “FOR” the following resolution at the Annual Meeting:</w:t>
      </w:r>
    </w:p>
    <w:p>
      <w:pPr>
        <w:spacing w:after="0" w:line="124" w:lineRule="exact"/>
        <w:rPr>
          <w:sz w:val="20"/>
          <w:szCs w:val="20"/>
          <w:color w:val="auto"/>
        </w:rPr>
      </w:pPr>
    </w:p>
    <w:p>
      <w:pPr>
        <w:ind w:left="720" w:right="1140"/>
        <w:spacing w:after="0" w:line="266" w:lineRule="auto"/>
        <w:rPr>
          <w:sz w:val="20"/>
          <w:szCs w:val="20"/>
          <w:color w:val="auto"/>
        </w:rPr>
      </w:pPr>
      <w:r>
        <w:rPr>
          <w:rFonts w:ascii="Arial" w:cs="Arial" w:eastAsia="Arial" w:hAnsi="Arial"/>
          <w:sz w:val="16"/>
          <w:szCs w:val="16"/>
          <w:color w:val="auto"/>
        </w:rPr>
        <w:t>“RESOLVED, that the stockholders approve, on an advisory basis, the compensation paid to our named executive officers, as disclosed in the proxy statement for the Annual Meeting pursuant to the compensation disclosure rules of the SEC, including the compensation discussion and analysis, compensation tables and narrative discussion and other related disclosure.”</w:t>
      </w:r>
    </w:p>
    <w:p>
      <w:pPr>
        <w:spacing w:after="0" w:line="315"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Vote Required</w:t>
      </w:r>
    </w:p>
    <w:p>
      <w:pPr>
        <w:spacing w:after="0" w:line="179" w:lineRule="exact"/>
        <w:rPr>
          <w:sz w:val="20"/>
          <w:szCs w:val="20"/>
          <w:color w:val="auto"/>
        </w:rPr>
      </w:pPr>
    </w:p>
    <w:p>
      <w:pPr>
        <w:jc w:val="both"/>
        <w:ind w:left="720" w:right="760"/>
        <w:spacing w:after="0" w:line="266" w:lineRule="auto"/>
        <w:rPr>
          <w:sz w:val="20"/>
          <w:szCs w:val="20"/>
          <w:color w:val="auto"/>
        </w:rPr>
      </w:pPr>
      <w:r>
        <w:rPr>
          <w:rFonts w:ascii="Arial" w:cs="Arial" w:eastAsia="Arial" w:hAnsi="Arial"/>
          <w:sz w:val="16"/>
          <w:szCs w:val="16"/>
          <w:color w:val="auto"/>
        </w:rPr>
        <w:t>The approval, on an advisory basis, of the compensation of our named executive officers, requires the affirmative vote of a majority of the voting power of the shares of our common stock present virtually or by proxy at the Annual Meeting and entitled to vote thereon to be approved. Abstentions will have the effect of a vote against this proposal, and broker non-votes will have no effect.</w:t>
      </w:r>
    </w:p>
    <w:p>
      <w:pPr>
        <w:spacing w:after="0" w:line="117" w:lineRule="exact"/>
        <w:rPr>
          <w:sz w:val="20"/>
          <w:szCs w:val="20"/>
          <w:color w:val="auto"/>
        </w:rPr>
      </w:pPr>
    </w:p>
    <w:p>
      <w:pPr>
        <w:jc w:val="both"/>
        <w:ind w:left="720" w:right="1300"/>
        <w:spacing w:after="0" w:line="266" w:lineRule="auto"/>
        <w:rPr>
          <w:sz w:val="20"/>
          <w:szCs w:val="20"/>
          <w:color w:val="auto"/>
        </w:rPr>
      </w:pPr>
      <w:r>
        <w:rPr>
          <w:rFonts w:ascii="Arial" w:cs="Arial" w:eastAsia="Arial" w:hAnsi="Arial"/>
          <w:sz w:val="16"/>
          <w:szCs w:val="16"/>
          <w:color w:val="auto"/>
        </w:rPr>
        <w:t>As an advisory vote, the result of this proposal is non-binding. Although the vote is non-binding, our board of directors and our compensation committee value the opinions of our stockholders and will consider the outcome of the vote when making future compensation decisions for our named executive officers.</w:t>
      </w:r>
    </w:p>
    <w:p>
      <w:pPr>
        <w:spacing w:after="0" w:line="117" w:lineRule="exact"/>
        <w:rPr>
          <w:sz w:val="20"/>
          <w:szCs w:val="20"/>
          <w:color w:val="auto"/>
        </w:rPr>
      </w:pPr>
    </w:p>
    <w:p>
      <w:pPr>
        <w:ind w:left="720" w:right="1580"/>
        <w:spacing w:after="0" w:line="286" w:lineRule="auto"/>
        <w:rPr>
          <w:sz w:val="20"/>
          <w:szCs w:val="20"/>
          <w:color w:val="auto"/>
        </w:rPr>
      </w:pPr>
      <w:r>
        <w:rPr>
          <w:rFonts w:ascii="Arial" w:cs="Arial" w:eastAsia="Arial" w:hAnsi="Arial"/>
          <w:sz w:val="16"/>
          <w:szCs w:val="16"/>
          <w:color w:val="auto"/>
        </w:rPr>
        <w:t>We currently hold our advisory vote on executive compensation annually. Accordingly, the next advisory vote on executive compensation will be held at our 2023 annual meeting of stockholders.</w:t>
      </w:r>
    </w:p>
    <w:p>
      <w:pPr>
        <w:spacing w:after="0" w:line="331" w:lineRule="exact"/>
        <w:rPr>
          <w:sz w:val="20"/>
          <w:szCs w:val="20"/>
          <w:color w:val="auto"/>
        </w:rPr>
      </w:pPr>
    </w:p>
    <w:p>
      <w:pPr>
        <w:ind w:left="720" w:right="1620"/>
        <w:spacing w:after="0" w:line="296" w:lineRule="auto"/>
        <w:rPr>
          <w:sz w:val="20"/>
          <w:szCs w:val="20"/>
          <w:color w:val="auto"/>
        </w:rPr>
      </w:pPr>
      <w:r>
        <w:rPr>
          <w:rFonts w:ascii="Arial" w:cs="Arial" w:eastAsia="Arial" w:hAnsi="Arial"/>
          <w:sz w:val="16"/>
          <w:szCs w:val="16"/>
          <w:b w:val="1"/>
          <w:bCs w:val="1"/>
          <w:color w:val="0063A6"/>
        </w:rPr>
        <w:t>THE BOARD OF DIRECTORS RECOMMENDS A VOTE “FOR” THE APPROVAL, ON AN ADVISORY BASIS, OF THE COMPENSATION OF OUR NAMED EXECUTIVE OFFICERS.</w:t>
      </w:r>
    </w:p>
    <w:p>
      <w:pPr>
        <w:spacing w:after="0" w:line="14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27</w:t>
            </w:r>
          </w:p>
        </w:tc>
      </w:tr>
      <w:tr>
        <w:trPr>
          <w:trHeight w:val="157"/>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31" w:name="page32"/>
    <w:bookmarkEnd w:id="31"/>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OFFICERS</w:t>
      </w:r>
    </w:p>
    <w:p>
      <w:pPr>
        <w:spacing w:after="0" w:line="186" w:lineRule="exact"/>
        <w:rPr>
          <w:sz w:val="20"/>
          <w:szCs w:val="20"/>
          <w:color w:val="auto"/>
        </w:rPr>
      </w:pPr>
    </w:p>
    <w:p>
      <w:pPr>
        <w:ind w:left="4" w:right="240"/>
        <w:spacing w:after="0" w:line="266" w:lineRule="auto"/>
        <w:rPr>
          <w:sz w:val="20"/>
          <w:szCs w:val="20"/>
          <w:color w:val="auto"/>
        </w:rPr>
      </w:pPr>
      <w:r>
        <w:rPr>
          <w:rFonts w:ascii="Arial" w:cs="Arial" w:eastAsia="Arial" w:hAnsi="Arial"/>
          <w:sz w:val="16"/>
          <w:szCs w:val="16"/>
          <w:color w:val="auto"/>
        </w:rPr>
        <w:t>The following table identifies certain information about our executive officers as of March 25, 2022. Our executive officers are appointed by, and serve at the discretion of, our board of directors. There are no family relationships among any of our directors or 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23495</wp:posOffset>
            </wp:positionV>
            <wp:extent cx="6077585" cy="11830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077585" cy="1183005"/>
                    </a:xfrm>
                    <a:prstGeom prst="rect">
                      <a:avLst/>
                    </a:prstGeom>
                    <a:noFill/>
                  </pic:spPr>
                </pic:pic>
              </a:graphicData>
            </a:graphic>
          </wp:anchor>
        </w:drawing>
      </w:r>
    </w:p>
    <w:p>
      <w:pPr>
        <w:spacing w:after="0" w:line="17" w:lineRule="exact"/>
        <w:rPr>
          <w:sz w:val="20"/>
          <w:szCs w:val="20"/>
          <w:color w:val="auto"/>
        </w:rPr>
      </w:pPr>
    </w:p>
    <w:tbl>
      <w:tblPr>
        <w:tblLayout w:type="fixed"/>
        <w:tblInd w:w="4" w:type="dxa"/>
        <w:tblCellMar>
          <w:top w:w="0" w:type="dxa"/>
          <w:left w:w="0" w:type="dxa"/>
          <w:bottom w:w="0" w:type="dxa"/>
          <w:right w:w="0" w:type="dxa"/>
        </w:tblCellMar>
      </w:tblPr>
      <w:tr>
        <w:trPr>
          <w:trHeight w:val="295"/>
        </w:trPr>
        <w:tc>
          <w:tcPr>
            <w:tcW w:w="2420" w:type="dxa"/>
            <w:vAlign w:val="bottom"/>
            <w:shd w:val="clear" w:color="auto" w:fill="0063A6"/>
          </w:tcPr>
          <w:p>
            <w:pPr>
              <w:ind w:left="80"/>
              <w:spacing w:after="0"/>
              <w:rPr>
                <w:sz w:val="20"/>
                <w:szCs w:val="20"/>
                <w:color w:val="auto"/>
              </w:rPr>
            </w:pPr>
            <w:r>
              <w:rPr>
                <w:rFonts w:ascii="Arial" w:cs="Arial" w:eastAsia="Arial" w:hAnsi="Arial"/>
                <w:sz w:val="14"/>
                <w:szCs w:val="14"/>
                <w:b w:val="1"/>
                <w:bCs w:val="1"/>
                <w:color w:val="FFFFFF"/>
              </w:rPr>
              <w:t>Name</w:t>
            </w:r>
          </w:p>
        </w:tc>
        <w:tc>
          <w:tcPr>
            <w:tcW w:w="1520" w:type="dxa"/>
            <w:vAlign w:val="bottom"/>
            <w:shd w:val="clear" w:color="auto" w:fill="0063A6"/>
          </w:tcPr>
          <w:p>
            <w:pPr>
              <w:jc w:val="center"/>
              <w:ind w:left="481"/>
              <w:spacing w:after="0"/>
              <w:rPr>
                <w:sz w:val="20"/>
                <w:szCs w:val="20"/>
                <w:color w:val="auto"/>
              </w:rPr>
            </w:pPr>
            <w:r>
              <w:rPr>
                <w:rFonts w:ascii="Arial" w:cs="Arial" w:eastAsia="Arial" w:hAnsi="Arial"/>
                <w:sz w:val="14"/>
                <w:szCs w:val="14"/>
                <w:b w:val="1"/>
                <w:bCs w:val="1"/>
                <w:color w:val="FFFFFF"/>
              </w:rPr>
              <w:t>Age</w:t>
            </w:r>
          </w:p>
        </w:tc>
        <w:tc>
          <w:tcPr>
            <w:tcW w:w="5620" w:type="dxa"/>
            <w:vAlign w:val="bottom"/>
            <w:shd w:val="clear" w:color="auto" w:fill="0063A6"/>
          </w:tcPr>
          <w:p>
            <w:pPr>
              <w:ind w:left="320"/>
              <w:spacing w:after="0"/>
              <w:rPr>
                <w:sz w:val="20"/>
                <w:szCs w:val="20"/>
                <w:color w:val="auto"/>
              </w:rPr>
            </w:pPr>
            <w:r>
              <w:rPr>
                <w:rFonts w:ascii="Arial" w:cs="Arial" w:eastAsia="Arial" w:hAnsi="Arial"/>
                <w:sz w:val="14"/>
                <w:szCs w:val="14"/>
                <w:b w:val="1"/>
                <w:bCs w:val="1"/>
                <w:color w:val="FFFFFF"/>
              </w:rPr>
              <w:t>Position</w:t>
            </w:r>
          </w:p>
        </w:tc>
      </w:tr>
      <w:tr>
        <w:trPr>
          <w:trHeight w:val="70"/>
        </w:trPr>
        <w:tc>
          <w:tcPr>
            <w:tcW w:w="2420" w:type="dxa"/>
            <w:vAlign w:val="bottom"/>
            <w:shd w:val="clear" w:color="auto" w:fill="0063A6"/>
          </w:tcPr>
          <w:p>
            <w:pPr>
              <w:spacing w:after="0"/>
              <w:rPr>
                <w:sz w:val="6"/>
                <w:szCs w:val="6"/>
                <w:color w:val="auto"/>
              </w:rPr>
            </w:pPr>
          </w:p>
        </w:tc>
        <w:tc>
          <w:tcPr>
            <w:tcW w:w="1520" w:type="dxa"/>
            <w:vAlign w:val="bottom"/>
            <w:shd w:val="clear" w:color="auto" w:fill="0063A6"/>
          </w:tcPr>
          <w:p>
            <w:pPr>
              <w:spacing w:after="0"/>
              <w:rPr>
                <w:sz w:val="6"/>
                <w:szCs w:val="6"/>
                <w:color w:val="auto"/>
              </w:rPr>
            </w:pPr>
          </w:p>
        </w:tc>
        <w:tc>
          <w:tcPr>
            <w:tcW w:w="5620" w:type="dxa"/>
            <w:vAlign w:val="bottom"/>
            <w:shd w:val="clear" w:color="auto" w:fill="0063A6"/>
          </w:tcPr>
          <w:p>
            <w:pPr>
              <w:spacing w:after="0"/>
              <w:rPr>
                <w:sz w:val="6"/>
                <w:szCs w:val="6"/>
                <w:color w:val="auto"/>
              </w:rPr>
            </w:pPr>
          </w:p>
        </w:tc>
      </w:tr>
      <w:tr>
        <w:trPr>
          <w:trHeight w:val="295"/>
        </w:trPr>
        <w:tc>
          <w:tcPr>
            <w:tcW w:w="2420" w:type="dxa"/>
            <w:vAlign w:val="bottom"/>
            <w:shd w:val="clear" w:color="auto" w:fill="F2F2F2"/>
          </w:tcPr>
          <w:p>
            <w:pPr>
              <w:ind w:left="80"/>
              <w:spacing w:after="0"/>
              <w:rPr>
                <w:sz w:val="20"/>
                <w:szCs w:val="20"/>
                <w:color w:val="auto"/>
              </w:rPr>
            </w:pPr>
            <w:r>
              <w:rPr>
                <w:rFonts w:ascii="Arial" w:cs="Arial" w:eastAsia="Arial" w:hAnsi="Arial"/>
                <w:sz w:val="16"/>
                <w:szCs w:val="16"/>
                <w:color w:val="auto"/>
              </w:rPr>
              <w:t>Andrew W. Houston</w:t>
            </w:r>
          </w:p>
        </w:tc>
        <w:tc>
          <w:tcPr>
            <w:tcW w:w="1520" w:type="dxa"/>
            <w:vAlign w:val="bottom"/>
            <w:shd w:val="clear" w:color="auto" w:fill="F2F2F2"/>
          </w:tcPr>
          <w:p>
            <w:pPr>
              <w:jc w:val="center"/>
              <w:ind w:left="501"/>
              <w:spacing w:after="0"/>
              <w:rPr>
                <w:sz w:val="20"/>
                <w:szCs w:val="20"/>
                <w:color w:val="auto"/>
              </w:rPr>
            </w:pPr>
            <w:r>
              <w:rPr>
                <w:rFonts w:ascii="Arial" w:cs="Arial" w:eastAsia="Arial" w:hAnsi="Arial"/>
                <w:sz w:val="16"/>
                <w:szCs w:val="16"/>
                <w:color w:val="auto"/>
              </w:rPr>
              <w:t>39</w:t>
            </w:r>
          </w:p>
        </w:tc>
        <w:tc>
          <w:tcPr>
            <w:tcW w:w="5620" w:type="dxa"/>
            <w:vAlign w:val="bottom"/>
            <w:shd w:val="clear" w:color="auto" w:fill="F2F2F2"/>
          </w:tcPr>
          <w:p>
            <w:pPr>
              <w:ind w:left="320"/>
              <w:spacing w:after="0"/>
              <w:rPr>
                <w:sz w:val="20"/>
                <w:szCs w:val="20"/>
                <w:color w:val="auto"/>
              </w:rPr>
            </w:pPr>
            <w:r>
              <w:rPr>
                <w:rFonts w:ascii="Arial" w:cs="Arial" w:eastAsia="Arial" w:hAnsi="Arial"/>
                <w:sz w:val="16"/>
                <w:szCs w:val="16"/>
                <w:color w:val="auto"/>
              </w:rPr>
              <w:t>Chief Executive Officer, Co-Founder, and Chairman</w:t>
            </w:r>
          </w:p>
        </w:tc>
      </w:tr>
      <w:tr>
        <w:trPr>
          <w:trHeight w:val="83"/>
        </w:trPr>
        <w:tc>
          <w:tcPr>
            <w:tcW w:w="2420" w:type="dxa"/>
            <w:vAlign w:val="bottom"/>
            <w:shd w:val="clear" w:color="auto" w:fill="F2F2F2"/>
          </w:tcPr>
          <w:p>
            <w:pPr>
              <w:spacing w:after="0"/>
              <w:rPr>
                <w:sz w:val="7"/>
                <w:szCs w:val="7"/>
                <w:color w:val="auto"/>
              </w:rPr>
            </w:pPr>
          </w:p>
        </w:tc>
        <w:tc>
          <w:tcPr>
            <w:tcW w:w="1520" w:type="dxa"/>
            <w:vAlign w:val="bottom"/>
            <w:shd w:val="clear" w:color="auto" w:fill="F2F2F2"/>
          </w:tcPr>
          <w:p>
            <w:pPr>
              <w:spacing w:after="0"/>
              <w:rPr>
                <w:sz w:val="7"/>
                <w:szCs w:val="7"/>
                <w:color w:val="auto"/>
              </w:rPr>
            </w:pPr>
          </w:p>
        </w:tc>
        <w:tc>
          <w:tcPr>
            <w:tcW w:w="5620" w:type="dxa"/>
            <w:vAlign w:val="bottom"/>
            <w:shd w:val="clear" w:color="auto" w:fill="F2F2F2"/>
          </w:tcPr>
          <w:p>
            <w:pPr>
              <w:spacing w:after="0"/>
              <w:rPr>
                <w:sz w:val="7"/>
                <w:szCs w:val="7"/>
                <w:color w:val="auto"/>
              </w:rPr>
            </w:pPr>
          </w:p>
        </w:tc>
      </w:tr>
      <w:tr>
        <w:trPr>
          <w:trHeight w:val="295"/>
        </w:trPr>
        <w:tc>
          <w:tcPr>
            <w:tcW w:w="2420" w:type="dxa"/>
            <w:vAlign w:val="bottom"/>
          </w:tcPr>
          <w:p>
            <w:pPr>
              <w:ind w:left="80"/>
              <w:spacing w:after="0"/>
              <w:rPr>
                <w:sz w:val="20"/>
                <w:szCs w:val="20"/>
                <w:color w:val="auto"/>
              </w:rPr>
            </w:pPr>
            <w:r>
              <w:rPr>
                <w:rFonts w:ascii="Arial" w:cs="Arial" w:eastAsia="Arial" w:hAnsi="Arial"/>
                <w:sz w:val="16"/>
                <w:szCs w:val="16"/>
                <w:color w:val="auto"/>
              </w:rPr>
              <w:t>Timothy Regan</w:t>
            </w:r>
          </w:p>
        </w:tc>
        <w:tc>
          <w:tcPr>
            <w:tcW w:w="1520" w:type="dxa"/>
            <w:vAlign w:val="bottom"/>
          </w:tcPr>
          <w:p>
            <w:pPr>
              <w:jc w:val="center"/>
              <w:ind w:left="501"/>
              <w:spacing w:after="0"/>
              <w:rPr>
                <w:sz w:val="20"/>
                <w:szCs w:val="20"/>
                <w:color w:val="auto"/>
              </w:rPr>
            </w:pPr>
            <w:r>
              <w:rPr>
                <w:rFonts w:ascii="Arial" w:cs="Arial" w:eastAsia="Arial" w:hAnsi="Arial"/>
                <w:sz w:val="16"/>
                <w:szCs w:val="16"/>
                <w:color w:val="auto"/>
              </w:rPr>
              <w:t>45</w:t>
            </w:r>
          </w:p>
        </w:tc>
        <w:tc>
          <w:tcPr>
            <w:tcW w:w="5620" w:type="dxa"/>
            <w:vAlign w:val="bottom"/>
          </w:tcPr>
          <w:p>
            <w:pPr>
              <w:ind w:left="320"/>
              <w:spacing w:after="0"/>
              <w:rPr>
                <w:sz w:val="20"/>
                <w:szCs w:val="20"/>
                <w:color w:val="auto"/>
              </w:rPr>
            </w:pPr>
            <w:r>
              <w:rPr>
                <w:rFonts w:ascii="Arial" w:cs="Arial" w:eastAsia="Arial" w:hAnsi="Arial"/>
                <w:sz w:val="16"/>
                <w:szCs w:val="16"/>
                <w:color w:val="auto"/>
              </w:rPr>
              <w:t>Chief Financial Officer</w:t>
            </w:r>
          </w:p>
        </w:tc>
      </w:tr>
      <w:tr>
        <w:trPr>
          <w:trHeight w:val="83"/>
        </w:trPr>
        <w:tc>
          <w:tcPr>
            <w:tcW w:w="2420" w:type="dxa"/>
            <w:vAlign w:val="bottom"/>
          </w:tcPr>
          <w:p>
            <w:pPr>
              <w:spacing w:after="0"/>
              <w:rPr>
                <w:sz w:val="7"/>
                <w:szCs w:val="7"/>
                <w:color w:val="auto"/>
              </w:rPr>
            </w:pPr>
          </w:p>
        </w:tc>
        <w:tc>
          <w:tcPr>
            <w:tcW w:w="1520" w:type="dxa"/>
            <w:vAlign w:val="bottom"/>
          </w:tcPr>
          <w:p>
            <w:pPr>
              <w:spacing w:after="0"/>
              <w:rPr>
                <w:sz w:val="7"/>
                <w:szCs w:val="7"/>
                <w:color w:val="auto"/>
              </w:rPr>
            </w:pPr>
          </w:p>
        </w:tc>
        <w:tc>
          <w:tcPr>
            <w:tcW w:w="5620" w:type="dxa"/>
            <w:vAlign w:val="bottom"/>
          </w:tcPr>
          <w:p>
            <w:pPr>
              <w:spacing w:after="0"/>
              <w:rPr>
                <w:sz w:val="7"/>
                <w:szCs w:val="7"/>
                <w:color w:val="auto"/>
              </w:rPr>
            </w:pPr>
          </w:p>
        </w:tc>
      </w:tr>
      <w:tr>
        <w:trPr>
          <w:trHeight w:val="295"/>
        </w:trPr>
        <w:tc>
          <w:tcPr>
            <w:tcW w:w="2420" w:type="dxa"/>
            <w:vAlign w:val="bottom"/>
            <w:shd w:val="clear" w:color="auto" w:fill="F2F2F2"/>
          </w:tcPr>
          <w:p>
            <w:pPr>
              <w:ind w:left="80"/>
              <w:spacing w:after="0"/>
              <w:rPr>
                <w:sz w:val="20"/>
                <w:szCs w:val="20"/>
                <w:color w:val="auto"/>
              </w:rPr>
            </w:pPr>
            <w:r>
              <w:rPr>
                <w:rFonts w:ascii="Arial" w:cs="Arial" w:eastAsia="Arial" w:hAnsi="Arial"/>
                <w:sz w:val="16"/>
                <w:szCs w:val="16"/>
                <w:color w:val="auto"/>
              </w:rPr>
              <w:t>Bart E. Volkmer</w:t>
            </w:r>
          </w:p>
        </w:tc>
        <w:tc>
          <w:tcPr>
            <w:tcW w:w="1520" w:type="dxa"/>
            <w:vAlign w:val="bottom"/>
            <w:shd w:val="clear" w:color="auto" w:fill="F2F2F2"/>
          </w:tcPr>
          <w:p>
            <w:pPr>
              <w:jc w:val="center"/>
              <w:ind w:left="501"/>
              <w:spacing w:after="0"/>
              <w:rPr>
                <w:sz w:val="20"/>
                <w:szCs w:val="20"/>
                <w:color w:val="auto"/>
              </w:rPr>
            </w:pPr>
            <w:r>
              <w:rPr>
                <w:rFonts w:ascii="Arial" w:cs="Arial" w:eastAsia="Arial" w:hAnsi="Arial"/>
                <w:sz w:val="16"/>
                <w:szCs w:val="16"/>
                <w:color w:val="auto"/>
              </w:rPr>
              <w:t>47</w:t>
            </w:r>
          </w:p>
        </w:tc>
        <w:tc>
          <w:tcPr>
            <w:tcW w:w="5620" w:type="dxa"/>
            <w:vAlign w:val="bottom"/>
            <w:shd w:val="clear" w:color="auto" w:fill="F2F2F2"/>
          </w:tcPr>
          <w:p>
            <w:pPr>
              <w:ind w:left="320"/>
              <w:spacing w:after="0"/>
              <w:rPr>
                <w:sz w:val="20"/>
                <w:szCs w:val="20"/>
                <w:color w:val="auto"/>
              </w:rPr>
            </w:pPr>
            <w:r>
              <w:rPr>
                <w:rFonts w:ascii="Arial" w:cs="Arial" w:eastAsia="Arial" w:hAnsi="Arial"/>
                <w:sz w:val="16"/>
                <w:szCs w:val="16"/>
                <w:color w:val="auto"/>
              </w:rPr>
              <w:t>Chief Legal Officer</w:t>
            </w:r>
          </w:p>
        </w:tc>
      </w:tr>
      <w:tr>
        <w:trPr>
          <w:trHeight w:val="83"/>
        </w:trPr>
        <w:tc>
          <w:tcPr>
            <w:tcW w:w="2420" w:type="dxa"/>
            <w:vAlign w:val="bottom"/>
            <w:shd w:val="clear" w:color="auto" w:fill="F2F2F2"/>
          </w:tcPr>
          <w:p>
            <w:pPr>
              <w:spacing w:after="0"/>
              <w:rPr>
                <w:sz w:val="7"/>
                <w:szCs w:val="7"/>
                <w:color w:val="auto"/>
              </w:rPr>
            </w:pPr>
          </w:p>
        </w:tc>
        <w:tc>
          <w:tcPr>
            <w:tcW w:w="1520" w:type="dxa"/>
            <w:vAlign w:val="bottom"/>
            <w:shd w:val="clear" w:color="auto" w:fill="F2F2F2"/>
          </w:tcPr>
          <w:p>
            <w:pPr>
              <w:spacing w:after="0"/>
              <w:rPr>
                <w:sz w:val="7"/>
                <w:szCs w:val="7"/>
                <w:color w:val="auto"/>
              </w:rPr>
            </w:pPr>
          </w:p>
        </w:tc>
        <w:tc>
          <w:tcPr>
            <w:tcW w:w="5620" w:type="dxa"/>
            <w:vAlign w:val="bottom"/>
            <w:shd w:val="clear" w:color="auto" w:fill="F2F2F2"/>
          </w:tcPr>
          <w:p>
            <w:pPr>
              <w:spacing w:after="0"/>
              <w:rPr>
                <w:sz w:val="7"/>
                <w:szCs w:val="7"/>
                <w:color w:val="auto"/>
              </w:rPr>
            </w:pPr>
          </w:p>
        </w:tc>
      </w:tr>
      <w:tr>
        <w:trPr>
          <w:trHeight w:val="295"/>
        </w:trPr>
        <w:tc>
          <w:tcPr>
            <w:tcW w:w="2420" w:type="dxa"/>
            <w:vAlign w:val="bottom"/>
          </w:tcPr>
          <w:p>
            <w:pPr>
              <w:ind w:left="80"/>
              <w:spacing w:after="0"/>
              <w:rPr>
                <w:sz w:val="20"/>
                <w:szCs w:val="20"/>
                <w:color w:val="auto"/>
              </w:rPr>
            </w:pPr>
            <w:r>
              <w:rPr>
                <w:rFonts w:ascii="Arial" w:cs="Arial" w:eastAsia="Arial" w:hAnsi="Arial"/>
                <w:sz w:val="16"/>
                <w:szCs w:val="16"/>
                <w:color w:val="auto"/>
              </w:rPr>
              <w:t>Timothy Young</w:t>
            </w:r>
          </w:p>
        </w:tc>
        <w:tc>
          <w:tcPr>
            <w:tcW w:w="1520" w:type="dxa"/>
            <w:vAlign w:val="bottom"/>
          </w:tcPr>
          <w:p>
            <w:pPr>
              <w:jc w:val="center"/>
              <w:ind w:left="501"/>
              <w:spacing w:after="0"/>
              <w:rPr>
                <w:sz w:val="20"/>
                <w:szCs w:val="20"/>
                <w:color w:val="auto"/>
              </w:rPr>
            </w:pPr>
            <w:r>
              <w:rPr>
                <w:rFonts w:ascii="Arial" w:cs="Arial" w:eastAsia="Arial" w:hAnsi="Arial"/>
                <w:sz w:val="16"/>
                <w:szCs w:val="16"/>
                <w:color w:val="auto"/>
              </w:rPr>
              <w:t>40</w:t>
            </w:r>
          </w:p>
        </w:tc>
        <w:tc>
          <w:tcPr>
            <w:tcW w:w="5620" w:type="dxa"/>
            <w:vAlign w:val="bottom"/>
          </w:tcPr>
          <w:p>
            <w:pPr>
              <w:ind w:left="320"/>
              <w:spacing w:after="0"/>
              <w:rPr>
                <w:sz w:val="20"/>
                <w:szCs w:val="20"/>
                <w:color w:val="auto"/>
              </w:rPr>
            </w:pPr>
            <w:r>
              <w:rPr>
                <w:rFonts w:ascii="Arial" w:cs="Arial" w:eastAsia="Arial" w:hAnsi="Arial"/>
                <w:sz w:val="16"/>
                <w:szCs w:val="16"/>
                <w:color w:val="auto"/>
              </w:rPr>
              <w:t>President</w:t>
            </w:r>
          </w:p>
        </w:tc>
      </w:tr>
    </w:tbl>
    <w:p>
      <w:pPr>
        <w:spacing w:after="0" w:line="231" w:lineRule="exact"/>
        <w:rPr>
          <w:sz w:val="20"/>
          <w:szCs w:val="20"/>
          <w:color w:val="auto"/>
        </w:rPr>
      </w:pPr>
    </w:p>
    <w:p>
      <w:pPr>
        <w:ind w:left="4"/>
        <w:spacing w:after="0"/>
        <w:rPr>
          <w:sz w:val="20"/>
          <w:szCs w:val="20"/>
          <w:color w:val="auto"/>
        </w:rPr>
      </w:pPr>
      <w:r>
        <w:rPr>
          <w:rFonts w:ascii="Arial" w:cs="Arial" w:eastAsia="Arial" w:hAnsi="Arial"/>
          <w:sz w:val="16"/>
          <w:szCs w:val="16"/>
          <w:color w:val="auto"/>
        </w:rPr>
        <w:t>For Mr. Houston’s biography, see “</w:t>
      </w:r>
      <w:r>
        <w:rPr>
          <w:rFonts w:ascii="Arial" w:cs="Arial" w:eastAsia="Arial" w:hAnsi="Arial"/>
          <w:sz w:val="16"/>
          <w:szCs w:val="16"/>
          <w:i w:val="1"/>
          <w:iCs w:val="1"/>
          <w:color w:val="auto"/>
        </w:rPr>
        <w:t>Nominees for Director</w:t>
      </w:r>
      <w:r>
        <w:rPr>
          <w:rFonts w:ascii="Arial" w:cs="Arial" w:eastAsia="Arial" w:hAnsi="Arial"/>
          <w:sz w:val="16"/>
          <w:szCs w:val="16"/>
          <w:color w:val="auto"/>
        </w:rPr>
        <w:t>.”</w:t>
      </w:r>
    </w:p>
    <w:p>
      <w:pPr>
        <w:spacing w:after="0" w:line="167" w:lineRule="exact"/>
        <w:rPr>
          <w:sz w:val="20"/>
          <w:szCs w:val="20"/>
          <w:color w:val="auto"/>
        </w:rPr>
      </w:pPr>
    </w:p>
    <w:p>
      <w:pPr>
        <w:ind w:left="4"/>
        <w:spacing w:after="0" w:line="256" w:lineRule="auto"/>
        <w:rPr>
          <w:sz w:val="20"/>
          <w:szCs w:val="20"/>
          <w:color w:val="auto"/>
        </w:rPr>
      </w:pPr>
      <w:r>
        <w:rPr>
          <w:rFonts w:ascii="Arial" w:cs="Arial" w:eastAsia="Arial" w:hAnsi="Arial"/>
          <w:sz w:val="16"/>
          <w:szCs w:val="16"/>
          <w:b w:val="1"/>
          <w:bCs w:val="1"/>
          <w:color w:val="0063A6"/>
        </w:rPr>
        <w:t>Timothy Regan</w:t>
      </w:r>
      <w:r>
        <w:rPr>
          <w:rFonts w:ascii="Arial" w:cs="Arial" w:eastAsia="Arial" w:hAnsi="Arial"/>
          <w:sz w:val="16"/>
          <w:szCs w:val="16"/>
          <w:color w:val="0063A6"/>
        </w:rPr>
        <w:t>.</w:t>
      </w:r>
      <w:r>
        <w:rPr>
          <w:rFonts w:ascii="Arial" w:cs="Arial" w:eastAsia="Arial" w:hAnsi="Arial"/>
          <w:sz w:val="16"/>
          <w:szCs w:val="16"/>
          <w:b w:val="1"/>
          <w:bCs w:val="1"/>
          <w:color w:val="0063A6"/>
        </w:rPr>
        <w:t xml:space="preserve"> </w:t>
      </w:r>
      <w:r>
        <w:rPr>
          <w:rFonts w:ascii="Arial" w:cs="Arial" w:eastAsia="Arial" w:hAnsi="Arial"/>
          <w:sz w:val="16"/>
          <w:szCs w:val="16"/>
          <w:color w:val="000000"/>
        </w:rPr>
        <w:t>Timothy Regan, CPA, has served as Dropbox’s Chief Financial Officer since September 2020. Previously, he served</w:t>
      </w:r>
      <w:r>
        <w:rPr>
          <w:rFonts w:ascii="Arial" w:cs="Arial" w:eastAsia="Arial" w:hAnsi="Arial"/>
          <w:sz w:val="16"/>
          <w:szCs w:val="16"/>
          <w:b w:val="1"/>
          <w:bCs w:val="1"/>
          <w:color w:val="0063A6"/>
        </w:rPr>
        <w:t xml:space="preserve"> </w:t>
      </w:r>
      <w:r>
        <w:rPr>
          <w:rFonts w:ascii="Arial" w:cs="Arial" w:eastAsia="Arial" w:hAnsi="Arial"/>
          <w:sz w:val="16"/>
          <w:szCs w:val="16"/>
          <w:color w:val="000000"/>
        </w:rPr>
        <w:t>as Dropbox’s Chief Accounting Officer from December 2016 to September 2020. From January 2011 to December 2016, he served as VP Finance Controller at Pandora Media, Inc., or Pandora. Prior to joining Pandora, he held senior positions at Dolby Laboratories, Inc., and Ernst and Young, LLP. Mr. Regan received his Bachelor of Arts in Accounting from Georgetown University in 1999 and his Master of Business Administration from the University of California, Berkeley Haas School of Business, in 2011.</w:t>
      </w:r>
    </w:p>
    <w:p>
      <w:pPr>
        <w:spacing w:after="0" w:line="126"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Bart E. Volkmer</w:t>
      </w:r>
      <w:r>
        <w:rPr>
          <w:rFonts w:ascii="Arial" w:cs="Arial" w:eastAsia="Arial" w:hAnsi="Arial"/>
          <w:sz w:val="16"/>
          <w:szCs w:val="16"/>
          <w:color w:val="0063A6"/>
        </w:rPr>
        <w:t>.</w:t>
      </w:r>
      <w:r>
        <w:rPr>
          <w:rFonts w:ascii="Arial" w:cs="Arial" w:eastAsia="Arial" w:hAnsi="Arial"/>
          <w:sz w:val="16"/>
          <w:szCs w:val="16"/>
          <w:b w:val="1"/>
          <w:bCs w:val="1"/>
          <w:color w:val="0063A6"/>
        </w:rPr>
        <w:t xml:space="preserve"> </w:t>
      </w:r>
      <w:r>
        <w:rPr>
          <w:rFonts w:ascii="Arial" w:cs="Arial" w:eastAsia="Arial" w:hAnsi="Arial"/>
          <w:sz w:val="16"/>
          <w:szCs w:val="16"/>
          <w:color w:val="000000"/>
        </w:rPr>
        <w:t>Mr. Volkmer has served as our Chief Legal Officer since January 2020. From June 2016 to January 2020,</w:t>
      </w:r>
    </w:p>
    <w:p>
      <w:pPr>
        <w:spacing w:after="0" w:line="21" w:lineRule="exact"/>
        <w:rPr>
          <w:sz w:val="20"/>
          <w:szCs w:val="20"/>
          <w:color w:val="auto"/>
        </w:rPr>
      </w:pPr>
    </w:p>
    <w:p>
      <w:pPr>
        <w:ind w:left="4" w:right="20"/>
        <w:spacing w:after="0" w:line="252" w:lineRule="auto"/>
        <w:rPr>
          <w:sz w:val="20"/>
          <w:szCs w:val="20"/>
          <w:color w:val="auto"/>
        </w:rPr>
      </w:pPr>
      <w:r>
        <w:rPr>
          <w:rFonts w:ascii="Arial" w:cs="Arial" w:eastAsia="Arial" w:hAnsi="Arial"/>
          <w:sz w:val="16"/>
          <w:szCs w:val="16"/>
          <w:color w:val="auto"/>
        </w:rPr>
        <w:t>Mr. Volkmer served as our General Counsel and from August 2011 to June 2016, Mr. Volkmer served as our Head of Litigation &amp; Regulatory. Prior to joining Dropbox, Mr. Volkmer practiced law at Wilson Sonsini Goodrich &amp; Rosati, a law firm, from 2003 to 2011, where he counseled early-stage and established technology companies. Mr. Volkmer holds a J.D. from Santa Clara University School of Law and a B.A. in English from Creighton University.</w:t>
      </w:r>
    </w:p>
    <w:p>
      <w:pPr>
        <w:spacing w:after="0" w:line="129"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Timothy Young</w:t>
      </w:r>
      <w:r>
        <w:rPr>
          <w:rFonts w:ascii="Arial" w:cs="Arial" w:eastAsia="Arial" w:hAnsi="Arial"/>
          <w:sz w:val="16"/>
          <w:szCs w:val="16"/>
          <w:color w:val="0063A6"/>
        </w:rPr>
        <w:t>.</w:t>
      </w:r>
      <w:r>
        <w:rPr>
          <w:rFonts w:ascii="Arial" w:cs="Arial" w:eastAsia="Arial" w:hAnsi="Arial"/>
          <w:sz w:val="16"/>
          <w:szCs w:val="16"/>
          <w:b w:val="1"/>
          <w:bCs w:val="1"/>
          <w:color w:val="0063A6"/>
        </w:rPr>
        <w:t xml:space="preserve"> </w:t>
      </w:r>
      <w:r>
        <w:rPr>
          <w:rFonts w:ascii="Arial" w:cs="Arial" w:eastAsia="Arial" w:hAnsi="Arial"/>
          <w:sz w:val="16"/>
          <w:szCs w:val="16"/>
          <w:color w:val="000000"/>
        </w:rPr>
        <w:t>Timothy Young has served as our President since November 2020. From October 2019 to November 2020,</w:t>
      </w:r>
    </w:p>
    <w:p>
      <w:pPr>
        <w:spacing w:after="0" w:line="21" w:lineRule="exact"/>
        <w:rPr>
          <w:sz w:val="20"/>
          <w:szCs w:val="20"/>
          <w:color w:val="auto"/>
        </w:rPr>
      </w:pPr>
    </w:p>
    <w:p>
      <w:pPr>
        <w:ind w:left="4" w:right="20"/>
        <w:spacing w:after="0" w:line="249" w:lineRule="auto"/>
        <w:rPr>
          <w:sz w:val="20"/>
          <w:szCs w:val="20"/>
          <w:color w:val="auto"/>
        </w:rPr>
      </w:pPr>
      <w:r>
        <w:rPr>
          <w:rFonts w:ascii="Arial" w:cs="Arial" w:eastAsia="Arial" w:hAnsi="Arial"/>
          <w:sz w:val="16"/>
          <w:szCs w:val="16"/>
          <w:color w:val="auto"/>
        </w:rPr>
        <w:t>Mr. Young served as our Senior Vice President and General Manager, Core Dropbox. Mr. Young has extensive experience managing, growing and investing in technology companies. Prior to joining Dropbox and since January 2015, Mr. Young has served as a Founder of Hidden Hand Capital, which invests in early-stage technology companies. Prior to founding Hidden Hand Capital, from May 2011 to September 2014, he was Vice President of Product and Engineering at VMware, a cloud infrastructure and digital workspace company, where he led product development and strategic product planning for cloud and mobile applications. From June 2005 to May 2011, he was the Founder and CEO of Socialcast, which was acquired by VMware. From December 2009 to December 2010, he was a Co-Founder of about.me, which was acquired by AOL. Mr. Young attended the University of California, Riverside, where he studied Computer Science.</w:t>
      </w:r>
    </w:p>
    <w:p>
      <w:pPr>
        <w:spacing w:after="0" w:line="190" w:lineRule="exact"/>
        <w:rPr>
          <w:sz w:val="20"/>
          <w:szCs w:val="20"/>
          <w:color w:val="auto"/>
        </w:rPr>
      </w:pPr>
    </w:p>
    <w:p>
      <w:pPr>
        <w:ind w:left="524" w:hanging="524"/>
        <w:spacing w:after="0"/>
        <w:tabs>
          <w:tab w:leader="none" w:pos="524" w:val="left"/>
        </w:tabs>
        <w:numPr>
          <w:ilvl w:val="0"/>
          <w:numId w:val="47"/>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32" w:name="page33"/>
    <w:bookmarkEnd w:id="32"/>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w:t>
      </w:r>
    </w:p>
    <w:p>
      <w:pPr>
        <w:spacing w:after="0" w:line="316"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Compensation Discussion and Analysis</w:t>
      </w:r>
    </w:p>
    <w:p>
      <w:pPr>
        <w:spacing w:after="0" w:line="179" w:lineRule="exact"/>
        <w:rPr>
          <w:sz w:val="20"/>
          <w:szCs w:val="20"/>
          <w:color w:val="auto"/>
        </w:rPr>
      </w:pPr>
    </w:p>
    <w:p>
      <w:pPr>
        <w:ind w:left="720" w:right="820"/>
        <w:spacing w:after="0" w:line="256" w:lineRule="auto"/>
        <w:rPr>
          <w:sz w:val="20"/>
          <w:szCs w:val="20"/>
          <w:color w:val="auto"/>
        </w:rPr>
      </w:pPr>
      <w:r>
        <w:rPr>
          <w:rFonts w:ascii="Arial" w:cs="Arial" w:eastAsia="Arial" w:hAnsi="Arial"/>
          <w:sz w:val="16"/>
          <w:szCs w:val="16"/>
          <w:color w:val="auto"/>
        </w:rPr>
        <w:t>This Compensation Discussion and Analysis describes the material elements of our executive compensation program during 2021. It also provides an overview of our executive compensation philosophy, including our principal compensation policies and practices. Finally, it analyzes how and why our compensation committee arrived at the specific compensation decisions for our executive officers, including our named executive officers in 2021, and discusses the key factors that our compensation committee considered in determining their compensation.</w:t>
      </w:r>
    </w:p>
    <w:p>
      <w:pPr>
        <w:spacing w:after="0" w:line="193" w:lineRule="exact"/>
        <w:rPr>
          <w:sz w:val="20"/>
          <w:szCs w:val="20"/>
          <w:color w:val="auto"/>
        </w:rPr>
      </w:pPr>
    </w:p>
    <w:p>
      <w:pPr>
        <w:ind w:left="720"/>
        <w:spacing w:after="0"/>
        <w:rPr>
          <w:sz w:val="20"/>
          <w:szCs w:val="20"/>
          <w:color w:val="auto"/>
        </w:rPr>
      </w:pPr>
      <w:r>
        <w:rPr>
          <w:rFonts w:ascii="Arial" w:cs="Arial" w:eastAsia="Arial" w:hAnsi="Arial"/>
          <w:sz w:val="16"/>
          <w:szCs w:val="16"/>
          <w:color w:val="auto"/>
        </w:rPr>
        <w:t>Our named executive officers for 2021 were: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55245</wp:posOffset>
            </wp:positionV>
            <wp:extent cx="6077585" cy="14230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077585" cy="1423035"/>
                    </a:xfrm>
                    <a:prstGeom prst="rect">
                      <a:avLst/>
                    </a:prstGeom>
                    <a:noFill/>
                  </pic:spPr>
                </pic:pic>
              </a:graphicData>
            </a:graphic>
          </wp:anchor>
        </w:drawing>
      </w:r>
    </w:p>
    <w:p>
      <w:pPr>
        <w:spacing w:after="0" w:line="67" w:lineRule="exact"/>
        <w:rPr>
          <w:sz w:val="20"/>
          <w:szCs w:val="20"/>
          <w:color w:val="auto"/>
        </w:rPr>
      </w:pPr>
    </w:p>
    <w:tbl>
      <w:tblPr>
        <w:tblLayout w:type="fixed"/>
        <w:tblInd w:w="720" w:type="dxa"/>
        <w:tblCellMar>
          <w:top w:w="0" w:type="dxa"/>
          <w:left w:w="0" w:type="dxa"/>
          <w:bottom w:w="0" w:type="dxa"/>
          <w:right w:w="0" w:type="dxa"/>
        </w:tblCellMar>
      </w:tblPr>
      <w:tr>
        <w:trPr>
          <w:trHeight w:val="295"/>
        </w:trPr>
        <w:tc>
          <w:tcPr>
            <w:tcW w:w="2200" w:type="dxa"/>
            <w:vAlign w:val="bottom"/>
            <w:shd w:val="clear" w:color="auto" w:fill="0063A6"/>
          </w:tcPr>
          <w:p>
            <w:pPr>
              <w:ind w:left="80"/>
              <w:spacing w:after="0"/>
              <w:rPr>
                <w:sz w:val="20"/>
                <w:szCs w:val="20"/>
                <w:color w:val="auto"/>
              </w:rPr>
            </w:pPr>
            <w:r>
              <w:rPr>
                <w:rFonts w:ascii="Arial" w:cs="Arial" w:eastAsia="Arial" w:hAnsi="Arial"/>
                <w:sz w:val="14"/>
                <w:szCs w:val="14"/>
                <w:b w:val="1"/>
                <w:bCs w:val="1"/>
                <w:color w:val="FFFFFF"/>
              </w:rPr>
              <w:t>Named Executive Officer</w:t>
            </w:r>
          </w:p>
        </w:tc>
        <w:tc>
          <w:tcPr>
            <w:tcW w:w="7360" w:type="dxa"/>
            <w:vAlign w:val="bottom"/>
            <w:shd w:val="clear" w:color="auto" w:fill="0063A6"/>
          </w:tcPr>
          <w:p>
            <w:pPr>
              <w:ind w:left="440"/>
              <w:spacing w:after="0"/>
              <w:rPr>
                <w:sz w:val="20"/>
                <w:szCs w:val="20"/>
                <w:color w:val="auto"/>
              </w:rPr>
            </w:pPr>
            <w:r>
              <w:rPr>
                <w:rFonts w:ascii="Arial" w:cs="Arial" w:eastAsia="Arial" w:hAnsi="Arial"/>
                <w:sz w:val="14"/>
                <w:szCs w:val="14"/>
                <w:b w:val="1"/>
                <w:bCs w:val="1"/>
                <w:color w:val="FFFFFF"/>
              </w:rPr>
              <w:t>Title</w:t>
            </w:r>
          </w:p>
        </w:tc>
      </w:tr>
      <w:tr>
        <w:trPr>
          <w:trHeight w:val="70"/>
        </w:trPr>
        <w:tc>
          <w:tcPr>
            <w:tcW w:w="2200" w:type="dxa"/>
            <w:vAlign w:val="bottom"/>
            <w:shd w:val="clear" w:color="auto" w:fill="0063A6"/>
          </w:tcPr>
          <w:p>
            <w:pPr>
              <w:spacing w:after="0"/>
              <w:rPr>
                <w:sz w:val="6"/>
                <w:szCs w:val="6"/>
                <w:color w:val="auto"/>
              </w:rPr>
            </w:pPr>
          </w:p>
        </w:tc>
        <w:tc>
          <w:tcPr>
            <w:tcW w:w="7360" w:type="dxa"/>
            <w:vAlign w:val="bottom"/>
            <w:shd w:val="clear" w:color="auto" w:fill="0063A6"/>
          </w:tcPr>
          <w:p>
            <w:pPr>
              <w:spacing w:after="0"/>
              <w:rPr>
                <w:sz w:val="6"/>
                <w:szCs w:val="6"/>
                <w:color w:val="auto"/>
              </w:rPr>
            </w:pPr>
          </w:p>
        </w:tc>
      </w:tr>
      <w:tr>
        <w:trPr>
          <w:trHeight w:val="303"/>
        </w:trPr>
        <w:tc>
          <w:tcPr>
            <w:tcW w:w="220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Andrew W. Houston</w:t>
            </w:r>
          </w:p>
        </w:tc>
        <w:tc>
          <w:tcPr>
            <w:tcW w:w="7360" w:type="dxa"/>
            <w:vAlign w:val="bottom"/>
            <w:shd w:val="clear" w:color="auto" w:fill="F2F2F2"/>
          </w:tcPr>
          <w:p>
            <w:pPr>
              <w:ind w:left="440"/>
              <w:spacing w:after="0"/>
              <w:rPr>
                <w:sz w:val="20"/>
                <w:szCs w:val="20"/>
                <w:color w:val="auto"/>
              </w:rPr>
            </w:pPr>
            <w:r>
              <w:rPr>
                <w:rFonts w:ascii="Arial" w:cs="Arial" w:eastAsia="Arial" w:hAnsi="Arial"/>
                <w:sz w:val="16"/>
                <w:szCs w:val="16"/>
                <w:color w:val="auto"/>
              </w:rPr>
              <w:t>Chief Executive Officer</w:t>
            </w:r>
          </w:p>
        </w:tc>
      </w:tr>
      <w:tr>
        <w:trPr>
          <w:trHeight w:val="75"/>
        </w:trPr>
        <w:tc>
          <w:tcPr>
            <w:tcW w:w="2200" w:type="dxa"/>
            <w:vAlign w:val="bottom"/>
            <w:shd w:val="clear" w:color="auto" w:fill="F2F2F2"/>
          </w:tcPr>
          <w:p>
            <w:pPr>
              <w:spacing w:after="0"/>
              <w:rPr>
                <w:sz w:val="6"/>
                <w:szCs w:val="6"/>
                <w:color w:val="auto"/>
              </w:rPr>
            </w:pPr>
          </w:p>
        </w:tc>
        <w:tc>
          <w:tcPr>
            <w:tcW w:w="7360" w:type="dxa"/>
            <w:vAlign w:val="bottom"/>
            <w:shd w:val="clear" w:color="auto" w:fill="F2F2F2"/>
          </w:tcPr>
          <w:p>
            <w:pPr>
              <w:spacing w:after="0"/>
              <w:rPr>
                <w:sz w:val="6"/>
                <w:szCs w:val="6"/>
                <w:color w:val="auto"/>
              </w:rPr>
            </w:pPr>
          </w:p>
        </w:tc>
      </w:tr>
      <w:tr>
        <w:trPr>
          <w:trHeight w:val="303"/>
        </w:trPr>
        <w:tc>
          <w:tcPr>
            <w:tcW w:w="2200" w:type="dxa"/>
            <w:vAlign w:val="bottom"/>
          </w:tcPr>
          <w:p>
            <w:pPr>
              <w:ind w:left="80"/>
              <w:spacing w:after="0"/>
              <w:rPr>
                <w:sz w:val="20"/>
                <w:szCs w:val="20"/>
                <w:color w:val="auto"/>
              </w:rPr>
            </w:pPr>
            <w:r>
              <w:rPr>
                <w:rFonts w:ascii="Arial" w:cs="Arial" w:eastAsia="Arial" w:hAnsi="Arial"/>
                <w:sz w:val="16"/>
                <w:szCs w:val="16"/>
                <w:b w:val="1"/>
                <w:bCs w:val="1"/>
                <w:color w:val="auto"/>
              </w:rPr>
              <w:t>Timothy Regan</w:t>
            </w:r>
          </w:p>
        </w:tc>
        <w:tc>
          <w:tcPr>
            <w:tcW w:w="7360" w:type="dxa"/>
            <w:vAlign w:val="bottom"/>
          </w:tcPr>
          <w:p>
            <w:pPr>
              <w:ind w:left="440"/>
              <w:spacing w:after="0"/>
              <w:rPr>
                <w:sz w:val="20"/>
                <w:szCs w:val="20"/>
                <w:color w:val="auto"/>
              </w:rPr>
            </w:pPr>
            <w:r>
              <w:rPr>
                <w:rFonts w:ascii="Arial" w:cs="Arial" w:eastAsia="Arial" w:hAnsi="Arial"/>
                <w:sz w:val="16"/>
                <w:szCs w:val="16"/>
                <w:color w:val="auto"/>
              </w:rPr>
              <w:t>Chief Financial Officer</w:t>
            </w:r>
          </w:p>
        </w:tc>
      </w:tr>
      <w:tr>
        <w:trPr>
          <w:trHeight w:val="75"/>
        </w:trPr>
        <w:tc>
          <w:tcPr>
            <w:tcW w:w="2200" w:type="dxa"/>
            <w:vAlign w:val="bottom"/>
          </w:tcPr>
          <w:p>
            <w:pPr>
              <w:spacing w:after="0"/>
              <w:rPr>
                <w:sz w:val="6"/>
                <w:szCs w:val="6"/>
                <w:color w:val="auto"/>
              </w:rPr>
            </w:pPr>
          </w:p>
        </w:tc>
        <w:tc>
          <w:tcPr>
            <w:tcW w:w="7360" w:type="dxa"/>
            <w:vAlign w:val="bottom"/>
          </w:tcPr>
          <w:p>
            <w:pPr>
              <w:spacing w:after="0"/>
              <w:rPr>
                <w:sz w:val="6"/>
                <w:szCs w:val="6"/>
                <w:color w:val="auto"/>
              </w:rPr>
            </w:pPr>
          </w:p>
        </w:tc>
      </w:tr>
      <w:tr>
        <w:trPr>
          <w:trHeight w:val="303"/>
        </w:trPr>
        <w:tc>
          <w:tcPr>
            <w:tcW w:w="220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Timothy Young</w:t>
            </w:r>
          </w:p>
        </w:tc>
        <w:tc>
          <w:tcPr>
            <w:tcW w:w="7360" w:type="dxa"/>
            <w:vAlign w:val="bottom"/>
            <w:shd w:val="clear" w:color="auto" w:fill="F2F2F2"/>
          </w:tcPr>
          <w:p>
            <w:pPr>
              <w:ind w:left="440"/>
              <w:spacing w:after="0"/>
              <w:rPr>
                <w:sz w:val="20"/>
                <w:szCs w:val="20"/>
                <w:color w:val="auto"/>
              </w:rPr>
            </w:pPr>
            <w:r>
              <w:rPr>
                <w:rFonts w:ascii="Arial" w:cs="Arial" w:eastAsia="Arial" w:hAnsi="Arial"/>
                <w:sz w:val="16"/>
                <w:szCs w:val="16"/>
                <w:color w:val="auto"/>
              </w:rPr>
              <w:t>President</w:t>
            </w:r>
          </w:p>
        </w:tc>
      </w:tr>
      <w:tr>
        <w:trPr>
          <w:trHeight w:val="75"/>
        </w:trPr>
        <w:tc>
          <w:tcPr>
            <w:tcW w:w="2200" w:type="dxa"/>
            <w:vAlign w:val="bottom"/>
            <w:shd w:val="clear" w:color="auto" w:fill="F2F2F2"/>
          </w:tcPr>
          <w:p>
            <w:pPr>
              <w:spacing w:after="0"/>
              <w:rPr>
                <w:sz w:val="6"/>
                <w:szCs w:val="6"/>
                <w:color w:val="auto"/>
              </w:rPr>
            </w:pPr>
          </w:p>
        </w:tc>
        <w:tc>
          <w:tcPr>
            <w:tcW w:w="7360" w:type="dxa"/>
            <w:vAlign w:val="bottom"/>
            <w:shd w:val="clear" w:color="auto" w:fill="F2F2F2"/>
          </w:tcPr>
          <w:p>
            <w:pPr>
              <w:spacing w:after="0"/>
              <w:rPr>
                <w:sz w:val="6"/>
                <w:szCs w:val="6"/>
                <w:color w:val="auto"/>
              </w:rPr>
            </w:pPr>
          </w:p>
        </w:tc>
      </w:tr>
      <w:tr>
        <w:trPr>
          <w:trHeight w:val="303"/>
        </w:trPr>
        <w:tc>
          <w:tcPr>
            <w:tcW w:w="2200" w:type="dxa"/>
            <w:vAlign w:val="bottom"/>
          </w:tcPr>
          <w:p>
            <w:pPr>
              <w:ind w:left="80"/>
              <w:spacing w:after="0"/>
              <w:rPr>
                <w:sz w:val="20"/>
                <w:szCs w:val="20"/>
                <w:color w:val="auto"/>
              </w:rPr>
            </w:pPr>
            <w:r>
              <w:rPr>
                <w:rFonts w:ascii="Arial" w:cs="Arial" w:eastAsia="Arial" w:hAnsi="Arial"/>
                <w:sz w:val="16"/>
                <w:szCs w:val="16"/>
                <w:b w:val="1"/>
                <w:bCs w:val="1"/>
                <w:color w:val="auto"/>
              </w:rPr>
              <w:t>Bart E. Volkmer</w:t>
            </w:r>
          </w:p>
        </w:tc>
        <w:tc>
          <w:tcPr>
            <w:tcW w:w="7360" w:type="dxa"/>
            <w:vAlign w:val="bottom"/>
          </w:tcPr>
          <w:p>
            <w:pPr>
              <w:ind w:left="440"/>
              <w:spacing w:after="0"/>
              <w:rPr>
                <w:sz w:val="20"/>
                <w:szCs w:val="20"/>
                <w:color w:val="auto"/>
              </w:rPr>
            </w:pPr>
            <w:r>
              <w:rPr>
                <w:rFonts w:ascii="Arial" w:cs="Arial" w:eastAsia="Arial" w:hAnsi="Arial"/>
                <w:sz w:val="16"/>
                <w:szCs w:val="16"/>
                <w:color w:val="auto"/>
              </w:rPr>
              <w:t>Chief Legal Officer</w:t>
            </w:r>
          </w:p>
        </w:tc>
      </w:tr>
      <w:tr>
        <w:trPr>
          <w:trHeight w:val="75"/>
        </w:trPr>
        <w:tc>
          <w:tcPr>
            <w:tcW w:w="2200" w:type="dxa"/>
            <w:vAlign w:val="bottom"/>
          </w:tcPr>
          <w:p>
            <w:pPr>
              <w:spacing w:after="0"/>
              <w:rPr>
                <w:sz w:val="6"/>
                <w:szCs w:val="6"/>
                <w:color w:val="auto"/>
              </w:rPr>
            </w:pPr>
          </w:p>
        </w:tc>
        <w:tc>
          <w:tcPr>
            <w:tcW w:w="7360" w:type="dxa"/>
            <w:vAlign w:val="bottom"/>
          </w:tcPr>
          <w:p>
            <w:pPr>
              <w:spacing w:after="0"/>
              <w:rPr>
                <w:sz w:val="6"/>
                <w:szCs w:val="6"/>
                <w:color w:val="auto"/>
              </w:rPr>
            </w:pPr>
          </w:p>
        </w:tc>
      </w:tr>
      <w:tr>
        <w:trPr>
          <w:trHeight w:val="351"/>
        </w:trPr>
        <w:tc>
          <w:tcPr>
            <w:tcW w:w="220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Olivia Nottebohm</w:t>
            </w:r>
            <w:r>
              <w:rPr>
                <w:rFonts w:ascii="Arial" w:cs="Arial" w:eastAsia="Arial" w:hAnsi="Arial"/>
                <w:sz w:val="26"/>
                <w:szCs w:val="26"/>
                <w:b w:val="1"/>
                <w:bCs w:val="1"/>
                <w:color w:val="auto"/>
                <w:vertAlign w:val="superscript"/>
              </w:rPr>
              <w:t>(1)</w:t>
            </w:r>
          </w:p>
        </w:tc>
        <w:tc>
          <w:tcPr>
            <w:tcW w:w="7360" w:type="dxa"/>
            <w:vAlign w:val="bottom"/>
            <w:shd w:val="clear" w:color="auto" w:fill="F2F2F2"/>
          </w:tcPr>
          <w:p>
            <w:pPr>
              <w:ind w:left="440"/>
              <w:spacing w:after="0"/>
              <w:rPr>
                <w:sz w:val="20"/>
                <w:szCs w:val="20"/>
                <w:color w:val="auto"/>
              </w:rPr>
            </w:pPr>
            <w:r>
              <w:rPr>
                <w:rFonts w:ascii="Arial" w:cs="Arial" w:eastAsia="Arial" w:hAnsi="Arial"/>
                <w:sz w:val="16"/>
                <w:szCs w:val="16"/>
                <w:color w:val="auto"/>
              </w:rPr>
              <w:t>Former Chief Operating Officer</w:t>
            </w:r>
          </w:p>
        </w:tc>
      </w:tr>
    </w:tbl>
    <w:p>
      <w:pPr>
        <w:spacing w:after="0" w:line="36" w:lineRule="exact"/>
        <w:rPr>
          <w:sz w:val="20"/>
          <w:szCs w:val="20"/>
          <w:color w:val="auto"/>
        </w:rPr>
      </w:pPr>
    </w:p>
    <w:p>
      <w:pPr>
        <w:ind w:left="960" w:hanging="244"/>
        <w:spacing w:after="0"/>
        <w:tabs>
          <w:tab w:leader="none" w:pos="960" w:val="left"/>
        </w:tabs>
        <w:numPr>
          <w:ilvl w:val="0"/>
          <w:numId w:val="48"/>
        </w:numPr>
        <w:rPr>
          <w:rFonts w:ascii="Arial" w:cs="Arial" w:eastAsia="Arial" w:hAnsi="Arial"/>
          <w:sz w:val="22"/>
          <w:szCs w:val="22"/>
          <w:color w:val="auto"/>
          <w:vertAlign w:val="superscript"/>
        </w:rPr>
      </w:pPr>
      <w:r>
        <w:rPr>
          <w:rFonts w:ascii="Arial" w:cs="Arial" w:eastAsia="Arial" w:hAnsi="Arial"/>
          <w:sz w:val="14"/>
          <w:szCs w:val="14"/>
          <w:color w:val="auto"/>
        </w:rPr>
        <w:t>Ms. Nottebohm resigned from the company in February 2021.</w:t>
      </w:r>
    </w:p>
    <w:p>
      <w:pPr>
        <w:spacing w:after="0" w:line="259"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Executive Summary</w:t>
      </w:r>
    </w:p>
    <w:p>
      <w:pPr>
        <w:spacing w:after="0" w:line="327"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Who We Are</w:t>
      </w:r>
    </w:p>
    <w:p>
      <w:pPr>
        <w:spacing w:after="0" w:line="86" w:lineRule="exact"/>
        <w:rPr>
          <w:sz w:val="20"/>
          <w:szCs w:val="20"/>
          <w:color w:val="auto"/>
        </w:rPr>
      </w:pPr>
    </w:p>
    <w:p>
      <w:pPr>
        <w:ind w:left="720"/>
        <w:spacing w:after="0"/>
        <w:rPr>
          <w:sz w:val="20"/>
          <w:szCs w:val="20"/>
          <w:color w:val="auto"/>
        </w:rPr>
      </w:pPr>
      <w:r>
        <w:rPr>
          <w:rFonts w:ascii="Arial" w:cs="Arial" w:eastAsia="Arial" w:hAnsi="Arial"/>
          <w:sz w:val="16"/>
          <w:szCs w:val="16"/>
          <w:color w:val="auto"/>
        </w:rPr>
        <w:t>Dropbox is the one place to keep life organized and keep work moving.</w:t>
      </w:r>
    </w:p>
    <w:p>
      <w:pPr>
        <w:spacing w:after="0" w:line="167" w:lineRule="exact"/>
        <w:rPr>
          <w:sz w:val="20"/>
          <w:szCs w:val="20"/>
          <w:color w:val="auto"/>
        </w:rPr>
      </w:pPr>
    </w:p>
    <w:p>
      <w:pPr>
        <w:ind w:left="720" w:right="780"/>
        <w:spacing w:after="0" w:line="259" w:lineRule="auto"/>
        <w:rPr>
          <w:sz w:val="20"/>
          <w:szCs w:val="20"/>
          <w:color w:val="auto"/>
        </w:rPr>
      </w:pPr>
      <w:r>
        <w:rPr>
          <w:rFonts w:ascii="Arial" w:cs="Arial" w:eastAsia="Arial" w:hAnsi="Arial"/>
          <w:sz w:val="16"/>
          <w:szCs w:val="16"/>
          <w:color w:val="auto"/>
        </w:rPr>
        <w:t>We were founded in 2007 with a simple idea: Life would be a lot better if everyone could access their most important information anytime from any device. Over the past decade, we’ve largely accomplished that mission by building tools to help people work from anywhere—and along the way we recognized that for most of our users, sharing and collaborating on the Dropbox platform was even more valuable than storing files.</w:t>
      </w:r>
    </w:p>
    <w:p>
      <w:pPr>
        <w:spacing w:after="0" w:line="124" w:lineRule="exact"/>
        <w:rPr>
          <w:sz w:val="20"/>
          <w:szCs w:val="20"/>
          <w:color w:val="auto"/>
        </w:rPr>
      </w:pPr>
    </w:p>
    <w:p>
      <w:pPr>
        <w:ind w:left="720" w:right="740"/>
        <w:spacing w:after="0" w:line="253" w:lineRule="auto"/>
        <w:rPr>
          <w:sz w:val="20"/>
          <w:szCs w:val="20"/>
          <w:color w:val="auto"/>
        </w:rPr>
      </w:pPr>
      <w:r>
        <w:rPr>
          <w:rFonts w:ascii="Arial" w:cs="Arial" w:eastAsia="Arial" w:hAnsi="Arial"/>
          <w:sz w:val="16"/>
          <w:szCs w:val="16"/>
          <w:color w:val="auto"/>
        </w:rPr>
        <w:t>Our market opportunity has grown as we’ve expanded from keeping files in sync to keeping teams in sync. Today, we are well-positioned to reimagine the way work gets done. We're focusing on reducing the inordinate amount of time and energy the world spends on “work about work”—tedious tasks like searching for content, switching between applications, and managing workflows. We believe the need for our platform will continue to grow as teams become more fluid and global, and content is increasingly fragmented across incompatible tools and devices. The Dropbox platform breaks down silos by centralizing the flow of information between the products and services our users prefer, even if they’re not our own. In a world where using technology at work can be fragmented and distracting, the Dropbox platform makes it easy to focus on the work that matters.</w:t>
      </w:r>
    </w:p>
    <w:p>
      <w:pPr>
        <w:spacing w:after="0" w:line="127" w:lineRule="exact"/>
        <w:rPr>
          <w:sz w:val="20"/>
          <w:szCs w:val="20"/>
          <w:color w:val="auto"/>
        </w:rPr>
      </w:pPr>
    </w:p>
    <w:p>
      <w:pPr>
        <w:ind w:left="720" w:right="780"/>
        <w:spacing w:after="0" w:line="286" w:lineRule="auto"/>
        <w:rPr>
          <w:sz w:val="20"/>
          <w:szCs w:val="20"/>
          <w:color w:val="auto"/>
        </w:rPr>
      </w:pPr>
      <w:r>
        <w:rPr>
          <w:rFonts w:ascii="Arial" w:cs="Arial" w:eastAsia="Arial" w:hAnsi="Arial"/>
          <w:sz w:val="16"/>
          <w:szCs w:val="16"/>
          <w:color w:val="auto"/>
        </w:rPr>
        <w:t>The popularity of our platform allows us to scale rapidly and efficiently. We’ve built a thriving global business with 16.79 million paying users as of December 31, 2021.</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29</w:t>
            </w:r>
          </w:p>
        </w:tc>
      </w:tr>
      <w:tr>
        <w:trPr>
          <w:trHeight w:val="171"/>
        </w:trPr>
        <w:tc>
          <w:tcPr>
            <w:tcW w:w="99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33" w:name="page34"/>
    <w:bookmarkEnd w:id="33"/>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2021 Business Results and Business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wp:posOffset>
            </wp:positionH>
            <wp:positionV relativeFrom="paragraph">
              <wp:posOffset>132080</wp:posOffset>
            </wp:positionV>
            <wp:extent cx="6026150" cy="361759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6026150" cy="3617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524" w:hanging="524"/>
        <w:spacing w:after="0"/>
        <w:tabs>
          <w:tab w:leader="none" w:pos="524" w:val="left"/>
        </w:tabs>
        <w:numPr>
          <w:ilvl w:val="0"/>
          <w:numId w:val="49"/>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303"/>
          </w:cols>
          <w:pgMar w:left="1156" w:top="263" w:right="1440" w:bottom="1440" w:gutter="0" w:footer="0" w:header="0"/>
        </w:sectPr>
      </w:pPr>
    </w:p>
    <w:bookmarkStart w:id="34" w:name="page35"/>
    <w:bookmarkEnd w:id="34"/>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Executive Compensation Policies and Practices</w:t>
      </w:r>
    </w:p>
    <w:p>
      <w:pPr>
        <w:spacing w:after="0" w:line="39" w:lineRule="exact"/>
        <w:rPr>
          <w:sz w:val="20"/>
          <w:szCs w:val="20"/>
          <w:color w:val="auto"/>
        </w:rPr>
      </w:pPr>
    </w:p>
    <w:p>
      <w:pPr>
        <w:jc w:val="both"/>
        <w:ind w:left="720" w:right="980"/>
        <w:spacing w:after="0" w:line="262" w:lineRule="auto"/>
        <w:rPr>
          <w:sz w:val="20"/>
          <w:szCs w:val="20"/>
          <w:color w:val="auto"/>
        </w:rPr>
      </w:pPr>
      <w:r>
        <w:rPr>
          <w:rFonts w:ascii="Arial" w:cs="Arial" w:eastAsia="Arial" w:hAnsi="Arial"/>
          <w:sz w:val="16"/>
          <w:szCs w:val="16"/>
          <w:color w:val="auto"/>
        </w:rPr>
        <w:t>Our compensation committee evaluates our executive compensation program on a regular basis to ensure that it is consistent with our short-term and long-term goals given the dynamic nature of our business and the competitive market in which we compete for executive talent. The following summarizes our executive compensation program and related policies and practices:</w:t>
      </w:r>
    </w:p>
    <w:p>
      <w:pPr>
        <w:spacing w:after="0" w:line="136" w:lineRule="exact"/>
        <w:rPr>
          <w:sz w:val="20"/>
          <w:szCs w:val="20"/>
          <w:color w:val="auto"/>
        </w:rPr>
      </w:pPr>
    </w:p>
    <w:p>
      <w:pPr>
        <w:ind w:left="2420"/>
        <w:spacing w:after="0"/>
        <w:tabs>
          <w:tab w:leader="none" w:pos="6840" w:val="left"/>
        </w:tabs>
        <w:rPr>
          <w:sz w:val="20"/>
          <w:szCs w:val="20"/>
          <w:color w:val="auto"/>
        </w:rPr>
      </w:pPr>
      <w:r>
        <w:rPr>
          <w:rFonts w:ascii="Arial" w:cs="Arial" w:eastAsia="Arial" w:hAnsi="Arial"/>
          <w:sz w:val="25"/>
          <w:szCs w:val="25"/>
          <w:b w:val="1"/>
          <w:bCs w:val="1"/>
          <w:color w:val="auto"/>
        </w:rPr>
        <w:t>What we do</w:t>
      </w:r>
      <w:r>
        <w:rPr>
          <w:sz w:val="20"/>
          <w:szCs w:val="20"/>
          <w:color w:val="auto"/>
        </w:rPr>
        <w:tab/>
      </w:r>
      <w:r>
        <w:rPr>
          <w:rFonts w:ascii="Arial" w:cs="Arial" w:eastAsia="Arial" w:hAnsi="Arial"/>
          <w:sz w:val="25"/>
          <w:szCs w:val="25"/>
          <w:b w:val="1"/>
          <w:bCs w:val="1"/>
          <w:color w:val="auto"/>
        </w:rPr>
        <w:t>What we don’t 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107315</wp:posOffset>
            </wp:positionV>
            <wp:extent cx="6077585" cy="45605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6077585" cy="4560570"/>
                    </a:xfrm>
                    <a:prstGeom prst="rect">
                      <a:avLst/>
                    </a:prstGeom>
                    <a:noFill/>
                  </pic:spPr>
                </pic:pic>
              </a:graphicData>
            </a:graphic>
          </wp:anchor>
        </w:drawing>
      </w:r>
    </w:p>
    <w:p>
      <w:pPr>
        <w:sectPr>
          <w:pgSz w:w="11900" w:h="16838" w:orient="portrait"/>
          <w:cols w:equalWidth="0" w:num="1">
            <w:col w:w="11020"/>
          </w:cols>
          <w:pgMar w:left="440" w:top="263" w:right="439" w:bottom="1440" w:gutter="0" w:footer="0" w:header="0"/>
        </w:sectPr>
      </w:pPr>
    </w:p>
    <w:p>
      <w:pPr>
        <w:spacing w:after="0" w:line="290" w:lineRule="exact"/>
        <w:rPr>
          <w:sz w:val="20"/>
          <w:szCs w:val="20"/>
          <w:color w:val="auto"/>
        </w:rPr>
      </w:pPr>
    </w:p>
    <w:p>
      <w:pPr>
        <w:ind w:left="1180" w:right="220" w:hanging="286"/>
        <w:spacing w:after="0" w:line="259" w:lineRule="auto"/>
        <w:tabs>
          <w:tab w:leader="none" w:pos="1193" w:val="left"/>
        </w:tabs>
        <w:numPr>
          <w:ilvl w:val="0"/>
          <w:numId w:val="50"/>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Maintain an Independent Compensation Committee. </w:t>
      </w:r>
      <w:r>
        <w:rPr>
          <w:rFonts w:ascii="Arial" w:cs="Arial" w:eastAsia="Arial" w:hAnsi="Arial"/>
          <w:sz w:val="16"/>
          <w:szCs w:val="16"/>
          <w:color w:val="auto"/>
        </w:rPr>
        <w:t>The compensation committee consists solely of independent directors who establish our compensation practices.</w:t>
      </w:r>
    </w:p>
    <w:p>
      <w:pPr>
        <w:spacing w:after="0" w:line="150" w:lineRule="exact"/>
        <w:rPr>
          <w:rFonts w:ascii="MS PGothic" w:cs="MS PGothic" w:eastAsia="MS PGothic" w:hAnsi="MS PGothic"/>
          <w:sz w:val="16"/>
          <w:szCs w:val="16"/>
          <w:color w:val="auto"/>
        </w:rPr>
      </w:pPr>
    </w:p>
    <w:p>
      <w:pPr>
        <w:ind w:left="1180" w:right="80" w:hanging="286"/>
        <w:spacing w:after="0" w:line="254" w:lineRule="auto"/>
        <w:tabs>
          <w:tab w:leader="none" w:pos="1193" w:val="left"/>
        </w:tabs>
        <w:numPr>
          <w:ilvl w:val="0"/>
          <w:numId w:val="50"/>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Retain an Independent Compensation Advisor. </w:t>
      </w:r>
      <w:r>
        <w:rPr>
          <w:rFonts w:ascii="Arial" w:cs="Arial" w:eastAsia="Arial" w:hAnsi="Arial"/>
          <w:sz w:val="16"/>
          <w:szCs w:val="16"/>
          <w:color w:val="auto"/>
        </w:rPr>
        <w:t>The</w:t>
      </w:r>
      <w:r>
        <w:rPr>
          <w:rFonts w:ascii="Arial" w:cs="Arial" w:eastAsia="Arial" w:hAnsi="Arial"/>
          <w:sz w:val="16"/>
          <w:szCs w:val="16"/>
          <w:b w:val="1"/>
          <w:bCs w:val="1"/>
          <w:color w:val="auto"/>
        </w:rPr>
        <w:t xml:space="preserve"> </w:t>
      </w:r>
      <w:r>
        <w:rPr>
          <w:rFonts w:ascii="Arial" w:cs="Arial" w:eastAsia="Arial" w:hAnsi="Arial"/>
          <w:sz w:val="16"/>
          <w:szCs w:val="16"/>
          <w:color w:val="auto"/>
        </w:rPr>
        <w:t>compensation committee has engaged its own compensation consultant to provide information, analysis, and other advice on executive compensation independent of management. This consultant performed no other consulting or other services for us in 2021.</w:t>
      </w:r>
    </w:p>
    <w:p>
      <w:pPr>
        <w:spacing w:after="0" w:line="154" w:lineRule="exact"/>
        <w:rPr>
          <w:rFonts w:ascii="MS PGothic" w:cs="MS PGothic" w:eastAsia="MS PGothic" w:hAnsi="MS PGothic"/>
          <w:sz w:val="16"/>
          <w:szCs w:val="16"/>
          <w:color w:val="auto"/>
        </w:rPr>
      </w:pPr>
    </w:p>
    <w:p>
      <w:pPr>
        <w:ind w:left="1180" w:hanging="286"/>
        <w:spacing w:after="0" w:line="254" w:lineRule="auto"/>
        <w:tabs>
          <w:tab w:leader="none" w:pos="1193" w:val="left"/>
        </w:tabs>
        <w:numPr>
          <w:ilvl w:val="0"/>
          <w:numId w:val="50"/>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Annual Executive Compensation Review. </w:t>
      </w:r>
      <w:r>
        <w:rPr>
          <w:rFonts w:ascii="Arial" w:cs="Arial" w:eastAsia="Arial" w:hAnsi="Arial"/>
          <w:sz w:val="16"/>
          <w:szCs w:val="16"/>
          <w:color w:val="auto"/>
        </w:rPr>
        <w:t>The</w:t>
      </w:r>
      <w:r>
        <w:rPr>
          <w:rFonts w:ascii="Arial" w:cs="Arial" w:eastAsia="Arial" w:hAnsi="Arial"/>
          <w:sz w:val="16"/>
          <w:szCs w:val="16"/>
          <w:b w:val="1"/>
          <w:bCs w:val="1"/>
          <w:color w:val="auto"/>
        </w:rPr>
        <w:t xml:space="preserve"> </w:t>
      </w:r>
      <w:r>
        <w:rPr>
          <w:rFonts w:ascii="Arial" w:cs="Arial" w:eastAsia="Arial" w:hAnsi="Arial"/>
          <w:sz w:val="16"/>
          <w:szCs w:val="16"/>
          <w:color w:val="auto"/>
        </w:rPr>
        <w:t>compensation committee conducts an annual review of our compensation strategy and a review of our compensation-related risk profile to ensure that our compensation programs do not encourage excessive or inappropriate risk-taking.</w:t>
      </w:r>
    </w:p>
    <w:p>
      <w:pPr>
        <w:spacing w:after="0" w:line="154" w:lineRule="exact"/>
        <w:rPr>
          <w:rFonts w:ascii="MS PGothic" w:cs="MS PGothic" w:eastAsia="MS PGothic" w:hAnsi="MS PGothic"/>
          <w:sz w:val="16"/>
          <w:szCs w:val="16"/>
          <w:color w:val="auto"/>
        </w:rPr>
      </w:pPr>
    </w:p>
    <w:p>
      <w:pPr>
        <w:ind w:left="1180" w:right="200" w:hanging="286"/>
        <w:spacing w:after="0" w:line="256" w:lineRule="auto"/>
        <w:tabs>
          <w:tab w:leader="none" w:pos="1193" w:val="left"/>
        </w:tabs>
        <w:numPr>
          <w:ilvl w:val="0"/>
          <w:numId w:val="50"/>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Compensation At-Risk. </w:t>
      </w:r>
      <w:r>
        <w:rPr>
          <w:rFonts w:ascii="Arial" w:cs="Arial" w:eastAsia="Arial" w:hAnsi="Arial"/>
          <w:sz w:val="16"/>
          <w:szCs w:val="16"/>
          <w:color w:val="auto"/>
        </w:rPr>
        <w:t>Our executive compensation</w:t>
      </w:r>
      <w:r>
        <w:rPr>
          <w:rFonts w:ascii="Arial" w:cs="Arial" w:eastAsia="Arial" w:hAnsi="Arial"/>
          <w:sz w:val="16"/>
          <w:szCs w:val="16"/>
          <w:b w:val="1"/>
          <w:bCs w:val="1"/>
          <w:color w:val="auto"/>
        </w:rPr>
        <w:t xml:space="preserve"> </w:t>
      </w:r>
      <w:r>
        <w:rPr>
          <w:rFonts w:ascii="Arial" w:cs="Arial" w:eastAsia="Arial" w:hAnsi="Arial"/>
          <w:sz w:val="16"/>
          <w:szCs w:val="16"/>
          <w:color w:val="auto"/>
        </w:rPr>
        <w:t>program is designed so that a significant portion of our executive officer’s compensation is “at risk” based on corporate performance, as well as equity-based, to align the interests of our executive officers and stockholders.</w:t>
      </w:r>
    </w:p>
    <w:p>
      <w:pPr>
        <w:spacing w:after="0" w:line="152" w:lineRule="exact"/>
        <w:rPr>
          <w:rFonts w:ascii="MS PGothic" w:cs="MS PGothic" w:eastAsia="MS PGothic" w:hAnsi="MS PGothic"/>
          <w:sz w:val="16"/>
          <w:szCs w:val="16"/>
          <w:color w:val="auto"/>
        </w:rPr>
      </w:pPr>
    </w:p>
    <w:p>
      <w:pPr>
        <w:ind w:left="1180" w:right="40" w:hanging="286"/>
        <w:spacing w:after="0" w:line="252" w:lineRule="auto"/>
        <w:tabs>
          <w:tab w:leader="none" w:pos="1193" w:val="left"/>
        </w:tabs>
        <w:numPr>
          <w:ilvl w:val="0"/>
          <w:numId w:val="50"/>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Use a Pay-for-Performance Philosophy. </w:t>
      </w:r>
      <w:r>
        <w:rPr>
          <w:rFonts w:ascii="Arial" w:cs="Arial" w:eastAsia="Arial" w:hAnsi="Arial"/>
          <w:sz w:val="16"/>
          <w:szCs w:val="16"/>
          <w:color w:val="auto"/>
        </w:rPr>
        <w:t>The majority of</w:t>
      </w:r>
      <w:r>
        <w:rPr>
          <w:rFonts w:ascii="Arial" w:cs="Arial" w:eastAsia="Arial" w:hAnsi="Arial"/>
          <w:sz w:val="16"/>
          <w:szCs w:val="16"/>
          <w:b w:val="1"/>
          <w:bCs w:val="1"/>
          <w:color w:val="auto"/>
        </w:rPr>
        <w:t xml:space="preserve"> </w:t>
      </w:r>
      <w:r>
        <w:rPr>
          <w:rFonts w:ascii="Arial" w:cs="Arial" w:eastAsia="Arial" w:hAnsi="Arial"/>
          <w:sz w:val="16"/>
          <w:szCs w:val="16"/>
          <w:color w:val="auto"/>
        </w:rPr>
        <w:t>our executive officers’ compensation is directly linked to corporate performance; we also structure their target total direct compensation opportunities with a significant long-term equity component, thereby making a substantial portion of each executive officer’s target total direct compensation dependent upon our stock price and/or total stockholder return.</w:t>
      </w:r>
    </w:p>
    <w:p>
      <w:pPr>
        <w:spacing w:after="0" w:line="155" w:lineRule="exact"/>
        <w:rPr>
          <w:rFonts w:ascii="MS PGothic" w:cs="MS PGothic" w:eastAsia="MS PGothic" w:hAnsi="MS PGothic"/>
          <w:sz w:val="16"/>
          <w:szCs w:val="16"/>
          <w:color w:val="auto"/>
        </w:rPr>
      </w:pPr>
    </w:p>
    <w:p>
      <w:pPr>
        <w:ind w:left="1180" w:right="20" w:hanging="286"/>
        <w:spacing w:after="0" w:line="266" w:lineRule="auto"/>
        <w:tabs>
          <w:tab w:leader="none" w:pos="1193" w:val="left"/>
        </w:tabs>
        <w:numPr>
          <w:ilvl w:val="0"/>
          <w:numId w:val="50"/>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Succession Planning. </w:t>
      </w:r>
      <w:r>
        <w:rPr>
          <w:rFonts w:ascii="Arial" w:cs="Arial" w:eastAsia="Arial" w:hAnsi="Arial"/>
          <w:sz w:val="16"/>
          <w:szCs w:val="16"/>
          <w:color w:val="auto"/>
        </w:rPr>
        <w:t>We review the risks associated</w:t>
      </w:r>
      <w:r>
        <w:rPr>
          <w:rFonts w:ascii="Arial" w:cs="Arial" w:eastAsia="Arial" w:hAnsi="Arial"/>
          <w:sz w:val="16"/>
          <w:szCs w:val="16"/>
          <w:b w:val="1"/>
          <w:bCs w:val="1"/>
          <w:color w:val="auto"/>
        </w:rPr>
        <w:t xml:space="preserve"> </w:t>
      </w:r>
      <w:r>
        <w:rPr>
          <w:rFonts w:ascii="Arial" w:cs="Arial" w:eastAsia="Arial" w:hAnsi="Arial"/>
          <w:sz w:val="16"/>
          <w:szCs w:val="16"/>
          <w:color w:val="auto"/>
        </w:rPr>
        <w:t>with our key executive officer positions to ensure adequate succession plans are in place.</w:t>
      </w:r>
    </w:p>
    <w:p>
      <w:pPr>
        <w:spacing w:after="0" w:line="20" w:lineRule="exact"/>
        <w:rPr>
          <w:sz w:val="20"/>
          <w:szCs w:val="20"/>
          <w:color w:val="auto"/>
        </w:rPr>
      </w:pPr>
      <w:r>
        <w:rPr>
          <w:sz w:val="20"/>
          <w:szCs w:val="20"/>
          <w:color w:val="auto"/>
        </w:rPr>
        <w:br w:type="column"/>
      </w:r>
    </w:p>
    <w:p>
      <w:pPr>
        <w:spacing w:after="0" w:line="270" w:lineRule="exact"/>
        <w:rPr>
          <w:sz w:val="20"/>
          <w:szCs w:val="20"/>
          <w:color w:val="auto"/>
        </w:rPr>
      </w:pPr>
    </w:p>
    <w:p>
      <w:pPr>
        <w:ind w:left="261" w:right="940" w:hanging="261"/>
        <w:spacing w:after="0" w:line="286" w:lineRule="auto"/>
        <w:tabs>
          <w:tab w:leader="none" w:pos="304" w:val="left"/>
        </w:tabs>
        <w:numPr>
          <w:ilvl w:val="0"/>
          <w:numId w:val="51"/>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No Guaranteed Bonuses. </w:t>
      </w:r>
      <w:r>
        <w:rPr>
          <w:rFonts w:ascii="Arial" w:cs="Arial" w:eastAsia="Arial" w:hAnsi="Arial"/>
          <w:sz w:val="16"/>
          <w:szCs w:val="16"/>
          <w:color w:val="auto"/>
        </w:rPr>
        <w:t>We do not provide guaranteed</w:t>
      </w:r>
      <w:r>
        <w:rPr>
          <w:rFonts w:ascii="Arial" w:cs="Arial" w:eastAsia="Arial" w:hAnsi="Arial"/>
          <w:sz w:val="16"/>
          <w:szCs w:val="16"/>
          <w:b w:val="1"/>
          <w:bCs w:val="1"/>
          <w:color w:val="auto"/>
        </w:rPr>
        <w:t xml:space="preserve"> </w:t>
      </w:r>
      <w:r>
        <w:rPr>
          <w:rFonts w:ascii="Arial" w:cs="Arial" w:eastAsia="Arial" w:hAnsi="Arial"/>
          <w:sz w:val="16"/>
          <w:szCs w:val="16"/>
          <w:color w:val="auto"/>
        </w:rPr>
        <w:t>bonuses to our executive officers.</w:t>
      </w:r>
    </w:p>
    <w:p>
      <w:pPr>
        <w:spacing w:after="0" w:line="128" w:lineRule="exact"/>
        <w:rPr>
          <w:rFonts w:ascii="MS PGothic" w:cs="MS PGothic" w:eastAsia="MS PGothic" w:hAnsi="MS PGothic"/>
          <w:sz w:val="16"/>
          <w:szCs w:val="16"/>
          <w:color w:val="auto"/>
        </w:rPr>
      </w:pPr>
    </w:p>
    <w:p>
      <w:pPr>
        <w:ind w:left="261" w:right="960" w:hanging="261"/>
        <w:spacing w:after="0" w:line="256" w:lineRule="auto"/>
        <w:tabs>
          <w:tab w:leader="none" w:pos="304" w:val="left"/>
        </w:tabs>
        <w:numPr>
          <w:ilvl w:val="0"/>
          <w:numId w:val="51"/>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No Executive Retirement Plans. </w:t>
      </w:r>
      <w:r>
        <w:rPr>
          <w:rFonts w:ascii="Arial" w:cs="Arial" w:eastAsia="Arial" w:hAnsi="Arial"/>
          <w:sz w:val="16"/>
          <w:szCs w:val="16"/>
          <w:color w:val="auto"/>
        </w:rPr>
        <w:t>We do not offer defined</w:t>
      </w:r>
      <w:r>
        <w:rPr>
          <w:rFonts w:ascii="Arial" w:cs="Arial" w:eastAsia="Arial" w:hAnsi="Arial"/>
          <w:sz w:val="16"/>
          <w:szCs w:val="16"/>
          <w:b w:val="1"/>
          <w:bCs w:val="1"/>
          <w:color w:val="auto"/>
        </w:rPr>
        <w:t xml:space="preserve"> </w:t>
      </w:r>
      <w:r>
        <w:rPr>
          <w:rFonts w:ascii="Arial" w:cs="Arial" w:eastAsia="Arial" w:hAnsi="Arial"/>
          <w:sz w:val="16"/>
          <w:szCs w:val="16"/>
          <w:color w:val="auto"/>
        </w:rPr>
        <w:t>benefit pension plans or any non-qualified deferred compensation plans or arrangements to our executive officers, other than the plans and arrangements that are available to all employees.</w:t>
      </w:r>
    </w:p>
    <w:p>
      <w:pPr>
        <w:spacing w:after="0" w:line="152" w:lineRule="exact"/>
        <w:rPr>
          <w:rFonts w:ascii="MS PGothic" w:cs="MS PGothic" w:eastAsia="MS PGothic" w:hAnsi="MS PGothic"/>
          <w:sz w:val="16"/>
          <w:szCs w:val="16"/>
          <w:color w:val="auto"/>
        </w:rPr>
      </w:pPr>
    </w:p>
    <w:p>
      <w:pPr>
        <w:ind w:left="261" w:right="880" w:hanging="261"/>
        <w:spacing w:after="0" w:line="259" w:lineRule="auto"/>
        <w:tabs>
          <w:tab w:leader="none" w:pos="304" w:val="left"/>
        </w:tabs>
        <w:numPr>
          <w:ilvl w:val="0"/>
          <w:numId w:val="51"/>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No Hedging or Pledging. </w:t>
      </w:r>
      <w:r>
        <w:rPr>
          <w:rFonts w:ascii="Arial" w:cs="Arial" w:eastAsia="Arial" w:hAnsi="Arial"/>
          <w:sz w:val="16"/>
          <w:szCs w:val="16"/>
          <w:color w:val="auto"/>
        </w:rPr>
        <w:t>We prohibit our employees</w:t>
      </w:r>
      <w:r>
        <w:rPr>
          <w:rFonts w:ascii="Arial" w:cs="Arial" w:eastAsia="Arial" w:hAnsi="Arial"/>
          <w:sz w:val="16"/>
          <w:szCs w:val="16"/>
          <w:b w:val="1"/>
          <w:bCs w:val="1"/>
          <w:color w:val="auto"/>
        </w:rPr>
        <w:t xml:space="preserve"> </w:t>
      </w:r>
      <w:r>
        <w:rPr>
          <w:rFonts w:ascii="Arial" w:cs="Arial" w:eastAsia="Arial" w:hAnsi="Arial"/>
          <w:sz w:val="16"/>
          <w:szCs w:val="16"/>
          <w:color w:val="auto"/>
        </w:rPr>
        <w:t>(including our executive officers) and the non-employee members of our board of directors from hedging or pledging our securities.</w:t>
      </w:r>
    </w:p>
    <w:p>
      <w:pPr>
        <w:spacing w:after="0" w:line="150" w:lineRule="exact"/>
        <w:rPr>
          <w:rFonts w:ascii="MS PGothic" w:cs="MS PGothic" w:eastAsia="MS PGothic" w:hAnsi="MS PGothic"/>
          <w:sz w:val="16"/>
          <w:szCs w:val="16"/>
          <w:color w:val="auto"/>
        </w:rPr>
      </w:pPr>
    </w:p>
    <w:p>
      <w:pPr>
        <w:jc w:val="both"/>
        <w:ind w:left="261" w:right="880" w:hanging="261"/>
        <w:spacing w:after="0" w:line="266" w:lineRule="auto"/>
        <w:tabs>
          <w:tab w:leader="none" w:pos="304" w:val="left"/>
        </w:tabs>
        <w:numPr>
          <w:ilvl w:val="0"/>
          <w:numId w:val="51"/>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No Tax Payments on Perquisites. </w:t>
      </w:r>
      <w:r>
        <w:rPr>
          <w:rFonts w:ascii="Arial" w:cs="Arial" w:eastAsia="Arial" w:hAnsi="Arial"/>
          <w:sz w:val="16"/>
          <w:szCs w:val="16"/>
          <w:color w:val="auto"/>
        </w:rPr>
        <w:t>We do not provide any</w:t>
      </w:r>
      <w:r>
        <w:rPr>
          <w:rFonts w:ascii="Arial" w:cs="Arial" w:eastAsia="Arial" w:hAnsi="Arial"/>
          <w:sz w:val="16"/>
          <w:szCs w:val="16"/>
          <w:b w:val="1"/>
          <w:bCs w:val="1"/>
          <w:color w:val="auto"/>
        </w:rPr>
        <w:t xml:space="preserve"> </w:t>
      </w:r>
      <w:r>
        <w:rPr>
          <w:rFonts w:ascii="Arial" w:cs="Arial" w:eastAsia="Arial" w:hAnsi="Arial"/>
          <w:sz w:val="16"/>
          <w:szCs w:val="16"/>
          <w:color w:val="auto"/>
        </w:rPr>
        <w:t>tax reimbursement payments (including “gross-ups”) on any perquisites or other personal benefits.</w:t>
      </w:r>
    </w:p>
    <w:p>
      <w:pPr>
        <w:spacing w:after="0" w:line="333" w:lineRule="exact"/>
        <w:rPr>
          <w:rFonts w:ascii="MS PGothic" w:cs="MS PGothic" w:eastAsia="MS PGothic" w:hAnsi="MS PGothic"/>
          <w:sz w:val="16"/>
          <w:szCs w:val="16"/>
          <w:color w:val="auto"/>
        </w:rPr>
      </w:pPr>
    </w:p>
    <w:p>
      <w:pPr>
        <w:ind w:left="261" w:right="900" w:hanging="261"/>
        <w:spacing w:after="0" w:line="256" w:lineRule="auto"/>
        <w:tabs>
          <w:tab w:leader="none" w:pos="304" w:val="left"/>
        </w:tabs>
        <w:numPr>
          <w:ilvl w:val="0"/>
          <w:numId w:val="51"/>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No Excise Tax Payments on Future Post-Employment Compensation Arrangements. </w:t>
      </w:r>
      <w:r>
        <w:rPr>
          <w:rFonts w:ascii="Arial" w:cs="Arial" w:eastAsia="Arial" w:hAnsi="Arial"/>
          <w:sz w:val="16"/>
          <w:szCs w:val="16"/>
          <w:color w:val="auto"/>
        </w:rPr>
        <w:t>We do not provide any</w:t>
      </w:r>
      <w:r>
        <w:rPr>
          <w:rFonts w:ascii="Arial" w:cs="Arial" w:eastAsia="Arial" w:hAnsi="Arial"/>
          <w:sz w:val="16"/>
          <w:szCs w:val="16"/>
          <w:b w:val="1"/>
          <w:bCs w:val="1"/>
          <w:color w:val="auto"/>
        </w:rPr>
        <w:t xml:space="preserve"> </w:t>
      </w:r>
      <w:r>
        <w:rPr>
          <w:rFonts w:ascii="Arial" w:cs="Arial" w:eastAsia="Arial" w:hAnsi="Arial"/>
          <w:sz w:val="16"/>
          <w:szCs w:val="16"/>
          <w:color w:val="auto"/>
        </w:rPr>
        <w:t>excise tax reimbursement payments (including “gross-ups”) on payments or benefits contingent upon a change in control of the company.</w:t>
      </w:r>
    </w:p>
    <w:p>
      <w:pPr>
        <w:spacing w:after="0" w:line="152" w:lineRule="exact"/>
        <w:rPr>
          <w:rFonts w:ascii="MS PGothic" w:cs="MS PGothic" w:eastAsia="MS PGothic" w:hAnsi="MS PGothic"/>
          <w:sz w:val="16"/>
          <w:szCs w:val="16"/>
          <w:color w:val="auto"/>
        </w:rPr>
      </w:pPr>
    </w:p>
    <w:p>
      <w:pPr>
        <w:ind w:left="261" w:right="1160" w:hanging="261"/>
        <w:spacing w:after="0" w:line="250" w:lineRule="auto"/>
        <w:tabs>
          <w:tab w:leader="none" w:pos="304" w:val="left"/>
        </w:tabs>
        <w:numPr>
          <w:ilvl w:val="0"/>
          <w:numId w:val="51"/>
        </w:numPr>
        <w:rPr>
          <w:rFonts w:ascii="MS PGothic" w:cs="MS PGothic" w:eastAsia="MS PGothic" w:hAnsi="MS PGothic"/>
          <w:sz w:val="16"/>
          <w:szCs w:val="16"/>
          <w:color w:val="auto"/>
        </w:rPr>
      </w:pPr>
      <w:r>
        <w:rPr>
          <w:rFonts w:ascii="Arial" w:cs="Arial" w:eastAsia="Arial" w:hAnsi="Arial"/>
          <w:sz w:val="16"/>
          <w:szCs w:val="16"/>
          <w:b w:val="1"/>
          <w:bCs w:val="1"/>
          <w:color w:val="auto"/>
        </w:rPr>
        <w:t xml:space="preserve">No Special Welfare or Health Benefits. </w:t>
      </w:r>
      <w:r>
        <w:rPr>
          <w:rFonts w:ascii="Arial" w:cs="Arial" w:eastAsia="Arial" w:hAnsi="Arial"/>
          <w:sz w:val="16"/>
          <w:szCs w:val="16"/>
          <w:color w:val="auto"/>
        </w:rPr>
        <w:t>We do not</w:t>
      </w:r>
      <w:r>
        <w:rPr>
          <w:rFonts w:ascii="Arial" w:cs="Arial" w:eastAsia="Arial" w:hAnsi="Arial"/>
          <w:sz w:val="16"/>
          <w:szCs w:val="16"/>
          <w:b w:val="1"/>
          <w:bCs w:val="1"/>
          <w:color w:val="auto"/>
        </w:rPr>
        <w:t xml:space="preserve"> </w:t>
      </w:r>
      <w:r>
        <w:rPr>
          <w:rFonts w:ascii="Arial" w:cs="Arial" w:eastAsia="Arial" w:hAnsi="Arial"/>
          <w:sz w:val="16"/>
          <w:szCs w:val="16"/>
          <w:color w:val="auto"/>
        </w:rPr>
        <w:t>provide our executive officers with any welfare or health benefit programs, other than participation in our broad-based employee programs. All highly compensated employees are</w:t>
      </w:r>
    </w:p>
    <w:p>
      <w:pPr>
        <w:spacing w:after="0" w:line="2" w:lineRule="exact"/>
        <w:rPr>
          <w:rFonts w:ascii="MS PGothic" w:cs="MS PGothic" w:eastAsia="MS PGothic" w:hAnsi="MS PGothic"/>
          <w:sz w:val="16"/>
          <w:szCs w:val="16"/>
          <w:color w:val="auto"/>
        </w:rPr>
      </w:pPr>
    </w:p>
    <w:p>
      <w:pPr>
        <w:ind w:left="261"/>
        <w:spacing w:after="0"/>
        <w:rPr>
          <w:rFonts w:ascii="MS PGothic" w:cs="MS PGothic" w:eastAsia="MS PGothic" w:hAnsi="MS PGothic"/>
          <w:sz w:val="16"/>
          <w:szCs w:val="16"/>
          <w:color w:val="auto"/>
        </w:rPr>
      </w:pPr>
      <w:r>
        <w:rPr>
          <w:rFonts w:ascii="Arial" w:cs="Arial" w:eastAsia="Arial" w:hAnsi="Arial"/>
          <w:sz w:val="16"/>
          <w:szCs w:val="16"/>
          <w:color w:val="auto"/>
        </w:rPr>
        <w:t>eligible for special long-term disability.</w:t>
      </w:r>
    </w:p>
    <w:p>
      <w:pPr>
        <w:spacing w:after="0" w:line="1367" w:lineRule="exact"/>
        <w:rPr>
          <w:sz w:val="20"/>
          <w:szCs w:val="20"/>
          <w:color w:val="auto"/>
        </w:rPr>
      </w:pPr>
    </w:p>
    <w:p>
      <w:pPr>
        <w:sectPr>
          <w:pgSz w:w="11900" w:h="16838" w:orient="portrait"/>
          <w:cols w:equalWidth="0" w:num="2">
            <w:col w:w="5400" w:space="219"/>
            <w:col w:w="5401"/>
          </w:cols>
          <w:pgMar w:left="440" w:top="263" w:right="439" w:bottom="1440" w:gutter="0" w:footer="0" w:header="0"/>
          <w:type w:val="continuous"/>
        </w:sectPr>
      </w:pPr>
    </w:p>
    <w:p>
      <w:pPr>
        <w:spacing w:after="0" w:line="115"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Executive Compensation Philosophy and Objectives</w:t>
      </w:r>
    </w:p>
    <w:p>
      <w:pPr>
        <w:spacing w:after="0" w:line="179" w:lineRule="exact"/>
        <w:rPr>
          <w:sz w:val="20"/>
          <w:szCs w:val="20"/>
          <w:color w:val="auto"/>
        </w:rPr>
      </w:pPr>
    </w:p>
    <w:p>
      <w:pPr>
        <w:ind w:left="720" w:right="940"/>
        <w:spacing w:after="0" w:line="286" w:lineRule="auto"/>
        <w:rPr>
          <w:sz w:val="20"/>
          <w:szCs w:val="20"/>
          <w:color w:val="auto"/>
        </w:rPr>
      </w:pPr>
      <w:r>
        <w:rPr>
          <w:rFonts w:ascii="Arial" w:cs="Arial" w:eastAsia="Arial" w:hAnsi="Arial"/>
          <w:sz w:val="16"/>
          <w:szCs w:val="16"/>
          <w:color w:val="auto"/>
        </w:rPr>
        <w:t>Our executive compensation program is guided by our overarching philosophy of paying for demonstrable performance. Consistent with this philosophy, we have designed our executive compensation program to achieve the following primary objectives:</w:t>
      </w:r>
    </w:p>
    <w:p>
      <w:pPr>
        <w:spacing w:after="0" w:line="102" w:lineRule="exact"/>
        <w:rPr>
          <w:sz w:val="20"/>
          <w:szCs w:val="20"/>
          <w:color w:val="auto"/>
        </w:rPr>
      </w:pPr>
    </w:p>
    <w:p>
      <w:pPr>
        <w:ind w:left="1000" w:right="880" w:hanging="284"/>
        <w:spacing w:after="0" w:line="286" w:lineRule="auto"/>
        <w:tabs>
          <w:tab w:leader="none" w:pos="1000" w:val="left"/>
        </w:tabs>
        <w:numPr>
          <w:ilvl w:val="0"/>
          <w:numId w:val="52"/>
        </w:numPr>
        <w:rPr>
          <w:rFonts w:ascii="Arial" w:cs="Arial" w:eastAsia="Arial" w:hAnsi="Arial"/>
          <w:sz w:val="16"/>
          <w:szCs w:val="16"/>
          <w:color w:val="0063A6"/>
        </w:rPr>
      </w:pPr>
      <w:r>
        <w:rPr>
          <w:rFonts w:ascii="Arial" w:cs="Arial" w:eastAsia="Arial" w:hAnsi="Arial"/>
          <w:sz w:val="16"/>
          <w:szCs w:val="16"/>
          <w:color w:val="auto"/>
        </w:rPr>
        <w:t>Provide market-competitive compensation and benefit levels that will attract, retain, motivate, and reward a highly-talented team of executive officers within the context of responsible cost management;</w:t>
      </w:r>
    </w:p>
    <w:p>
      <w:pPr>
        <w:spacing w:after="0" w:line="101" w:lineRule="exact"/>
        <w:rPr>
          <w:rFonts w:ascii="Arial" w:cs="Arial" w:eastAsia="Arial" w:hAnsi="Arial"/>
          <w:sz w:val="16"/>
          <w:szCs w:val="16"/>
          <w:color w:val="0063A6"/>
        </w:rPr>
      </w:pPr>
    </w:p>
    <w:p>
      <w:pPr>
        <w:ind w:left="1000" w:right="1180" w:hanging="284"/>
        <w:spacing w:after="0" w:line="286" w:lineRule="auto"/>
        <w:tabs>
          <w:tab w:leader="none" w:pos="1000" w:val="left"/>
        </w:tabs>
        <w:numPr>
          <w:ilvl w:val="0"/>
          <w:numId w:val="52"/>
        </w:numPr>
        <w:rPr>
          <w:rFonts w:ascii="Arial" w:cs="Arial" w:eastAsia="Arial" w:hAnsi="Arial"/>
          <w:sz w:val="16"/>
          <w:szCs w:val="16"/>
          <w:color w:val="0063A6"/>
        </w:rPr>
      </w:pPr>
      <w:r>
        <w:rPr>
          <w:rFonts w:ascii="Arial" w:cs="Arial" w:eastAsia="Arial" w:hAnsi="Arial"/>
          <w:sz w:val="16"/>
          <w:szCs w:val="16"/>
          <w:color w:val="auto"/>
        </w:rPr>
        <w:t>Establish a direct link between our financial, operational, and strategic objectives and results, as well as our values, and the compensation of our executive officers; and</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31</w:t>
            </w:r>
          </w:p>
        </w:tc>
      </w:tr>
      <w:tr>
        <w:trPr>
          <w:trHeight w:val="171"/>
        </w:trPr>
        <w:tc>
          <w:tcPr>
            <w:tcW w:w="99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type w:val="continuous"/>
        </w:sectPr>
      </w:pPr>
    </w:p>
    <w:bookmarkStart w:id="35" w:name="page36"/>
    <w:bookmarkEnd w:id="35"/>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284" w:right="100" w:hanging="284"/>
        <w:spacing w:after="0" w:line="286" w:lineRule="auto"/>
        <w:tabs>
          <w:tab w:leader="none" w:pos="284" w:val="left"/>
        </w:tabs>
        <w:numPr>
          <w:ilvl w:val="0"/>
          <w:numId w:val="53"/>
        </w:numPr>
        <w:rPr>
          <w:rFonts w:ascii="Arial" w:cs="Arial" w:eastAsia="Arial" w:hAnsi="Arial"/>
          <w:sz w:val="16"/>
          <w:szCs w:val="16"/>
          <w:color w:val="0063A6"/>
        </w:rPr>
      </w:pPr>
      <w:r>
        <w:rPr>
          <w:rFonts w:ascii="Arial" w:cs="Arial" w:eastAsia="Arial" w:hAnsi="Arial"/>
          <w:sz w:val="16"/>
          <w:szCs w:val="16"/>
          <w:color w:val="auto"/>
        </w:rPr>
        <w:t>Align the interests and objectives of our executive officers with those of our stockholders by linking the long-term equity incentive compensation opportunities to stockholder value creation and their cash incentives to our annual performance.</w:t>
      </w:r>
    </w:p>
    <w:p>
      <w:pPr>
        <w:spacing w:after="0" w:line="237"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Pay-for-Performance</w:t>
      </w:r>
    </w:p>
    <w:p>
      <w:pPr>
        <w:spacing w:after="0" w:line="46" w:lineRule="exact"/>
        <w:rPr>
          <w:sz w:val="20"/>
          <w:szCs w:val="20"/>
          <w:color w:val="auto"/>
        </w:rPr>
      </w:pPr>
    </w:p>
    <w:p>
      <w:pPr>
        <w:ind w:left="4" w:right="80"/>
        <w:spacing w:after="0" w:line="259" w:lineRule="auto"/>
        <w:rPr>
          <w:sz w:val="20"/>
          <w:szCs w:val="20"/>
          <w:color w:val="auto"/>
        </w:rPr>
      </w:pPr>
      <w:r>
        <w:rPr>
          <w:rFonts w:ascii="Arial" w:cs="Arial" w:eastAsia="Arial" w:hAnsi="Arial"/>
          <w:sz w:val="16"/>
          <w:szCs w:val="16"/>
          <w:color w:val="auto"/>
        </w:rPr>
        <w:t>We believe our executive compensation program is reasonable, competitive, and appropriately balances the goals of attracting, motivating, rewarding, and retaining our executive officers with the goal of aligning their interests with those of our stockholders. To achieve this alignment and to motivate and reward individual initiative and effort, a substantial portion of our executive officers’ target annual total direct compensation opportunity is both variable in nature and “at-risk.”</w:t>
      </w:r>
    </w:p>
    <w:p>
      <w:pPr>
        <w:spacing w:after="0" w:line="124" w:lineRule="exact"/>
        <w:rPr>
          <w:sz w:val="20"/>
          <w:szCs w:val="20"/>
          <w:color w:val="auto"/>
        </w:rPr>
      </w:pPr>
    </w:p>
    <w:p>
      <w:pPr>
        <w:ind w:left="4" w:right="720"/>
        <w:spacing w:after="0" w:line="286" w:lineRule="auto"/>
        <w:rPr>
          <w:sz w:val="20"/>
          <w:szCs w:val="20"/>
          <w:color w:val="auto"/>
        </w:rPr>
      </w:pPr>
      <w:r>
        <w:rPr>
          <w:rFonts w:ascii="Arial" w:cs="Arial" w:eastAsia="Arial" w:hAnsi="Arial"/>
          <w:sz w:val="16"/>
          <w:szCs w:val="16"/>
          <w:color w:val="auto"/>
        </w:rPr>
        <w:t>We emphasize variable compensation that appropriately rewards our executive officers through two separate compensation elements:</w:t>
      </w:r>
    </w:p>
    <w:p>
      <w:pPr>
        <w:spacing w:after="0" w:line="102" w:lineRule="exact"/>
        <w:rPr>
          <w:sz w:val="20"/>
          <w:szCs w:val="20"/>
          <w:color w:val="auto"/>
        </w:rPr>
      </w:pPr>
    </w:p>
    <w:p>
      <w:pPr>
        <w:ind w:left="284" w:right="460" w:hanging="284"/>
        <w:spacing w:after="0" w:line="286" w:lineRule="auto"/>
        <w:tabs>
          <w:tab w:leader="none" w:pos="284" w:val="left"/>
        </w:tabs>
        <w:numPr>
          <w:ilvl w:val="0"/>
          <w:numId w:val="54"/>
        </w:numPr>
        <w:rPr>
          <w:rFonts w:ascii="Arial" w:cs="Arial" w:eastAsia="Arial" w:hAnsi="Arial"/>
          <w:sz w:val="16"/>
          <w:szCs w:val="16"/>
          <w:color w:val="0063A6"/>
        </w:rPr>
      </w:pPr>
      <w:r>
        <w:rPr>
          <w:rFonts w:ascii="Arial" w:cs="Arial" w:eastAsia="Arial" w:hAnsi="Arial"/>
          <w:sz w:val="16"/>
          <w:szCs w:val="16"/>
          <w:color w:val="auto"/>
        </w:rPr>
        <w:t>Our annual cash bonus plan provides cash payments if our executive officers produce short-term financial, operational, and strategic results that meet or exceed the objectives set forth in our annual operating plan.</w:t>
      </w:r>
    </w:p>
    <w:p>
      <w:pPr>
        <w:spacing w:after="0" w:line="101" w:lineRule="exact"/>
        <w:rPr>
          <w:rFonts w:ascii="Arial" w:cs="Arial" w:eastAsia="Arial" w:hAnsi="Arial"/>
          <w:sz w:val="16"/>
          <w:szCs w:val="16"/>
          <w:color w:val="0063A6"/>
        </w:rPr>
      </w:pPr>
    </w:p>
    <w:p>
      <w:pPr>
        <w:ind w:left="284" w:right="280" w:hanging="284"/>
        <w:spacing w:after="0" w:line="266" w:lineRule="auto"/>
        <w:tabs>
          <w:tab w:leader="none" w:pos="284" w:val="left"/>
        </w:tabs>
        <w:numPr>
          <w:ilvl w:val="0"/>
          <w:numId w:val="54"/>
        </w:numPr>
        <w:rPr>
          <w:rFonts w:ascii="Arial" w:cs="Arial" w:eastAsia="Arial" w:hAnsi="Arial"/>
          <w:sz w:val="16"/>
          <w:szCs w:val="16"/>
          <w:color w:val="0063A6"/>
        </w:rPr>
      </w:pPr>
      <w:r>
        <w:rPr>
          <w:rFonts w:ascii="Arial" w:cs="Arial" w:eastAsia="Arial" w:hAnsi="Arial"/>
          <w:sz w:val="16"/>
          <w:szCs w:val="16"/>
          <w:color w:val="auto"/>
        </w:rPr>
        <w:t>Equity-based awards, which represent a majority of our executive officers’ target total direct compensation opportunities, the value of which depends entirely on the value of our common stock, incentivize our executive officers to build sustainable long-term value for the benefit of our stockholders.</w:t>
      </w:r>
    </w:p>
    <w:p>
      <w:pPr>
        <w:spacing w:after="0" w:line="117" w:lineRule="exact"/>
        <w:rPr>
          <w:sz w:val="20"/>
          <w:szCs w:val="20"/>
          <w:color w:val="auto"/>
        </w:rPr>
      </w:pPr>
    </w:p>
    <w:p>
      <w:pPr>
        <w:ind w:left="4" w:right="60"/>
        <w:spacing w:after="0" w:line="266" w:lineRule="auto"/>
        <w:rPr>
          <w:sz w:val="20"/>
          <w:szCs w:val="20"/>
          <w:color w:val="auto"/>
        </w:rPr>
      </w:pPr>
      <w:r>
        <w:rPr>
          <w:rFonts w:ascii="Arial" w:cs="Arial" w:eastAsia="Arial" w:hAnsi="Arial"/>
          <w:sz w:val="16"/>
          <w:szCs w:val="16"/>
          <w:color w:val="auto"/>
        </w:rPr>
        <w:t>These variable pay elements are intended to result in a substantial portion of our executive officers’ annual target total direct compensation being contingent (rather than fixed) in nature, with the amounts ultimately payable subject to variability above or below target levels commensurate with our actual performance.</w:t>
      </w:r>
    </w:p>
    <w:p>
      <w:pPr>
        <w:spacing w:after="0" w:line="117" w:lineRule="exact"/>
        <w:rPr>
          <w:sz w:val="20"/>
          <w:szCs w:val="20"/>
          <w:color w:val="auto"/>
        </w:rPr>
      </w:pPr>
    </w:p>
    <w:p>
      <w:pPr>
        <w:ind w:left="4" w:right="140"/>
        <w:spacing w:after="0" w:line="266" w:lineRule="auto"/>
        <w:rPr>
          <w:sz w:val="20"/>
          <w:szCs w:val="20"/>
          <w:color w:val="auto"/>
        </w:rPr>
      </w:pPr>
      <w:r>
        <w:rPr>
          <w:rFonts w:ascii="Arial" w:cs="Arial" w:eastAsia="Arial" w:hAnsi="Arial"/>
          <w:sz w:val="16"/>
          <w:szCs w:val="16"/>
          <w:color w:val="auto"/>
        </w:rPr>
        <w:t>We believe that this design provides balanced incentives for our executive officers to drive financial performance and long-term growth. Our compensation committee regularly evaluates the relationship between the reported values of the equity awards granted to our executive officers and the amount of realizable and realized value from such awards in subsequent years.</w:t>
      </w:r>
    </w:p>
    <w:p>
      <w:pPr>
        <w:spacing w:after="0" w:line="247" w:lineRule="exact"/>
        <w:rPr>
          <w:sz w:val="20"/>
          <w:szCs w:val="20"/>
          <w:color w:val="auto"/>
        </w:rPr>
      </w:pPr>
    </w:p>
    <w:p>
      <w:pPr>
        <w:ind w:left="4"/>
        <w:spacing w:after="0"/>
        <w:rPr>
          <w:sz w:val="20"/>
          <w:szCs w:val="20"/>
          <w:color w:val="auto"/>
        </w:rPr>
      </w:pPr>
      <w:r>
        <w:rPr>
          <w:rFonts w:ascii="Arial" w:cs="Arial" w:eastAsia="Arial" w:hAnsi="Arial"/>
          <w:sz w:val="26"/>
          <w:szCs w:val="26"/>
          <w:color w:val="0063A6"/>
        </w:rPr>
        <w:t>Compensation-Setting Process</w:t>
      </w:r>
    </w:p>
    <w:p>
      <w:pPr>
        <w:spacing w:after="0" w:line="287"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Role of Compensation Committee and the Stock Committee</w:t>
      </w:r>
    </w:p>
    <w:p>
      <w:pPr>
        <w:spacing w:after="0" w:line="39" w:lineRule="exact"/>
        <w:rPr>
          <w:sz w:val="20"/>
          <w:szCs w:val="20"/>
          <w:color w:val="auto"/>
        </w:rPr>
      </w:pPr>
    </w:p>
    <w:p>
      <w:pPr>
        <w:ind w:left="4"/>
        <w:spacing w:after="0" w:line="256" w:lineRule="auto"/>
        <w:rPr>
          <w:sz w:val="20"/>
          <w:szCs w:val="20"/>
          <w:color w:val="auto"/>
        </w:rPr>
      </w:pPr>
      <w:r>
        <w:rPr>
          <w:rFonts w:ascii="Arial" w:cs="Arial" w:eastAsia="Arial" w:hAnsi="Arial"/>
          <w:sz w:val="16"/>
          <w:szCs w:val="16"/>
          <w:color w:val="auto"/>
        </w:rPr>
        <w:t>The compensation committee discharges many of the responsibilities of our board of directors relating to the compensation of our executives and non-employee directors. The compensation committee has overall responsibility for overseeing our compensation and benefits policies generally, and overseeing and evaluating the compensation plans, policies and practices applicable to our chief executive officer and other executive officers.</w:t>
      </w:r>
    </w:p>
    <w:p>
      <w:pPr>
        <w:spacing w:after="0" w:line="126" w:lineRule="exact"/>
        <w:rPr>
          <w:sz w:val="20"/>
          <w:szCs w:val="20"/>
          <w:color w:val="auto"/>
        </w:rPr>
      </w:pPr>
    </w:p>
    <w:p>
      <w:pPr>
        <w:ind w:left="4" w:right="520"/>
        <w:spacing w:after="0" w:line="286" w:lineRule="auto"/>
        <w:rPr>
          <w:sz w:val="20"/>
          <w:szCs w:val="20"/>
          <w:color w:val="auto"/>
        </w:rPr>
      </w:pPr>
      <w:r>
        <w:rPr>
          <w:rFonts w:ascii="Arial" w:cs="Arial" w:eastAsia="Arial" w:hAnsi="Arial"/>
          <w:sz w:val="16"/>
          <w:szCs w:val="16"/>
          <w:color w:val="auto"/>
        </w:rPr>
        <w:t>The compensation committee makes all final decisions regarding the compensation of our chief executive officer and our other executive officers.</w:t>
      </w:r>
    </w:p>
    <w:p>
      <w:pPr>
        <w:spacing w:after="0" w:line="102" w:lineRule="exact"/>
        <w:rPr>
          <w:sz w:val="20"/>
          <w:szCs w:val="20"/>
          <w:color w:val="auto"/>
        </w:rPr>
      </w:pPr>
    </w:p>
    <w:p>
      <w:pPr>
        <w:ind w:left="4"/>
        <w:spacing w:after="0" w:line="259" w:lineRule="auto"/>
        <w:rPr>
          <w:sz w:val="20"/>
          <w:szCs w:val="20"/>
          <w:color w:val="auto"/>
        </w:rPr>
      </w:pPr>
      <w:r>
        <w:rPr>
          <w:rFonts w:ascii="Arial" w:cs="Arial" w:eastAsia="Arial" w:hAnsi="Arial"/>
          <w:sz w:val="16"/>
          <w:szCs w:val="16"/>
          <w:color w:val="auto"/>
        </w:rPr>
        <w:t>In carrying out its responsibilities, the compensation committee evaluates our compensation policies and practices with a focus on the degree to which these policies and practices reflect our executive compensation philosophy, develops strategies and makes decisions that it believes further our philosophy or align with developments in executive compensation practices, and reviews the performance of our executive officers.</w:t>
      </w:r>
    </w:p>
    <w:p>
      <w:pPr>
        <w:spacing w:after="0" w:line="124" w:lineRule="exact"/>
        <w:rPr>
          <w:sz w:val="20"/>
          <w:szCs w:val="20"/>
          <w:color w:val="auto"/>
        </w:rPr>
      </w:pPr>
    </w:p>
    <w:p>
      <w:pPr>
        <w:ind w:left="4" w:right="220"/>
        <w:spacing w:after="0" w:line="286" w:lineRule="auto"/>
        <w:rPr>
          <w:sz w:val="20"/>
          <w:szCs w:val="20"/>
          <w:color w:val="auto"/>
        </w:rPr>
      </w:pPr>
      <w:r>
        <w:rPr>
          <w:rFonts w:ascii="Arial" w:cs="Arial" w:eastAsia="Arial" w:hAnsi="Arial"/>
          <w:sz w:val="16"/>
          <w:szCs w:val="16"/>
          <w:color w:val="auto"/>
        </w:rPr>
        <w:t>The compensation committee’s authority, duties, and responsibilities are further described in its charter, which is reviewed annually and revised and updated as warranted. The charter is available on our investor relations website at investors.dropbox.com.</w:t>
      </w:r>
    </w:p>
    <w:p>
      <w:pPr>
        <w:spacing w:after="0" w:line="102" w:lineRule="exact"/>
        <w:rPr>
          <w:sz w:val="20"/>
          <w:szCs w:val="20"/>
          <w:color w:val="auto"/>
        </w:rPr>
      </w:pPr>
    </w:p>
    <w:p>
      <w:pPr>
        <w:ind w:left="4"/>
        <w:spacing w:after="0" w:line="266" w:lineRule="auto"/>
        <w:rPr>
          <w:sz w:val="20"/>
          <w:szCs w:val="20"/>
          <w:color w:val="auto"/>
        </w:rPr>
      </w:pPr>
      <w:r>
        <w:rPr>
          <w:rFonts w:ascii="Arial" w:cs="Arial" w:eastAsia="Arial" w:hAnsi="Arial"/>
          <w:sz w:val="16"/>
          <w:szCs w:val="16"/>
          <w:color w:val="auto"/>
        </w:rPr>
        <w:t>We also formed a stock committee, which is currently composed of our Chief Financial Officer, our Chief People Officer, and a non-employee director appointed by our board. The stock committee has authority to grant equity awards to (a) employees who hold a title below vice president and (b) consultants subject to certain limitations established from time to time by the compensation committee.</w:t>
      </w:r>
    </w:p>
    <w:p>
      <w:pPr>
        <w:spacing w:after="0" w:line="279"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Role of Compensation Consultant</w:t>
      </w:r>
    </w:p>
    <w:p>
      <w:pPr>
        <w:spacing w:after="0" w:line="39" w:lineRule="exact"/>
        <w:rPr>
          <w:sz w:val="20"/>
          <w:szCs w:val="20"/>
          <w:color w:val="auto"/>
        </w:rPr>
      </w:pPr>
    </w:p>
    <w:p>
      <w:pPr>
        <w:ind w:left="4" w:right="200"/>
        <w:spacing w:after="0" w:line="256" w:lineRule="auto"/>
        <w:rPr>
          <w:sz w:val="20"/>
          <w:szCs w:val="20"/>
          <w:color w:val="auto"/>
        </w:rPr>
      </w:pPr>
      <w:r>
        <w:rPr>
          <w:rFonts w:ascii="Arial" w:cs="Arial" w:eastAsia="Arial" w:hAnsi="Arial"/>
          <w:sz w:val="16"/>
          <w:szCs w:val="16"/>
          <w:color w:val="auto"/>
        </w:rPr>
        <w:t>The compensation committee engages an external compensation consultant to assist the committee by providing information, analysis, and other advice relating to our executive compensation program and the decisions resulting from its annual executive compensation review. The compensation consultant reports directly to the compensation committee and its chair, and serves at the discretion of the compensation committee, which reviews the engagement annually.</w:t>
      </w:r>
    </w:p>
    <w:p>
      <w:pPr>
        <w:spacing w:after="0" w:line="185" w:lineRule="exact"/>
        <w:rPr>
          <w:sz w:val="20"/>
          <w:szCs w:val="20"/>
          <w:color w:val="auto"/>
        </w:rPr>
      </w:pPr>
    </w:p>
    <w:p>
      <w:pPr>
        <w:ind w:left="524" w:hanging="524"/>
        <w:spacing w:after="0"/>
        <w:tabs>
          <w:tab w:leader="none" w:pos="524" w:val="left"/>
        </w:tabs>
        <w:numPr>
          <w:ilvl w:val="0"/>
          <w:numId w:val="55"/>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126365</wp:posOffset>
            </wp:positionV>
            <wp:extent cx="6995160" cy="171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36" w:name="page37"/>
    <w:bookmarkEnd w:id="36"/>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720" w:right="780"/>
        <w:spacing w:after="0" w:line="266" w:lineRule="auto"/>
        <w:rPr>
          <w:sz w:val="20"/>
          <w:szCs w:val="20"/>
          <w:color w:val="auto"/>
        </w:rPr>
      </w:pPr>
      <w:r>
        <w:rPr>
          <w:rFonts w:ascii="Arial" w:cs="Arial" w:eastAsia="Arial" w:hAnsi="Arial"/>
          <w:sz w:val="16"/>
          <w:szCs w:val="16"/>
          <w:color w:val="auto"/>
        </w:rPr>
        <w:t>For 2021, the compensation committee retained Compensia to serve as its compensation advisor to advise on executive and director compensation matters, including competitive market pay practices for our executive officers, and data analysis and selection of the compensation peer group.</w:t>
      </w:r>
    </w:p>
    <w:p>
      <w:pPr>
        <w:spacing w:after="0" w:line="171" w:lineRule="exact"/>
        <w:rPr>
          <w:sz w:val="20"/>
          <w:szCs w:val="20"/>
          <w:color w:val="auto"/>
        </w:rPr>
      </w:pPr>
    </w:p>
    <w:p>
      <w:pPr>
        <w:ind w:left="720"/>
        <w:spacing w:after="0"/>
        <w:rPr>
          <w:sz w:val="20"/>
          <w:szCs w:val="20"/>
          <w:color w:val="auto"/>
        </w:rPr>
      </w:pPr>
      <w:r>
        <w:rPr>
          <w:rFonts w:ascii="Arial" w:cs="Arial" w:eastAsia="Arial" w:hAnsi="Arial"/>
          <w:sz w:val="16"/>
          <w:szCs w:val="16"/>
          <w:color w:val="auto"/>
        </w:rPr>
        <w:t>During 2021, Compensia attended compensation committee meetings and provided the following services:</w:t>
      </w:r>
    </w:p>
    <w:p>
      <w:pPr>
        <w:spacing w:after="0" w:line="167" w:lineRule="exact"/>
        <w:rPr>
          <w:sz w:val="20"/>
          <w:szCs w:val="20"/>
          <w:color w:val="auto"/>
        </w:rPr>
      </w:pPr>
    </w:p>
    <w:p>
      <w:pPr>
        <w:ind w:left="1000" w:hanging="284"/>
        <w:spacing w:after="0"/>
        <w:tabs>
          <w:tab w:leader="none" w:pos="1000" w:val="left"/>
        </w:tabs>
        <w:numPr>
          <w:ilvl w:val="0"/>
          <w:numId w:val="56"/>
        </w:numPr>
        <w:rPr>
          <w:rFonts w:ascii="Arial" w:cs="Arial" w:eastAsia="Arial" w:hAnsi="Arial"/>
          <w:sz w:val="16"/>
          <w:szCs w:val="16"/>
          <w:color w:val="0063A6"/>
        </w:rPr>
      </w:pPr>
      <w:r>
        <w:rPr>
          <w:rFonts w:ascii="Arial" w:cs="Arial" w:eastAsia="Arial" w:hAnsi="Arial"/>
          <w:sz w:val="16"/>
          <w:szCs w:val="16"/>
          <w:color w:val="auto"/>
        </w:rPr>
        <w:t>Consulted with the compensation committee chair and other members between compensation committee meetings;</w:t>
      </w:r>
    </w:p>
    <w:p>
      <w:pPr>
        <w:spacing w:after="0" w:line="167" w:lineRule="exact"/>
        <w:rPr>
          <w:rFonts w:ascii="Arial" w:cs="Arial" w:eastAsia="Arial" w:hAnsi="Arial"/>
          <w:sz w:val="16"/>
          <w:szCs w:val="16"/>
          <w:color w:val="0063A6"/>
        </w:rPr>
      </w:pPr>
    </w:p>
    <w:p>
      <w:pPr>
        <w:ind w:left="1000" w:right="1020" w:hanging="284"/>
        <w:spacing w:after="0" w:line="266" w:lineRule="auto"/>
        <w:tabs>
          <w:tab w:leader="none" w:pos="1000" w:val="left"/>
        </w:tabs>
        <w:numPr>
          <w:ilvl w:val="0"/>
          <w:numId w:val="56"/>
        </w:numPr>
        <w:rPr>
          <w:rFonts w:ascii="Arial" w:cs="Arial" w:eastAsia="Arial" w:hAnsi="Arial"/>
          <w:sz w:val="16"/>
          <w:szCs w:val="16"/>
          <w:color w:val="0063A6"/>
        </w:rPr>
      </w:pPr>
      <w:r>
        <w:rPr>
          <w:rFonts w:ascii="Arial" w:cs="Arial" w:eastAsia="Arial" w:hAnsi="Arial"/>
          <w:sz w:val="16"/>
          <w:szCs w:val="16"/>
          <w:color w:val="auto"/>
        </w:rPr>
        <w:t>Provided competitive market data based on the compensation peer group for our executive officer positions, and evaluation of how the compensation we pay our executive officers compares both to our performance and to how the companies in our compensation peer group compensate their executives;</w:t>
      </w:r>
    </w:p>
    <w:p>
      <w:pPr>
        <w:spacing w:after="0" w:line="117" w:lineRule="exact"/>
        <w:rPr>
          <w:rFonts w:ascii="Arial" w:cs="Arial" w:eastAsia="Arial" w:hAnsi="Arial"/>
          <w:sz w:val="16"/>
          <w:szCs w:val="16"/>
          <w:color w:val="0063A6"/>
        </w:rPr>
      </w:pPr>
    </w:p>
    <w:p>
      <w:pPr>
        <w:ind w:left="1000" w:right="840" w:hanging="284"/>
        <w:spacing w:after="0" w:line="286" w:lineRule="auto"/>
        <w:tabs>
          <w:tab w:leader="none" w:pos="1000" w:val="left"/>
        </w:tabs>
        <w:numPr>
          <w:ilvl w:val="0"/>
          <w:numId w:val="56"/>
        </w:numPr>
        <w:rPr>
          <w:rFonts w:ascii="Arial" w:cs="Arial" w:eastAsia="Arial" w:hAnsi="Arial"/>
          <w:sz w:val="16"/>
          <w:szCs w:val="16"/>
          <w:color w:val="0063A6"/>
        </w:rPr>
      </w:pPr>
      <w:r>
        <w:rPr>
          <w:rFonts w:ascii="Arial" w:cs="Arial" w:eastAsia="Arial" w:hAnsi="Arial"/>
          <w:sz w:val="16"/>
          <w:szCs w:val="16"/>
          <w:color w:val="auto"/>
        </w:rPr>
        <w:t>Provided competitive market data based on the compensation peer group for non-employee directors, and evaluation of how the compensation we pay our non-employee directors compares to companies in our compensation peer group;</w:t>
      </w:r>
    </w:p>
    <w:p>
      <w:pPr>
        <w:spacing w:after="0" w:line="101" w:lineRule="exact"/>
        <w:rPr>
          <w:rFonts w:ascii="Arial" w:cs="Arial" w:eastAsia="Arial" w:hAnsi="Arial"/>
          <w:sz w:val="16"/>
          <w:szCs w:val="16"/>
          <w:color w:val="0063A6"/>
        </w:rPr>
      </w:pPr>
    </w:p>
    <w:p>
      <w:pPr>
        <w:ind w:left="1000" w:right="940" w:hanging="284"/>
        <w:spacing w:after="0" w:line="286" w:lineRule="auto"/>
        <w:tabs>
          <w:tab w:leader="none" w:pos="1000" w:val="left"/>
        </w:tabs>
        <w:numPr>
          <w:ilvl w:val="0"/>
          <w:numId w:val="56"/>
        </w:numPr>
        <w:rPr>
          <w:rFonts w:ascii="Arial" w:cs="Arial" w:eastAsia="Arial" w:hAnsi="Arial"/>
          <w:sz w:val="16"/>
          <w:szCs w:val="16"/>
          <w:color w:val="0063A6"/>
        </w:rPr>
      </w:pPr>
      <w:r>
        <w:rPr>
          <w:rFonts w:ascii="Arial" w:cs="Arial" w:eastAsia="Arial" w:hAnsi="Arial"/>
          <w:sz w:val="16"/>
          <w:szCs w:val="16"/>
          <w:color w:val="auto"/>
        </w:rPr>
        <w:t>Reviewed and analyzed base salary levels, annual incentive bonus opportunities, and long-term equity incentive compensation opportunities of our executive officers;</w:t>
      </w:r>
    </w:p>
    <w:p>
      <w:pPr>
        <w:spacing w:after="0" w:line="101" w:lineRule="exact"/>
        <w:rPr>
          <w:rFonts w:ascii="Arial" w:cs="Arial" w:eastAsia="Arial" w:hAnsi="Arial"/>
          <w:sz w:val="16"/>
          <w:szCs w:val="16"/>
          <w:color w:val="0063A6"/>
        </w:rPr>
      </w:pPr>
    </w:p>
    <w:p>
      <w:pPr>
        <w:ind w:left="1000" w:right="980" w:hanging="284"/>
        <w:spacing w:after="0" w:line="286" w:lineRule="auto"/>
        <w:tabs>
          <w:tab w:leader="none" w:pos="1000" w:val="left"/>
        </w:tabs>
        <w:numPr>
          <w:ilvl w:val="0"/>
          <w:numId w:val="56"/>
        </w:numPr>
        <w:rPr>
          <w:rFonts w:ascii="Arial" w:cs="Arial" w:eastAsia="Arial" w:hAnsi="Arial"/>
          <w:sz w:val="16"/>
          <w:szCs w:val="16"/>
          <w:color w:val="0063A6"/>
        </w:rPr>
      </w:pPr>
      <w:r>
        <w:rPr>
          <w:rFonts w:ascii="Arial" w:cs="Arial" w:eastAsia="Arial" w:hAnsi="Arial"/>
          <w:sz w:val="16"/>
          <w:szCs w:val="16"/>
          <w:color w:val="auto"/>
        </w:rPr>
        <w:t>Assessed executive compensation trends within our industry, and updates on corporate governance and regulatory issues and developments;</w:t>
      </w:r>
    </w:p>
    <w:p>
      <w:pPr>
        <w:spacing w:after="0" w:line="101" w:lineRule="exact"/>
        <w:rPr>
          <w:rFonts w:ascii="Arial" w:cs="Arial" w:eastAsia="Arial" w:hAnsi="Arial"/>
          <w:sz w:val="16"/>
          <w:szCs w:val="16"/>
          <w:color w:val="0063A6"/>
        </w:rPr>
      </w:pPr>
    </w:p>
    <w:p>
      <w:pPr>
        <w:ind w:left="1000" w:hanging="284"/>
        <w:spacing w:after="0"/>
        <w:tabs>
          <w:tab w:leader="none" w:pos="1000" w:val="left"/>
        </w:tabs>
        <w:numPr>
          <w:ilvl w:val="0"/>
          <w:numId w:val="56"/>
        </w:numPr>
        <w:rPr>
          <w:rFonts w:ascii="Arial" w:cs="Arial" w:eastAsia="Arial" w:hAnsi="Arial"/>
          <w:sz w:val="16"/>
          <w:szCs w:val="16"/>
          <w:color w:val="0063A6"/>
        </w:rPr>
      </w:pPr>
      <w:r>
        <w:rPr>
          <w:rFonts w:ascii="Arial" w:cs="Arial" w:eastAsia="Arial" w:hAnsi="Arial"/>
          <w:sz w:val="16"/>
          <w:szCs w:val="16"/>
          <w:color w:val="auto"/>
        </w:rPr>
        <w:t>Reviewed our executive compensation disclosure;</w:t>
      </w:r>
    </w:p>
    <w:p>
      <w:pPr>
        <w:spacing w:after="0" w:line="167" w:lineRule="exact"/>
        <w:rPr>
          <w:rFonts w:ascii="Arial" w:cs="Arial" w:eastAsia="Arial" w:hAnsi="Arial"/>
          <w:sz w:val="16"/>
          <w:szCs w:val="16"/>
          <w:color w:val="0063A6"/>
        </w:rPr>
      </w:pPr>
    </w:p>
    <w:p>
      <w:pPr>
        <w:ind w:left="1000" w:right="1240" w:hanging="284"/>
        <w:spacing w:after="0" w:line="286" w:lineRule="auto"/>
        <w:tabs>
          <w:tab w:leader="none" w:pos="1000" w:val="left"/>
        </w:tabs>
        <w:numPr>
          <w:ilvl w:val="0"/>
          <w:numId w:val="56"/>
        </w:numPr>
        <w:rPr>
          <w:rFonts w:ascii="Arial" w:cs="Arial" w:eastAsia="Arial" w:hAnsi="Arial"/>
          <w:sz w:val="16"/>
          <w:szCs w:val="16"/>
          <w:color w:val="0063A6"/>
        </w:rPr>
      </w:pPr>
      <w:r>
        <w:rPr>
          <w:rFonts w:ascii="Arial" w:cs="Arial" w:eastAsia="Arial" w:hAnsi="Arial"/>
          <w:sz w:val="16"/>
          <w:szCs w:val="16"/>
          <w:color w:val="auto"/>
        </w:rPr>
        <w:t>Assessed compensation risk to determine whether our compensation policies and practices are reasonably likely to have a material adverse impact on the company; and</w:t>
      </w:r>
    </w:p>
    <w:p>
      <w:pPr>
        <w:spacing w:after="0" w:line="101" w:lineRule="exact"/>
        <w:rPr>
          <w:rFonts w:ascii="Arial" w:cs="Arial" w:eastAsia="Arial" w:hAnsi="Arial"/>
          <w:sz w:val="16"/>
          <w:szCs w:val="16"/>
          <w:color w:val="0063A6"/>
        </w:rPr>
      </w:pPr>
    </w:p>
    <w:p>
      <w:pPr>
        <w:ind w:left="1000" w:hanging="284"/>
        <w:spacing w:after="0"/>
        <w:tabs>
          <w:tab w:leader="none" w:pos="1000" w:val="left"/>
        </w:tabs>
        <w:numPr>
          <w:ilvl w:val="0"/>
          <w:numId w:val="56"/>
        </w:numPr>
        <w:rPr>
          <w:rFonts w:ascii="Arial" w:cs="Arial" w:eastAsia="Arial" w:hAnsi="Arial"/>
          <w:sz w:val="16"/>
          <w:szCs w:val="16"/>
          <w:color w:val="0063A6"/>
        </w:rPr>
      </w:pPr>
      <w:r>
        <w:rPr>
          <w:rFonts w:ascii="Arial" w:cs="Arial" w:eastAsia="Arial" w:hAnsi="Arial"/>
          <w:sz w:val="16"/>
          <w:szCs w:val="16"/>
          <w:color w:val="auto"/>
        </w:rPr>
        <w:t xml:space="preserve">Supported on other </w:t>
      </w:r>
      <w:r>
        <w:rPr>
          <w:rFonts w:ascii="Arial" w:cs="Arial" w:eastAsia="Arial" w:hAnsi="Arial"/>
          <w:sz w:val="16"/>
          <w:szCs w:val="16"/>
          <w:i w:val="1"/>
          <w:iCs w:val="1"/>
          <w:color w:val="auto"/>
        </w:rPr>
        <w:t>ad hoc</w:t>
      </w:r>
      <w:r>
        <w:rPr>
          <w:rFonts w:ascii="Arial" w:cs="Arial" w:eastAsia="Arial" w:hAnsi="Arial"/>
          <w:sz w:val="16"/>
          <w:szCs w:val="16"/>
          <w:color w:val="auto"/>
        </w:rPr>
        <w:t xml:space="preserve"> matters throughout the year.</w:t>
      </w:r>
    </w:p>
    <w:p>
      <w:pPr>
        <w:spacing w:after="0" w:line="167" w:lineRule="exact"/>
        <w:rPr>
          <w:sz w:val="20"/>
          <w:szCs w:val="20"/>
          <w:color w:val="auto"/>
        </w:rPr>
      </w:pPr>
    </w:p>
    <w:p>
      <w:pPr>
        <w:ind w:left="720" w:right="860"/>
        <w:spacing w:after="0" w:line="251" w:lineRule="auto"/>
        <w:rPr>
          <w:sz w:val="20"/>
          <w:szCs w:val="20"/>
          <w:color w:val="auto"/>
        </w:rPr>
      </w:pPr>
      <w:r>
        <w:rPr>
          <w:rFonts w:ascii="Arial" w:cs="Arial" w:eastAsia="Arial" w:hAnsi="Arial"/>
          <w:sz w:val="16"/>
          <w:szCs w:val="16"/>
          <w:color w:val="auto"/>
        </w:rPr>
        <w:t>Compensia did not provide any services to us other than the consulting services to the compensation committee. The compensation committee regularly reviews the objectivity and independence of the advice provided by its compensation consultant on executive compensation matters. The compensation committee has evaluated Compensia’s engagement, and based on the six factors for assessing independence and identifying potential conflicts of interest that are set forth in Exchange Act Rule 10C-1(b)(4),</w:t>
      </w:r>
    </w:p>
    <w:p>
      <w:pPr>
        <w:spacing w:after="0" w:line="2" w:lineRule="exact"/>
        <w:rPr>
          <w:sz w:val="20"/>
          <w:szCs w:val="20"/>
          <w:color w:val="auto"/>
        </w:rPr>
      </w:pPr>
    </w:p>
    <w:p>
      <w:pPr>
        <w:ind w:left="720" w:right="780"/>
        <w:spacing w:after="0" w:line="256" w:lineRule="auto"/>
        <w:rPr>
          <w:sz w:val="20"/>
          <w:szCs w:val="20"/>
          <w:color w:val="auto"/>
        </w:rPr>
      </w:pPr>
      <w:r>
        <w:rPr>
          <w:rFonts w:ascii="Arial" w:cs="Arial" w:eastAsia="Arial" w:hAnsi="Arial"/>
          <w:sz w:val="16"/>
          <w:szCs w:val="16"/>
          <w:color w:val="auto"/>
        </w:rPr>
        <w:t>Rule 5605(d)(3)(D) of the Nasdaq Marketplace Rules, and such other factors as were deemed relevant under the circumstances, has determined that its relationship with Compensia and the work of Compensia on behalf of the compensation committee did not raise any conflict of interest, and that Compensia is independent as defined in Rule 5605(a)(2) of the Nasdaq Marketplace Rules.</w:t>
      </w:r>
    </w:p>
    <w:p>
      <w:pPr>
        <w:spacing w:after="0" w:line="354"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Role of Management</w:t>
      </w:r>
    </w:p>
    <w:p>
      <w:pPr>
        <w:spacing w:after="0" w:line="46" w:lineRule="exact"/>
        <w:rPr>
          <w:sz w:val="20"/>
          <w:szCs w:val="20"/>
          <w:color w:val="auto"/>
        </w:rPr>
      </w:pPr>
    </w:p>
    <w:p>
      <w:pPr>
        <w:ind w:left="720" w:right="1120"/>
        <w:spacing w:after="0" w:line="266" w:lineRule="auto"/>
        <w:rPr>
          <w:sz w:val="20"/>
          <w:szCs w:val="20"/>
          <w:color w:val="auto"/>
        </w:rPr>
      </w:pPr>
      <w:r>
        <w:rPr>
          <w:rFonts w:ascii="Arial" w:cs="Arial" w:eastAsia="Arial" w:hAnsi="Arial"/>
          <w:sz w:val="16"/>
          <w:szCs w:val="16"/>
          <w:color w:val="auto"/>
        </w:rPr>
        <w:t>In discharging its responsibilities, the compensation committee also works with members of our management, including our chief executive officer. Our management assists the compensation committee by providing information on corporate and individual performance, competitive market data, and management’s perspective and recommendations on compensation matters.</w:t>
      </w:r>
    </w:p>
    <w:p>
      <w:pPr>
        <w:spacing w:after="0" w:line="117" w:lineRule="exact"/>
        <w:rPr>
          <w:sz w:val="20"/>
          <w:szCs w:val="20"/>
          <w:color w:val="auto"/>
        </w:rPr>
      </w:pPr>
    </w:p>
    <w:p>
      <w:pPr>
        <w:ind w:left="720" w:right="740"/>
        <w:spacing w:after="0" w:line="253" w:lineRule="auto"/>
        <w:rPr>
          <w:sz w:val="20"/>
          <w:szCs w:val="20"/>
          <w:color w:val="auto"/>
        </w:rPr>
      </w:pPr>
      <w:r>
        <w:rPr>
          <w:rFonts w:ascii="Arial" w:cs="Arial" w:eastAsia="Arial" w:hAnsi="Arial"/>
          <w:sz w:val="16"/>
          <w:szCs w:val="16"/>
          <w:color w:val="auto"/>
        </w:rPr>
        <w:t>Typically, our chief executive officer makes recommendations to the compensation committee regarding compensation matters, including adjustments to annual cash compensation, long-term equity incentive compensation opportunities, and program structures, for our executive officers, except with respect to his own compensation. At the beginning of each year, our chief executive officer reviews the performance of our other executive officers, including our other named executive officers, based on such individual’s level of success in accomplishing the business objectives established for him or her for the prior year and their overall performance during that year, and then shares these evaluations with, and makes recommendations to, the compensation committee for each element of compensation as described above.</w:t>
      </w:r>
    </w:p>
    <w:p>
      <w:pPr>
        <w:spacing w:after="0" w:line="127" w:lineRule="exact"/>
        <w:rPr>
          <w:sz w:val="20"/>
          <w:szCs w:val="20"/>
          <w:color w:val="auto"/>
        </w:rPr>
      </w:pPr>
    </w:p>
    <w:p>
      <w:pPr>
        <w:ind w:left="720" w:right="760"/>
        <w:spacing w:after="0" w:line="286" w:lineRule="auto"/>
        <w:rPr>
          <w:sz w:val="20"/>
          <w:szCs w:val="20"/>
          <w:color w:val="auto"/>
        </w:rPr>
      </w:pPr>
      <w:r>
        <w:rPr>
          <w:rFonts w:ascii="Arial" w:cs="Arial" w:eastAsia="Arial" w:hAnsi="Arial"/>
          <w:sz w:val="16"/>
          <w:szCs w:val="16"/>
          <w:color w:val="auto"/>
        </w:rPr>
        <w:t>The compensation committee reviews and discusses these recommendations and proposals with our chief executive officer and uses them as one factor in determining and approving the compensation for our executive officers.</w:t>
      </w:r>
    </w:p>
    <w:p>
      <w:pPr>
        <w:spacing w:after="0" w:line="102" w:lineRule="exact"/>
        <w:rPr>
          <w:sz w:val="20"/>
          <w:szCs w:val="20"/>
          <w:color w:val="auto"/>
        </w:rPr>
      </w:pPr>
    </w:p>
    <w:p>
      <w:pPr>
        <w:ind w:left="720" w:right="880"/>
        <w:spacing w:after="0" w:line="259" w:lineRule="auto"/>
        <w:rPr>
          <w:sz w:val="20"/>
          <w:szCs w:val="20"/>
          <w:color w:val="auto"/>
        </w:rPr>
      </w:pPr>
      <w:r>
        <w:rPr>
          <w:rFonts w:ascii="Arial" w:cs="Arial" w:eastAsia="Arial" w:hAnsi="Arial"/>
          <w:sz w:val="16"/>
          <w:szCs w:val="16"/>
          <w:color w:val="auto"/>
        </w:rPr>
        <w:t>Our chief executive officer also attends meetings of our board of directors and the compensation committee at which executive compensation matters are addressed, except with respect to discussions involving his own compensation. Decisions with respect to our chief executive officer’s compensation are made by our compensation committee, which is comprised entirely of independent members of our board of directors.</w:t>
      </w:r>
    </w:p>
    <w:p>
      <w:pPr>
        <w:spacing w:after="0" w:line="183"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33</w:t>
            </w:r>
          </w:p>
        </w:tc>
      </w:tr>
      <w:tr>
        <w:trPr>
          <w:trHeight w:val="157"/>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37" w:name="page38"/>
    <w:bookmarkEnd w:id="37"/>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Competitive Positioning</w:t>
      </w:r>
    </w:p>
    <w:p>
      <w:pPr>
        <w:spacing w:after="0" w:line="39" w:lineRule="exact"/>
        <w:rPr>
          <w:sz w:val="20"/>
          <w:szCs w:val="20"/>
          <w:color w:val="auto"/>
        </w:rPr>
      </w:pPr>
    </w:p>
    <w:p>
      <w:pPr>
        <w:ind w:left="4" w:right="300"/>
        <w:spacing w:after="0" w:line="262" w:lineRule="auto"/>
        <w:rPr>
          <w:sz w:val="20"/>
          <w:szCs w:val="20"/>
          <w:color w:val="auto"/>
        </w:rPr>
      </w:pPr>
      <w:r>
        <w:rPr>
          <w:rFonts w:ascii="Arial" w:cs="Arial" w:eastAsia="Arial" w:hAnsi="Arial"/>
          <w:sz w:val="16"/>
          <w:szCs w:val="16"/>
          <w:color w:val="auto"/>
        </w:rPr>
        <w:t>For purposes of assessing our executive compensation against the competitive market, the compensation committee reviews and considers the compensation levels and practices of a select group of peer companies. This compensation peer group consists of technology companies that are similar to us in terms of revenue, market capitalization, geographical location, and industry sector.</w:t>
      </w:r>
    </w:p>
    <w:p>
      <w:pPr>
        <w:spacing w:after="0" w:line="120" w:lineRule="exact"/>
        <w:rPr>
          <w:sz w:val="20"/>
          <w:szCs w:val="20"/>
          <w:color w:val="auto"/>
        </w:rPr>
      </w:pPr>
    </w:p>
    <w:p>
      <w:pPr>
        <w:ind w:left="4" w:right="380"/>
        <w:spacing w:after="0" w:line="286" w:lineRule="auto"/>
        <w:rPr>
          <w:sz w:val="20"/>
          <w:szCs w:val="20"/>
          <w:color w:val="auto"/>
        </w:rPr>
      </w:pPr>
      <w:r>
        <w:rPr>
          <w:rFonts w:ascii="Arial" w:cs="Arial" w:eastAsia="Arial" w:hAnsi="Arial"/>
          <w:sz w:val="16"/>
          <w:szCs w:val="16"/>
          <w:color w:val="auto"/>
        </w:rPr>
        <w:t>The companies in the compensation peer group for 2021 were approved in October 2020 on the basis of their similarity to us, as determined using the following criteria:</w:t>
      </w:r>
    </w:p>
    <w:p>
      <w:pPr>
        <w:spacing w:after="0" w:line="102" w:lineRule="exact"/>
        <w:rPr>
          <w:sz w:val="20"/>
          <w:szCs w:val="20"/>
          <w:color w:val="auto"/>
        </w:rPr>
      </w:pPr>
    </w:p>
    <w:p>
      <w:pPr>
        <w:ind w:left="284" w:right="980" w:hanging="284"/>
        <w:spacing w:after="0" w:line="286" w:lineRule="auto"/>
        <w:tabs>
          <w:tab w:leader="none" w:pos="284" w:val="left"/>
        </w:tabs>
        <w:numPr>
          <w:ilvl w:val="0"/>
          <w:numId w:val="57"/>
        </w:numPr>
        <w:rPr>
          <w:rFonts w:ascii="Arial" w:cs="Arial" w:eastAsia="Arial" w:hAnsi="Arial"/>
          <w:sz w:val="16"/>
          <w:szCs w:val="16"/>
          <w:color w:val="0063A6"/>
        </w:rPr>
      </w:pPr>
      <w:r>
        <w:rPr>
          <w:rFonts w:ascii="Arial" w:cs="Arial" w:eastAsia="Arial" w:hAnsi="Arial"/>
          <w:sz w:val="16"/>
          <w:szCs w:val="16"/>
          <w:b w:val="1"/>
          <w:bCs w:val="1"/>
          <w:color w:val="auto"/>
        </w:rPr>
        <w:t xml:space="preserve">revenue </w:t>
      </w:r>
      <w:r>
        <w:rPr>
          <w:rFonts w:ascii="Arial" w:cs="Arial" w:eastAsia="Arial" w:hAnsi="Arial"/>
          <w:sz w:val="16"/>
          <w:szCs w:val="16"/>
          <w:color w:val="auto"/>
        </w:rPr>
        <w:t>– approximately 0.4x to approximately 2.5x our last four fiscal quarter revenue of approximately $1.7 billion</w:t>
      </w:r>
      <w:r>
        <w:rPr>
          <w:rFonts w:ascii="Arial" w:cs="Arial" w:eastAsia="Arial" w:hAnsi="Arial"/>
          <w:sz w:val="16"/>
          <w:szCs w:val="16"/>
          <w:b w:val="1"/>
          <w:bCs w:val="1"/>
          <w:color w:val="auto"/>
        </w:rPr>
        <w:t xml:space="preserve"> </w:t>
      </w:r>
      <w:r>
        <w:rPr>
          <w:rFonts w:ascii="Arial" w:cs="Arial" w:eastAsia="Arial" w:hAnsi="Arial"/>
          <w:sz w:val="16"/>
          <w:szCs w:val="16"/>
          <w:color w:val="auto"/>
        </w:rPr>
        <w:t>(approximately $692 million to $4.3 billion);</w:t>
      </w:r>
    </w:p>
    <w:p>
      <w:pPr>
        <w:spacing w:after="0" w:line="101" w:lineRule="exact"/>
        <w:rPr>
          <w:rFonts w:ascii="Arial" w:cs="Arial" w:eastAsia="Arial" w:hAnsi="Arial"/>
          <w:sz w:val="16"/>
          <w:szCs w:val="16"/>
          <w:color w:val="0063A6"/>
        </w:rPr>
      </w:pPr>
    </w:p>
    <w:p>
      <w:pPr>
        <w:ind w:left="284" w:right="620" w:hanging="284"/>
        <w:spacing w:after="0" w:line="286" w:lineRule="auto"/>
        <w:tabs>
          <w:tab w:leader="none" w:pos="284" w:val="left"/>
        </w:tabs>
        <w:numPr>
          <w:ilvl w:val="0"/>
          <w:numId w:val="57"/>
        </w:numPr>
        <w:rPr>
          <w:rFonts w:ascii="Arial" w:cs="Arial" w:eastAsia="Arial" w:hAnsi="Arial"/>
          <w:sz w:val="16"/>
          <w:szCs w:val="16"/>
          <w:color w:val="0063A6"/>
        </w:rPr>
      </w:pPr>
      <w:r>
        <w:rPr>
          <w:rFonts w:ascii="Arial" w:cs="Arial" w:eastAsia="Arial" w:hAnsi="Arial"/>
          <w:sz w:val="16"/>
          <w:szCs w:val="16"/>
          <w:b w:val="1"/>
          <w:bCs w:val="1"/>
          <w:color w:val="auto"/>
        </w:rPr>
        <w:t xml:space="preserve">market capitalization </w:t>
      </w:r>
      <w:r>
        <w:rPr>
          <w:rFonts w:ascii="Arial" w:cs="Arial" w:eastAsia="Arial" w:hAnsi="Arial"/>
          <w:sz w:val="16"/>
          <w:szCs w:val="16"/>
          <w:color w:val="auto"/>
        </w:rPr>
        <w:t>– approximately 0.25x to approximately 4.0x our market capitalization of approximately $9.1 billion</w:t>
      </w:r>
      <w:r>
        <w:rPr>
          <w:rFonts w:ascii="Arial" w:cs="Arial" w:eastAsia="Arial" w:hAnsi="Arial"/>
          <w:sz w:val="16"/>
          <w:szCs w:val="16"/>
          <w:b w:val="1"/>
          <w:bCs w:val="1"/>
          <w:color w:val="auto"/>
        </w:rPr>
        <w:t xml:space="preserve"> </w:t>
      </w:r>
      <w:r>
        <w:rPr>
          <w:rFonts w:ascii="Arial" w:cs="Arial" w:eastAsia="Arial" w:hAnsi="Arial"/>
          <w:sz w:val="16"/>
          <w:szCs w:val="16"/>
          <w:color w:val="auto"/>
        </w:rPr>
        <w:t>(approximately $2.3 billion to $36 billion);</w:t>
      </w:r>
    </w:p>
    <w:p>
      <w:pPr>
        <w:spacing w:after="0" w:line="101" w:lineRule="exact"/>
        <w:rPr>
          <w:rFonts w:ascii="Arial" w:cs="Arial" w:eastAsia="Arial" w:hAnsi="Arial"/>
          <w:sz w:val="16"/>
          <w:szCs w:val="16"/>
          <w:color w:val="0063A6"/>
        </w:rPr>
      </w:pPr>
    </w:p>
    <w:p>
      <w:pPr>
        <w:ind w:left="284" w:right="660" w:hanging="284"/>
        <w:spacing w:after="0" w:line="286" w:lineRule="auto"/>
        <w:tabs>
          <w:tab w:leader="none" w:pos="284" w:val="left"/>
        </w:tabs>
        <w:numPr>
          <w:ilvl w:val="0"/>
          <w:numId w:val="57"/>
        </w:numPr>
        <w:rPr>
          <w:rFonts w:ascii="Arial" w:cs="Arial" w:eastAsia="Arial" w:hAnsi="Arial"/>
          <w:sz w:val="16"/>
          <w:szCs w:val="16"/>
          <w:color w:val="0063A6"/>
        </w:rPr>
      </w:pPr>
      <w:r>
        <w:rPr>
          <w:rFonts w:ascii="Arial" w:cs="Arial" w:eastAsia="Arial" w:hAnsi="Arial"/>
          <w:sz w:val="16"/>
          <w:szCs w:val="16"/>
          <w:b w:val="1"/>
          <w:bCs w:val="1"/>
          <w:color w:val="auto"/>
        </w:rPr>
        <w:t xml:space="preserve">industry sector </w:t>
      </w:r>
      <w:r>
        <w:rPr>
          <w:rFonts w:ascii="Arial" w:cs="Arial" w:eastAsia="Arial" w:hAnsi="Arial"/>
          <w:sz w:val="16"/>
          <w:szCs w:val="16"/>
          <w:color w:val="auto"/>
        </w:rPr>
        <w:t>– internet software and services, software, communication equipment, and certain SaaS companies not</w:t>
      </w:r>
      <w:r>
        <w:rPr>
          <w:rFonts w:ascii="Arial" w:cs="Arial" w:eastAsia="Arial" w:hAnsi="Arial"/>
          <w:sz w:val="16"/>
          <w:szCs w:val="16"/>
          <w:b w:val="1"/>
          <w:bCs w:val="1"/>
          <w:color w:val="auto"/>
        </w:rPr>
        <w:t xml:space="preserve"> </w:t>
      </w:r>
      <w:r>
        <w:rPr>
          <w:rFonts w:ascii="Arial" w:cs="Arial" w:eastAsia="Arial" w:hAnsi="Arial"/>
          <w:sz w:val="16"/>
          <w:szCs w:val="16"/>
          <w:color w:val="auto"/>
        </w:rPr>
        <w:t>classified as such; and</w:t>
      </w:r>
    </w:p>
    <w:p>
      <w:pPr>
        <w:spacing w:after="0" w:line="101" w:lineRule="exact"/>
        <w:rPr>
          <w:rFonts w:ascii="Arial" w:cs="Arial" w:eastAsia="Arial" w:hAnsi="Arial"/>
          <w:sz w:val="16"/>
          <w:szCs w:val="16"/>
          <w:color w:val="0063A6"/>
        </w:rPr>
      </w:pPr>
    </w:p>
    <w:p>
      <w:pPr>
        <w:ind w:left="284" w:hanging="284"/>
        <w:spacing w:after="0"/>
        <w:tabs>
          <w:tab w:leader="none" w:pos="284" w:val="left"/>
        </w:tabs>
        <w:numPr>
          <w:ilvl w:val="0"/>
          <w:numId w:val="57"/>
        </w:numPr>
        <w:rPr>
          <w:rFonts w:ascii="Arial" w:cs="Arial" w:eastAsia="Arial" w:hAnsi="Arial"/>
          <w:sz w:val="16"/>
          <w:szCs w:val="16"/>
          <w:color w:val="0063A6"/>
        </w:rPr>
      </w:pPr>
      <w:r>
        <w:rPr>
          <w:rFonts w:ascii="Arial" w:cs="Arial" w:eastAsia="Arial" w:hAnsi="Arial"/>
          <w:sz w:val="16"/>
          <w:szCs w:val="16"/>
          <w:b w:val="1"/>
          <w:bCs w:val="1"/>
          <w:color w:val="auto"/>
        </w:rPr>
        <w:t xml:space="preserve">relevance </w:t>
      </w:r>
      <w:r>
        <w:rPr>
          <w:rFonts w:ascii="Arial" w:cs="Arial" w:eastAsia="Arial" w:hAnsi="Arial"/>
          <w:sz w:val="16"/>
          <w:szCs w:val="16"/>
          <w:color w:val="auto"/>
        </w:rPr>
        <w:t>– software-as-a-service model or product similarity.</w:t>
      </w:r>
    </w:p>
    <w:p>
      <w:pPr>
        <w:spacing w:after="0" w:line="167" w:lineRule="exact"/>
        <w:rPr>
          <w:sz w:val="20"/>
          <w:szCs w:val="20"/>
          <w:color w:val="auto"/>
        </w:rPr>
      </w:pPr>
    </w:p>
    <w:p>
      <w:pPr>
        <w:ind w:left="4" w:right="300"/>
        <w:spacing w:after="0" w:line="286" w:lineRule="auto"/>
        <w:rPr>
          <w:sz w:val="20"/>
          <w:szCs w:val="20"/>
          <w:color w:val="auto"/>
        </w:rPr>
      </w:pPr>
      <w:r>
        <w:rPr>
          <w:rFonts w:ascii="Arial" w:cs="Arial" w:eastAsia="Arial" w:hAnsi="Arial"/>
          <w:sz w:val="16"/>
          <w:szCs w:val="16"/>
          <w:color w:val="auto"/>
        </w:rPr>
        <w:t>In selecting the 2021 compensation peer group, we chose companies that resulted in us being near the median of the group as of October 2020, in terms of both revenue and market capitalization.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73660</wp:posOffset>
            </wp:positionV>
            <wp:extent cx="6077585" cy="39001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6077585" cy="3900170"/>
                    </a:xfrm>
                    <a:prstGeom prst="rect">
                      <a:avLst/>
                    </a:prstGeom>
                    <a:noFill/>
                  </pic:spPr>
                </pic:pic>
              </a:graphicData>
            </a:graphic>
          </wp:anchor>
        </w:drawing>
      </w:r>
    </w:p>
    <w:p>
      <w:pPr>
        <w:spacing w:after="0" w:line="96" w:lineRule="exact"/>
        <w:rPr>
          <w:sz w:val="20"/>
          <w:szCs w:val="20"/>
          <w:color w:val="auto"/>
        </w:rPr>
      </w:pPr>
    </w:p>
    <w:tbl>
      <w:tblPr>
        <w:tblLayout w:type="fixed"/>
        <w:tblInd w:w="4" w:type="dxa"/>
        <w:tblCellMar>
          <w:top w:w="0" w:type="dxa"/>
          <w:left w:w="0" w:type="dxa"/>
          <w:bottom w:w="0" w:type="dxa"/>
          <w:right w:w="0" w:type="dxa"/>
        </w:tblCellMar>
      </w:tblPr>
      <w:tr>
        <w:trPr>
          <w:trHeight w:val="318"/>
        </w:trPr>
        <w:tc>
          <w:tcPr>
            <w:tcW w:w="3280" w:type="dxa"/>
            <w:vAlign w:val="bottom"/>
            <w:tcBorders>
              <w:bottom w:val="single" w:sz="8" w:color="0063A6"/>
            </w:tcBorders>
            <w:shd w:val="clear" w:color="auto" w:fill="0063A6"/>
          </w:tcPr>
          <w:p>
            <w:pPr>
              <w:jc w:val="center"/>
              <w:ind w:right="99"/>
              <w:spacing w:after="0"/>
              <w:rPr>
                <w:sz w:val="20"/>
                <w:szCs w:val="20"/>
                <w:color w:val="auto"/>
              </w:rPr>
            </w:pPr>
            <w:r>
              <w:rPr>
                <w:rFonts w:ascii="Arial" w:cs="Arial" w:eastAsia="Arial" w:hAnsi="Arial"/>
                <w:sz w:val="14"/>
                <w:szCs w:val="14"/>
                <w:b w:val="1"/>
                <w:bCs w:val="1"/>
                <w:color w:val="FFFFFF"/>
              </w:rPr>
              <w:t>2020 Compensation Peer Group</w:t>
            </w:r>
          </w:p>
        </w:tc>
        <w:tc>
          <w:tcPr>
            <w:tcW w:w="2980" w:type="dxa"/>
            <w:vAlign w:val="bottom"/>
            <w:tcBorders>
              <w:bottom w:val="single" w:sz="8" w:color="0063A6"/>
            </w:tcBorders>
            <w:shd w:val="clear" w:color="auto" w:fill="0063A6"/>
          </w:tcPr>
          <w:p>
            <w:pPr>
              <w:jc w:val="center"/>
              <w:spacing w:after="0"/>
              <w:rPr>
                <w:sz w:val="20"/>
                <w:szCs w:val="20"/>
                <w:color w:val="auto"/>
              </w:rPr>
            </w:pPr>
            <w:r>
              <w:rPr>
                <w:rFonts w:ascii="Arial" w:cs="Arial" w:eastAsia="Arial" w:hAnsi="Arial"/>
                <w:sz w:val="14"/>
                <w:szCs w:val="14"/>
                <w:b w:val="1"/>
                <w:bCs w:val="1"/>
                <w:color w:val="FFFFFF"/>
              </w:rPr>
              <w:t>Changes to Peer Group</w:t>
            </w:r>
          </w:p>
        </w:tc>
        <w:tc>
          <w:tcPr>
            <w:tcW w:w="3300" w:type="dxa"/>
            <w:vAlign w:val="bottom"/>
            <w:tcBorders>
              <w:bottom w:val="single" w:sz="8" w:color="0063A6"/>
            </w:tcBorders>
            <w:shd w:val="clear" w:color="auto" w:fill="0063A6"/>
          </w:tcPr>
          <w:p>
            <w:pPr>
              <w:jc w:val="center"/>
              <w:ind w:left="120"/>
              <w:spacing w:after="0"/>
              <w:rPr>
                <w:sz w:val="20"/>
                <w:szCs w:val="20"/>
                <w:color w:val="auto"/>
              </w:rPr>
            </w:pPr>
            <w:r>
              <w:rPr>
                <w:rFonts w:ascii="Arial" w:cs="Arial" w:eastAsia="Arial" w:hAnsi="Arial"/>
                <w:sz w:val="14"/>
                <w:szCs w:val="14"/>
                <w:b w:val="1"/>
                <w:bCs w:val="1"/>
                <w:color w:val="FFFFFF"/>
              </w:rPr>
              <w:t>2021 Compensation Peer Group</w:t>
            </w:r>
          </w:p>
        </w:tc>
      </w:tr>
      <w:tr>
        <w:trPr>
          <w:trHeight w:val="304"/>
        </w:trPr>
        <w:tc>
          <w:tcPr>
            <w:tcW w:w="3280" w:type="dxa"/>
            <w:vAlign w:val="bottom"/>
            <w:tcBorders>
              <w:bottom w:val="single" w:sz="8" w:color="F2F2F2"/>
            </w:tcBorders>
            <w:shd w:val="clear" w:color="auto" w:fill="F2F2F2"/>
          </w:tcPr>
          <w:p>
            <w:pPr>
              <w:jc w:val="center"/>
              <w:ind w:right="119"/>
              <w:spacing w:after="0"/>
              <w:rPr>
                <w:sz w:val="20"/>
                <w:szCs w:val="20"/>
                <w:color w:val="auto"/>
              </w:rPr>
            </w:pPr>
            <w:r>
              <w:rPr>
                <w:rFonts w:ascii="Arial" w:cs="Arial" w:eastAsia="Arial" w:hAnsi="Arial"/>
                <w:sz w:val="16"/>
                <w:szCs w:val="16"/>
                <w:color w:val="auto"/>
              </w:rPr>
              <w:t>Autodesk</w:t>
            </w:r>
          </w:p>
        </w:tc>
        <w:tc>
          <w:tcPr>
            <w:tcW w:w="2980" w:type="dxa"/>
            <w:vAlign w:val="bottom"/>
            <w:tcBorders>
              <w:bottom w:val="single" w:sz="8" w:color="F2F2F2"/>
            </w:tcBorders>
            <w:shd w:val="clear" w:color="auto" w:fill="F2F2F2"/>
          </w:tcPr>
          <w:p>
            <w:pPr>
              <w:spacing w:after="0"/>
              <w:rPr>
                <w:sz w:val="24"/>
                <w:szCs w:val="24"/>
                <w:color w:val="auto"/>
              </w:rPr>
            </w:pPr>
          </w:p>
        </w:tc>
        <w:tc>
          <w:tcPr>
            <w:tcW w:w="3300" w:type="dxa"/>
            <w:vAlign w:val="bottom"/>
            <w:tcBorders>
              <w:bottom w:val="single" w:sz="8" w:color="F2F2F2"/>
            </w:tcBorders>
            <w:shd w:val="clear" w:color="auto" w:fill="F2F2F2"/>
          </w:tcPr>
          <w:p>
            <w:pPr>
              <w:jc w:val="center"/>
              <w:ind w:left="100"/>
              <w:spacing w:after="0"/>
              <w:rPr>
                <w:sz w:val="20"/>
                <w:szCs w:val="20"/>
                <w:color w:val="auto"/>
              </w:rPr>
            </w:pPr>
            <w:r>
              <w:rPr>
                <w:rFonts w:ascii="Arial" w:cs="Arial" w:eastAsia="Arial" w:hAnsi="Arial"/>
                <w:sz w:val="16"/>
                <w:szCs w:val="16"/>
                <w:color w:val="auto"/>
              </w:rPr>
              <w:t>Box</w:t>
            </w:r>
          </w:p>
        </w:tc>
      </w:tr>
      <w:tr>
        <w:trPr>
          <w:trHeight w:val="276"/>
        </w:trPr>
        <w:tc>
          <w:tcPr>
            <w:tcW w:w="3280" w:type="dxa"/>
            <w:vAlign w:val="bottom"/>
          </w:tcPr>
          <w:p>
            <w:pPr>
              <w:jc w:val="center"/>
              <w:ind w:right="119"/>
              <w:spacing w:after="0"/>
              <w:rPr>
                <w:sz w:val="20"/>
                <w:szCs w:val="20"/>
                <w:color w:val="auto"/>
              </w:rPr>
            </w:pPr>
            <w:r>
              <w:rPr>
                <w:rFonts w:ascii="Arial" w:cs="Arial" w:eastAsia="Arial" w:hAnsi="Arial"/>
                <w:sz w:val="16"/>
                <w:szCs w:val="16"/>
                <w:color w:val="auto"/>
              </w:rPr>
              <w:t>Box</w:t>
            </w:r>
          </w:p>
        </w:tc>
        <w:tc>
          <w:tcPr>
            <w:tcW w:w="2980" w:type="dxa"/>
            <w:vAlign w:val="bottom"/>
          </w:tcPr>
          <w:p>
            <w:pPr>
              <w:jc w:val="center"/>
              <w:spacing w:after="0"/>
              <w:rPr>
                <w:sz w:val="20"/>
                <w:szCs w:val="20"/>
                <w:color w:val="auto"/>
              </w:rPr>
            </w:pPr>
            <w:r>
              <w:rPr>
                <w:rFonts w:ascii="Arial" w:cs="Arial" w:eastAsia="Arial" w:hAnsi="Arial"/>
                <w:sz w:val="16"/>
                <w:szCs w:val="16"/>
                <w:b w:val="1"/>
                <w:bCs w:val="1"/>
                <w:color w:val="auto"/>
                <w:w w:val="97"/>
              </w:rPr>
              <w:t>Added:</w:t>
            </w:r>
          </w:p>
        </w:tc>
        <w:tc>
          <w:tcPr>
            <w:tcW w:w="3300" w:type="dxa"/>
            <w:vAlign w:val="bottom"/>
          </w:tcPr>
          <w:p>
            <w:pPr>
              <w:jc w:val="center"/>
              <w:ind w:left="100"/>
              <w:spacing w:after="0"/>
              <w:rPr>
                <w:sz w:val="20"/>
                <w:szCs w:val="20"/>
                <w:color w:val="auto"/>
              </w:rPr>
            </w:pPr>
            <w:r>
              <w:rPr>
                <w:rFonts w:ascii="Arial" w:cs="Arial" w:eastAsia="Arial" w:hAnsi="Arial"/>
                <w:sz w:val="16"/>
                <w:szCs w:val="16"/>
                <w:color w:val="auto"/>
              </w:rPr>
              <w:t>Citrix Systems</w:t>
            </w:r>
          </w:p>
        </w:tc>
      </w:tr>
      <w:tr>
        <w:trPr>
          <w:trHeight w:val="48"/>
        </w:trPr>
        <w:tc>
          <w:tcPr>
            <w:tcW w:w="3280" w:type="dxa"/>
            <w:vAlign w:val="bottom"/>
          </w:tcPr>
          <w:p>
            <w:pPr>
              <w:spacing w:after="0"/>
              <w:rPr>
                <w:sz w:val="4"/>
                <w:szCs w:val="4"/>
                <w:color w:val="auto"/>
              </w:rPr>
            </w:pPr>
          </w:p>
        </w:tc>
        <w:tc>
          <w:tcPr>
            <w:tcW w:w="2980" w:type="dxa"/>
            <w:vAlign w:val="bottom"/>
          </w:tcPr>
          <w:p>
            <w:pPr>
              <w:spacing w:after="0"/>
              <w:rPr>
                <w:sz w:val="4"/>
                <w:szCs w:val="4"/>
                <w:color w:val="auto"/>
              </w:rPr>
            </w:pPr>
          </w:p>
        </w:tc>
        <w:tc>
          <w:tcPr>
            <w:tcW w:w="3300" w:type="dxa"/>
            <w:vAlign w:val="bottom"/>
          </w:tcPr>
          <w:p>
            <w:pPr>
              <w:spacing w:after="0"/>
              <w:rPr>
                <w:sz w:val="4"/>
                <w:szCs w:val="4"/>
                <w:color w:val="auto"/>
              </w:rPr>
            </w:pPr>
          </w:p>
        </w:tc>
      </w:tr>
      <w:tr>
        <w:trPr>
          <w:trHeight w:val="304"/>
        </w:trPr>
        <w:tc>
          <w:tcPr>
            <w:tcW w:w="3280" w:type="dxa"/>
            <w:vAlign w:val="bottom"/>
            <w:tcBorders>
              <w:bottom w:val="single" w:sz="8" w:color="F2F2F2"/>
            </w:tcBorders>
            <w:shd w:val="clear" w:color="auto" w:fill="F2F2F2"/>
          </w:tcPr>
          <w:p>
            <w:pPr>
              <w:jc w:val="center"/>
              <w:ind w:right="99"/>
              <w:spacing w:after="0"/>
              <w:rPr>
                <w:sz w:val="20"/>
                <w:szCs w:val="20"/>
                <w:color w:val="auto"/>
              </w:rPr>
            </w:pPr>
            <w:r>
              <w:rPr>
                <w:rFonts w:ascii="Arial" w:cs="Arial" w:eastAsia="Arial" w:hAnsi="Arial"/>
                <w:sz w:val="16"/>
                <w:szCs w:val="16"/>
                <w:color w:val="auto"/>
              </w:rPr>
              <w:t>DocuSign</w:t>
            </w:r>
          </w:p>
        </w:tc>
        <w:tc>
          <w:tcPr>
            <w:tcW w:w="298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w w:val="99"/>
              </w:rPr>
              <w:t>Citrix Systems</w:t>
            </w:r>
          </w:p>
        </w:tc>
        <w:tc>
          <w:tcPr>
            <w:tcW w:w="3300" w:type="dxa"/>
            <w:vAlign w:val="bottom"/>
            <w:tcBorders>
              <w:bottom w:val="single" w:sz="8" w:color="F2F2F2"/>
            </w:tcBorders>
            <w:shd w:val="clear" w:color="auto" w:fill="F2F2F2"/>
          </w:tcPr>
          <w:p>
            <w:pPr>
              <w:jc w:val="center"/>
              <w:ind w:left="120"/>
              <w:spacing w:after="0"/>
              <w:rPr>
                <w:sz w:val="20"/>
                <w:szCs w:val="20"/>
                <w:color w:val="auto"/>
              </w:rPr>
            </w:pPr>
            <w:r>
              <w:rPr>
                <w:rFonts w:ascii="Arial" w:cs="Arial" w:eastAsia="Arial" w:hAnsi="Arial"/>
                <w:sz w:val="16"/>
                <w:szCs w:val="16"/>
                <w:color w:val="auto"/>
              </w:rPr>
              <w:t>Cloudera</w:t>
            </w:r>
          </w:p>
        </w:tc>
      </w:tr>
      <w:tr>
        <w:trPr>
          <w:trHeight w:val="268"/>
        </w:trPr>
        <w:tc>
          <w:tcPr>
            <w:tcW w:w="3280" w:type="dxa"/>
            <w:vAlign w:val="bottom"/>
          </w:tcPr>
          <w:p>
            <w:pPr>
              <w:jc w:val="center"/>
              <w:ind w:right="99"/>
              <w:spacing w:after="0"/>
              <w:rPr>
                <w:sz w:val="20"/>
                <w:szCs w:val="20"/>
                <w:color w:val="auto"/>
              </w:rPr>
            </w:pPr>
            <w:r>
              <w:rPr>
                <w:rFonts w:ascii="Arial" w:cs="Arial" w:eastAsia="Arial" w:hAnsi="Arial"/>
                <w:sz w:val="16"/>
                <w:szCs w:val="16"/>
                <w:color w:val="auto"/>
              </w:rPr>
              <w:t>Guidewire Software</w:t>
            </w:r>
          </w:p>
        </w:tc>
        <w:tc>
          <w:tcPr>
            <w:tcW w:w="2980" w:type="dxa"/>
            <w:vAlign w:val="bottom"/>
          </w:tcPr>
          <w:p>
            <w:pPr>
              <w:jc w:val="center"/>
              <w:spacing w:after="0"/>
              <w:rPr>
                <w:sz w:val="20"/>
                <w:szCs w:val="20"/>
                <w:color w:val="auto"/>
              </w:rPr>
            </w:pPr>
            <w:r>
              <w:rPr>
                <w:rFonts w:ascii="Arial" w:cs="Arial" w:eastAsia="Arial" w:hAnsi="Arial"/>
                <w:sz w:val="16"/>
                <w:szCs w:val="16"/>
                <w:color w:val="auto"/>
              </w:rPr>
              <w:t>Cloudera</w:t>
            </w:r>
          </w:p>
        </w:tc>
        <w:tc>
          <w:tcPr>
            <w:tcW w:w="3300" w:type="dxa"/>
            <w:vAlign w:val="bottom"/>
          </w:tcPr>
          <w:p>
            <w:pPr>
              <w:jc w:val="center"/>
              <w:ind w:left="120"/>
              <w:spacing w:after="0"/>
              <w:rPr>
                <w:sz w:val="20"/>
                <w:szCs w:val="20"/>
                <w:color w:val="auto"/>
              </w:rPr>
            </w:pPr>
            <w:r>
              <w:rPr>
                <w:rFonts w:ascii="Arial" w:cs="Arial" w:eastAsia="Arial" w:hAnsi="Arial"/>
                <w:sz w:val="16"/>
                <w:szCs w:val="16"/>
                <w:color w:val="auto"/>
              </w:rPr>
              <w:t>DocuSign</w:t>
            </w:r>
          </w:p>
        </w:tc>
      </w:tr>
      <w:tr>
        <w:trPr>
          <w:trHeight w:val="56"/>
        </w:trPr>
        <w:tc>
          <w:tcPr>
            <w:tcW w:w="3280" w:type="dxa"/>
            <w:vAlign w:val="bottom"/>
          </w:tcPr>
          <w:p>
            <w:pPr>
              <w:spacing w:after="0"/>
              <w:rPr>
                <w:sz w:val="4"/>
                <w:szCs w:val="4"/>
                <w:color w:val="auto"/>
              </w:rPr>
            </w:pPr>
          </w:p>
        </w:tc>
        <w:tc>
          <w:tcPr>
            <w:tcW w:w="2980" w:type="dxa"/>
            <w:vAlign w:val="bottom"/>
          </w:tcPr>
          <w:p>
            <w:pPr>
              <w:spacing w:after="0"/>
              <w:rPr>
                <w:sz w:val="4"/>
                <w:szCs w:val="4"/>
                <w:color w:val="auto"/>
              </w:rPr>
            </w:pPr>
          </w:p>
        </w:tc>
        <w:tc>
          <w:tcPr>
            <w:tcW w:w="3300" w:type="dxa"/>
            <w:vAlign w:val="bottom"/>
          </w:tcPr>
          <w:p>
            <w:pPr>
              <w:spacing w:after="0"/>
              <w:rPr>
                <w:sz w:val="4"/>
                <w:szCs w:val="4"/>
                <w:color w:val="auto"/>
              </w:rPr>
            </w:pPr>
          </w:p>
        </w:tc>
      </w:tr>
      <w:tr>
        <w:trPr>
          <w:trHeight w:val="304"/>
        </w:trPr>
        <w:tc>
          <w:tcPr>
            <w:tcW w:w="3280" w:type="dxa"/>
            <w:vAlign w:val="bottom"/>
            <w:tcBorders>
              <w:bottom w:val="single" w:sz="8" w:color="F2F2F2"/>
            </w:tcBorders>
            <w:shd w:val="clear" w:color="auto" w:fill="F2F2F2"/>
          </w:tcPr>
          <w:p>
            <w:pPr>
              <w:jc w:val="center"/>
              <w:ind w:right="119"/>
              <w:spacing w:after="0"/>
              <w:rPr>
                <w:sz w:val="20"/>
                <w:szCs w:val="20"/>
                <w:color w:val="auto"/>
              </w:rPr>
            </w:pPr>
            <w:r>
              <w:rPr>
                <w:rFonts w:ascii="Arial" w:cs="Arial" w:eastAsia="Arial" w:hAnsi="Arial"/>
                <w:sz w:val="16"/>
                <w:szCs w:val="16"/>
                <w:color w:val="auto"/>
              </w:rPr>
              <w:t>LogMeIn</w:t>
            </w:r>
          </w:p>
        </w:tc>
        <w:tc>
          <w:tcPr>
            <w:tcW w:w="298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w w:val="99"/>
              </w:rPr>
              <w:t>Fortinet</w:t>
            </w:r>
          </w:p>
        </w:tc>
        <w:tc>
          <w:tcPr>
            <w:tcW w:w="3300" w:type="dxa"/>
            <w:vAlign w:val="bottom"/>
            <w:tcBorders>
              <w:bottom w:val="single" w:sz="8" w:color="F2F2F2"/>
            </w:tcBorders>
            <w:shd w:val="clear" w:color="auto" w:fill="F2F2F2"/>
          </w:tcPr>
          <w:p>
            <w:pPr>
              <w:jc w:val="center"/>
              <w:ind w:left="100"/>
              <w:spacing w:after="0"/>
              <w:rPr>
                <w:sz w:val="20"/>
                <w:szCs w:val="20"/>
                <w:color w:val="auto"/>
              </w:rPr>
            </w:pPr>
            <w:r>
              <w:rPr>
                <w:rFonts w:ascii="Arial" w:cs="Arial" w:eastAsia="Arial" w:hAnsi="Arial"/>
                <w:sz w:val="16"/>
                <w:szCs w:val="16"/>
                <w:color w:val="auto"/>
              </w:rPr>
              <w:t>Fortinet</w:t>
            </w:r>
          </w:p>
        </w:tc>
      </w:tr>
      <w:tr>
        <w:trPr>
          <w:trHeight w:val="268"/>
        </w:trPr>
        <w:tc>
          <w:tcPr>
            <w:tcW w:w="3280" w:type="dxa"/>
            <w:vAlign w:val="bottom"/>
          </w:tcPr>
          <w:p>
            <w:pPr>
              <w:jc w:val="center"/>
              <w:ind w:right="119"/>
              <w:spacing w:after="0"/>
              <w:rPr>
                <w:sz w:val="20"/>
                <w:szCs w:val="20"/>
                <w:color w:val="auto"/>
              </w:rPr>
            </w:pPr>
            <w:r>
              <w:rPr>
                <w:rFonts w:ascii="Arial" w:cs="Arial" w:eastAsia="Arial" w:hAnsi="Arial"/>
                <w:sz w:val="16"/>
                <w:szCs w:val="16"/>
                <w:color w:val="auto"/>
              </w:rPr>
              <w:t>Nutanix</w:t>
            </w:r>
          </w:p>
        </w:tc>
        <w:tc>
          <w:tcPr>
            <w:tcW w:w="2980" w:type="dxa"/>
            <w:vAlign w:val="bottom"/>
          </w:tcPr>
          <w:p>
            <w:pPr>
              <w:jc w:val="center"/>
              <w:spacing w:after="0"/>
              <w:rPr>
                <w:sz w:val="20"/>
                <w:szCs w:val="20"/>
                <w:color w:val="auto"/>
              </w:rPr>
            </w:pPr>
            <w:r>
              <w:rPr>
                <w:rFonts w:ascii="Arial" w:cs="Arial" w:eastAsia="Arial" w:hAnsi="Arial"/>
                <w:sz w:val="16"/>
                <w:szCs w:val="16"/>
                <w:color w:val="auto"/>
                <w:w w:val="99"/>
              </w:rPr>
              <w:t>Pure Storage</w:t>
            </w:r>
          </w:p>
        </w:tc>
        <w:tc>
          <w:tcPr>
            <w:tcW w:w="3300" w:type="dxa"/>
            <w:vAlign w:val="bottom"/>
          </w:tcPr>
          <w:p>
            <w:pPr>
              <w:jc w:val="center"/>
              <w:ind w:left="100"/>
              <w:spacing w:after="0"/>
              <w:rPr>
                <w:sz w:val="20"/>
                <w:szCs w:val="20"/>
                <w:color w:val="auto"/>
              </w:rPr>
            </w:pPr>
            <w:r>
              <w:rPr>
                <w:rFonts w:ascii="Arial" w:cs="Arial" w:eastAsia="Arial" w:hAnsi="Arial"/>
                <w:sz w:val="16"/>
                <w:szCs w:val="16"/>
                <w:color w:val="auto"/>
              </w:rPr>
              <w:t>LogMeIn</w:t>
            </w:r>
          </w:p>
        </w:tc>
      </w:tr>
      <w:tr>
        <w:trPr>
          <w:trHeight w:val="56"/>
        </w:trPr>
        <w:tc>
          <w:tcPr>
            <w:tcW w:w="3280" w:type="dxa"/>
            <w:vAlign w:val="bottom"/>
          </w:tcPr>
          <w:p>
            <w:pPr>
              <w:spacing w:after="0"/>
              <w:rPr>
                <w:sz w:val="4"/>
                <w:szCs w:val="4"/>
                <w:color w:val="auto"/>
              </w:rPr>
            </w:pPr>
          </w:p>
        </w:tc>
        <w:tc>
          <w:tcPr>
            <w:tcW w:w="2980" w:type="dxa"/>
            <w:vAlign w:val="bottom"/>
          </w:tcPr>
          <w:p>
            <w:pPr>
              <w:spacing w:after="0"/>
              <w:rPr>
                <w:sz w:val="4"/>
                <w:szCs w:val="4"/>
                <w:color w:val="auto"/>
              </w:rPr>
            </w:pPr>
          </w:p>
        </w:tc>
        <w:tc>
          <w:tcPr>
            <w:tcW w:w="3300" w:type="dxa"/>
            <w:vAlign w:val="bottom"/>
          </w:tcPr>
          <w:p>
            <w:pPr>
              <w:spacing w:after="0"/>
              <w:rPr>
                <w:sz w:val="4"/>
                <w:szCs w:val="4"/>
                <w:color w:val="auto"/>
              </w:rPr>
            </w:pPr>
          </w:p>
        </w:tc>
      </w:tr>
      <w:tr>
        <w:trPr>
          <w:trHeight w:val="304"/>
        </w:trPr>
        <w:tc>
          <w:tcPr>
            <w:tcW w:w="3280" w:type="dxa"/>
            <w:vAlign w:val="bottom"/>
            <w:tcBorders>
              <w:bottom w:val="single" w:sz="8" w:color="F2F2F2"/>
            </w:tcBorders>
            <w:shd w:val="clear" w:color="auto" w:fill="F2F2F2"/>
          </w:tcPr>
          <w:p>
            <w:pPr>
              <w:jc w:val="center"/>
              <w:ind w:right="99"/>
              <w:spacing w:after="0"/>
              <w:rPr>
                <w:sz w:val="20"/>
                <w:szCs w:val="20"/>
                <w:color w:val="auto"/>
              </w:rPr>
            </w:pPr>
            <w:r>
              <w:rPr>
                <w:rFonts w:ascii="Arial" w:cs="Arial" w:eastAsia="Arial" w:hAnsi="Arial"/>
                <w:sz w:val="16"/>
                <w:szCs w:val="16"/>
                <w:color w:val="auto"/>
              </w:rPr>
              <w:t>Okta</w:t>
            </w:r>
          </w:p>
        </w:tc>
        <w:tc>
          <w:tcPr>
            <w:tcW w:w="298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w w:val="99"/>
              </w:rPr>
              <w:t>Slack Technologies</w:t>
            </w:r>
          </w:p>
        </w:tc>
        <w:tc>
          <w:tcPr>
            <w:tcW w:w="3300" w:type="dxa"/>
            <w:vAlign w:val="bottom"/>
            <w:tcBorders>
              <w:bottom w:val="single" w:sz="8" w:color="F2F2F2"/>
            </w:tcBorders>
            <w:shd w:val="clear" w:color="auto" w:fill="F2F2F2"/>
          </w:tcPr>
          <w:p>
            <w:pPr>
              <w:jc w:val="center"/>
              <w:ind w:left="100"/>
              <w:spacing w:after="0"/>
              <w:rPr>
                <w:sz w:val="20"/>
                <w:szCs w:val="20"/>
                <w:color w:val="auto"/>
              </w:rPr>
            </w:pPr>
            <w:r>
              <w:rPr>
                <w:rFonts w:ascii="Arial" w:cs="Arial" w:eastAsia="Arial" w:hAnsi="Arial"/>
                <w:sz w:val="16"/>
                <w:szCs w:val="16"/>
                <w:color w:val="auto"/>
              </w:rPr>
              <w:t>Nutanix</w:t>
            </w:r>
          </w:p>
        </w:tc>
      </w:tr>
      <w:tr>
        <w:trPr>
          <w:trHeight w:val="268"/>
        </w:trPr>
        <w:tc>
          <w:tcPr>
            <w:tcW w:w="3280" w:type="dxa"/>
            <w:vAlign w:val="bottom"/>
          </w:tcPr>
          <w:p>
            <w:pPr>
              <w:jc w:val="center"/>
              <w:ind w:right="119"/>
              <w:spacing w:after="0"/>
              <w:rPr>
                <w:sz w:val="20"/>
                <w:szCs w:val="20"/>
                <w:color w:val="auto"/>
              </w:rPr>
            </w:pPr>
            <w:r>
              <w:rPr>
                <w:rFonts w:ascii="Arial" w:cs="Arial" w:eastAsia="Arial" w:hAnsi="Arial"/>
                <w:sz w:val="16"/>
                <w:szCs w:val="16"/>
                <w:color w:val="auto"/>
              </w:rPr>
              <w:t>Palo Alto Networks</w:t>
            </w:r>
          </w:p>
        </w:tc>
        <w:tc>
          <w:tcPr>
            <w:tcW w:w="2980" w:type="dxa"/>
            <w:vAlign w:val="bottom"/>
          </w:tcPr>
          <w:p>
            <w:pPr>
              <w:spacing w:after="0"/>
              <w:rPr>
                <w:sz w:val="23"/>
                <w:szCs w:val="23"/>
                <w:color w:val="auto"/>
              </w:rPr>
            </w:pPr>
          </w:p>
        </w:tc>
        <w:tc>
          <w:tcPr>
            <w:tcW w:w="3300" w:type="dxa"/>
            <w:vAlign w:val="bottom"/>
          </w:tcPr>
          <w:p>
            <w:pPr>
              <w:jc w:val="center"/>
              <w:ind w:left="120"/>
              <w:spacing w:after="0"/>
              <w:rPr>
                <w:sz w:val="20"/>
                <w:szCs w:val="20"/>
                <w:color w:val="auto"/>
              </w:rPr>
            </w:pPr>
            <w:r>
              <w:rPr>
                <w:rFonts w:ascii="Arial" w:cs="Arial" w:eastAsia="Arial" w:hAnsi="Arial"/>
                <w:sz w:val="16"/>
                <w:szCs w:val="16"/>
                <w:color w:val="auto"/>
              </w:rPr>
              <w:t>Okta</w:t>
            </w:r>
          </w:p>
        </w:tc>
      </w:tr>
      <w:tr>
        <w:trPr>
          <w:trHeight w:val="56"/>
        </w:trPr>
        <w:tc>
          <w:tcPr>
            <w:tcW w:w="3280" w:type="dxa"/>
            <w:vAlign w:val="bottom"/>
          </w:tcPr>
          <w:p>
            <w:pPr>
              <w:spacing w:after="0"/>
              <w:rPr>
                <w:sz w:val="4"/>
                <w:szCs w:val="4"/>
                <w:color w:val="auto"/>
              </w:rPr>
            </w:pPr>
          </w:p>
        </w:tc>
        <w:tc>
          <w:tcPr>
            <w:tcW w:w="2980" w:type="dxa"/>
            <w:vAlign w:val="bottom"/>
          </w:tcPr>
          <w:p>
            <w:pPr>
              <w:spacing w:after="0"/>
              <w:rPr>
                <w:sz w:val="4"/>
                <w:szCs w:val="4"/>
                <w:color w:val="auto"/>
              </w:rPr>
            </w:pPr>
          </w:p>
        </w:tc>
        <w:tc>
          <w:tcPr>
            <w:tcW w:w="3300" w:type="dxa"/>
            <w:vAlign w:val="bottom"/>
          </w:tcPr>
          <w:p>
            <w:pPr>
              <w:spacing w:after="0"/>
              <w:rPr>
                <w:sz w:val="4"/>
                <w:szCs w:val="4"/>
                <w:color w:val="auto"/>
              </w:rPr>
            </w:pPr>
          </w:p>
        </w:tc>
      </w:tr>
      <w:tr>
        <w:trPr>
          <w:trHeight w:val="304"/>
        </w:trPr>
        <w:tc>
          <w:tcPr>
            <w:tcW w:w="3280" w:type="dxa"/>
            <w:vAlign w:val="bottom"/>
            <w:tcBorders>
              <w:bottom w:val="single" w:sz="8" w:color="F2F2F2"/>
            </w:tcBorders>
            <w:shd w:val="clear" w:color="auto" w:fill="F2F2F2"/>
          </w:tcPr>
          <w:p>
            <w:pPr>
              <w:jc w:val="center"/>
              <w:ind w:right="99"/>
              <w:spacing w:after="0"/>
              <w:rPr>
                <w:sz w:val="20"/>
                <w:szCs w:val="20"/>
                <w:color w:val="auto"/>
              </w:rPr>
            </w:pPr>
            <w:r>
              <w:rPr>
                <w:rFonts w:ascii="Arial" w:cs="Arial" w:eastAsia="Arial" w:hAnsi="Arial"/>
                <w:sz w:val="16"/>
                <w:szCs w:val="16"/>
                <w:color w:val="auto"/>
              </w:rPr>
              <w:t>Proofpoint</w:t>
            </w:r>
          </w:p>
        </w:tc>
        <w:tc>
          <w:tcPr>
            <w:tcW w:w="298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b w:val="1"/>
                <w:bCs w:val="1"/>
                <w:color w:val="auto"/>
              </w:rPr>
              <w:t>Removed:</w:t>
            </w:r>
          </w:p>
        </w:tc>
        <w:tc>
          <w:tcPr>
            <w:tcW w:w="3300" w:type="dxa"/>
            <w:vAlign w:val="bottom"/>
            <w:tcBorders>
              <w:bottom w:val="single" w:sz="8" w:color="F2F2F2"/>
            </w:tcBorders>
            <w:shd w:val="clear" w:color="auto" w:fill="F2F2F2"/>
          </w:tcPr>
          <w:p>
            <w:pPr>
              <w:jc w:val="center"/>
              <w:ind w:left="100"/>
              <w:spacing w:after="0"/>
              <w:rPr>
                <w:sz w:val="20"/>
                <w:szCs w:val="20"/>
                <w:color w:val="auto"/>
              </w:rPr>
            </w:pPr>
            <w:r>
              <w:rPr>
                <w:rFonts w:ascii="Arial" w:cs="Arial" w:eastAsia="Arial" w:hAnsi="Arial"/>
                <w:sz w:val="16"/>
                <w:szCs w:val="16"/>
                <w:color w:val="auto"/>
              </w:rPr>
              <w:t>Palo Alto Networks</w:t>
            </w:r>
          </w:p>
        </w:tc>
      </w:tr>
      <w:tr>
        <w:trPr>
          <w:trHeight w:val="268"/>
        </w:trPr>
        <w:tc>
          <w:tcPr>
            <w:tcW w:w="3280" w:type="dxa"/>
            <w:vAlign w:val="bottom"/>
          </w:tcPr>
          <w:p>
            <w:pPr>
              <w:jc w:val="center"/>
              <w:ind w:right="99"/>
              <w:spacing w:after="0"/>
              <w:rPr>
                <w:sz w:val="20"/>
                <w:szCs w:val="20"/>
                <w:color w:val="auto"/>
              </w:rPr>
            </w:pPr>
            <w:r>
              <w:rPr>
                <w:rFonts w:ascii="Arial" w:cs="Arial" w:eastAsia="Arial" w:hAnsi="Arial"/>
                <w:sz w:val="16"/>
                <w:szCs w:val="16"/>
                <w:color w:val="auto"/>
              </w:rPr>
              <w:t>RingCentral</w:t>
            </w:r>
          </w:p>
        </w:tc>
        <w:tc>
          <w:tcPr>
            <w:tcW w:w="2980" w:type="dxa"/>
            <w:vAlign w:val="bottom"/>
          </w:tcPr>
          <w:p>
            <w:pPr>
              <w:jc w:val="center"/>
              <w:spacing w:after="0"/>
              <w:rPr>
                <w:sz w:val="20"/>
                <w:szCs w:val="20"/>
                <w:color w:val="auto"/>
              </w:rPr>
            </w:pPr>
            <w:r>
              <w:rPr>
                <w:rFonts w:ascii="Arial" w:cs="Arial" w:eastAsia="Arial" w:hAnsi="Arial"/>
                <w:sz w:val="16"/>
                <w:szCs w:val="16"/>
                <w:color w:val="auto"/>
                <w:w w:val="98"/>
              </w:rPr>
              <w:t>Autodesk</w:t>
            </w:r>
          </w:p>
        </w:tc>
        <w:tc>
          <w:tcPr>
            <w:tcW w:w="3300" w:type="dxa"/>
            <w:vAlign w:val="bottom"/>
          </w:tcPr>
          <w:p>
            <w:pPr>
              <w:jc w:val="center"/>
              <w:ind w:left="120"/>
              <w:spacing w:after="0"/>
              <w:rPr>
                <w:sz w:val="20"/>
                <w:szCs w:val="20"/>
                <w:color w:val="auto"/>
              </w:rPr>
            </w:pPr>
            <w:r>
              <w:rPr>
                <w:rFonts w:ascii="Arial" w:cs="Arial" w:eastAsia="Arial" w:hAnsi="Arial"/>
                <w:sz w:val="16"/>
                <w:szCs w:val="16"/>
                <w:color w:val="auto"/>
              </w:rPr>
              <w:t>Proofpoint</w:t>
            </w:r>
          </w:p>
        </w:tc>
      </w:tr>
      <w:tr>
        <w:trPr>
          <w:trHeight w:val="56"/>
        </w:trPr>
        <w:tc>
          <w:tcPr>
            <w:tcW w:w="3280" w:type="dxa"/>
            <w:vAlign w:val="bottom"/>
          </w:tcPr>
          <w:p>
            <w:pPr>
              <w:spacing w:after="0"/>
              <w:rPr>
                <w:sz w:val="4"/>
                <w:szCs w:val="4"/>
                <w:color w:val="auto"/>
              </w:rPr>
            </w:pPr>
          </w:p>
        </w:tc>
        <w:tc>
          <w:tcPr>
            <w:tcW w:w="2980" w:type="dxa"/>
            <w:vAlign w:val="bottom"/>
          </w:tcPr>
          <w:p>
            <w:pPr>
              <w:spacing w:after="0"/>
              <w:rPr>
                <w:sz w:val="4"/>
                <w:szCs w:val="4"/>
                <w:color w:val="auto"/>
              </w:rPr>
            </w:pPr>
          </w:p>
        </w:tc>
        <w:tc>
          <w:tcPr>
            <w:tcW w:w="3300" w:type="dxa"/>
            <w:vAlign w:val="bottom"/>
          </w:tcPr>
          <w:p>
            <w:pPr>
              <w:spacing w:after="0"/>
              <w:rPr>
                <w:sz w:val="4"/>
                <w:szCs w:val="4"/>
                <w:color w:val="auto"/>
              </w:rPr>
            </w:pPr>
          </w:p>
        </w:tc>
      </w:tr>
      <w:tr>
        <w:trPr>
          <w:trHeight w:val="304"/>
        </w:trPr>
        <w:tc>
          <w:tcPr>
            <w:tcW w:w="3280" w:type="dxa"/>
            <w:vAlign w:val="bottom"/>
            <w:tcBorders>
              <w:bottom w:val="single" w:sz="8" w:color="F2F2F2"/>
            </w:tcBorders>
            <w:shd w:val="clear" w:color="auto" w:fill="F2F2F2"/>
          </w:tcPr>
          <w:p>
            <w:pPr>
              <w:jc w:val="center"/>
              <w:ind w:right="99"/>
              <w:spacing w:after="0"/>
              <w:rPr>
                <w:sz w:val="20"/>
                <w:szCs w:val="20"/>
                <w:color w:val="auto"/>
              </w:rPr>
            </w:pPr>
            <w:r>
              <w:rPr>
                <w:rFonts w:ascii="Arial" w:cs="Arial" w:eastAsia="Arial" w:hAnsi="Arial"/>
                <w:sz w:val="16"/>
                <w:szCs w:val="16"/>
                <w:color w:val="auto"/>
              </w:rPr>
              <w:t>ServiceNow</w:t>
            </w:r>
          </w:p>
        </w:tc>
        <w:tc>
          <w:tcPr>
            <w:tcW w:w="298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Guidewire Software</w:t>
            </w:r>
          </w:p>
        </w:tc>
        <w:tc>
          <w:tcPr>
            <w:tcW w:w="3300" w:type="dxa"/>
            <w:vAlign w:val="bottom"/>
            <w:tcBorders>
              <w:bottom w:val="single" w:sz="8" w:color="F2F2F2"/>
            </w:tcBorders>
            <w:shd w:val="clear" w:color="auto" w:fill="F2F2F2"/>
          </w:tcPr>
          <w:p>
            <w:pPr>
              <w:jc w:val="center"/>
              <w:ind w:left="100"/>
              <w:spacing w:after="0"/>
              <w:rPr>
                <w:sz w:val="20"/>
                <w:szCs w:val="20"/>
                <w:color w:val="auto"/>
              </w:rPr>
            </w:pPr>
            <w:r>
              <w:rPr>
                <w:rFonts w:ascii="Arial" w:cs="Arial" w:eastAsia="Arial" w:hAnsi="Arial"/>
                <w:sz w:val="16"/>
                <w:szCs w:val="16"/>
                <w:color w:val="auto"/>
              </w:rPr>
              <w:t>Pure Storage</w:t>
            </w:r>
          </w:p>
        </w:tc>
      </w:tr>
      <w:tr>
        <w:trPr>
          <w:trHeight w:val="268"/>
        </w:trPr>
        <w:tc>
          <w:tcPr>
            <w:tcW w:w="3280" w:type="dxa"/>
            <w:vAlign w:val="bottom"/>
          </w:tcPr>
          <w:p>
            <w:pPr>
              <w:jc w:val="center"/>
              <w:ind w:right="99"/>
              <w:spacing w:after="0"/>
              <w:rPr>
                <w:sz w:val="20"/>
                <w:szCs w:val="20"/>
                <w:color w:val="auto"/>
              </w:rPr>
            </w:pPr>
            <w:r>
              <w:rPr>
                <w:rFonts w:ascii="Arial" w:cs="Arial" w:eastAsia="Arial" w:hAnsi="Arial"/>
                <w:sz w:val="16"/>
                <w:szCs w:val="16"/>
                <w:color w:val="auto"/>
              </w:rPr>
              <w:t>Splunk</w:t>
            </w:r>
          </w:p>
        </w:tc>
        <w:tc>
          <w:tcPr>
            <w:tcW w:w="2980" w:type="dxa"/>
            <w:vAlign w:val="bottom"/>
          </w:tcPr>
          <w:p>
            <w:pPr>
              <w:jc w:val="center"/>
              <w:spacing w:after="0"/>
              <w:rPr>
                <w:sz w:val="20"/>
                <w:szCs w:val="20"/>
                <w:color w:val="auto"/>
              </w:rPr>
            </w:pPr>
            <w:r>
              <w:rPr>
                <w:rFonts w:ascii="Arial" w:cs="Arial" w:eastAsia="Arial" w:hAnsi="Arial"/>
                <w:sz w:val="16"/>
                <w:szCs w:val="16"/>
                <w:color w:val="auto"/>
              </w:rPr>
              <w:t>ServiceNow</w:t>
            </w:r>
          </w:p>
        </w:tc>
        <w:tc>
          <w:tcPr>
            <w:tcW w:w="3300" w:type="dxa"/>
            <w:vAlign w:val="bottom"/>
          </w:tcPr>
          <w:p>
            <w:pPr>
              <w:jc w:val="center"/>
              <w:ind w:left="120"/>
              <w:spacing w:after="0"/>
              <w:rPr>
                <w:sz w:val="20"/>
                <w:szCs w:val="20"/>
                <w:color w:val="auto"/>
              </w:rPr>
            </w:pPr>
            <w:r>
              <w:rPr>
                <w:rFonts w:ascii="Arial" w:cs="Arial" w:eastAsia="Arial" w:hAnsi="Arial"/>
                <w:sz w:val="16"/>
                <w:szCs w:val="16"/>
                <w:color w:val="auto"/>
              </w:rPr>
              <w:t>RingCentral</w:t>
            </w:r>
          </w:p>
        </w:tc>
      </w:tr>
      <w:tr>
        <w:trPr>
          <w:trHeight w:val="56"/>
        </w:trPr>
        <w:tc>
          <w:tcPr>
            <w:tcW w:w="3280" w:type="dxa"/>
            <w:vAlign w:val="bottom"/>
          </w:tcPr>
          <w:p>
            <w:pPr>
              <w:spacing w:after="0"/>
              <w:rPr>
                <w:sz w:val="4"/>
                <w:szCs w:val="4"/>
                <w:color w:val="auto"/>
              </w:rPr>
            </w:pPr>
          </w:p>
        </w:tc>
        <w:tc>
          <w:tcPr>
            <w:tcW w:w="2980" w:type="dxa"/>
            <w:vAlign w:val="bottom"/>
          </w:tcPr>
          <w:p>
            <w:pPr>
              <w:spacing w:after="0"/>
              <w:rPr>
                <w:sz w:val="4"/>
                <w:szCs w:val="4"/>
                <w:color w:val="auto"/>
              </w:rPr>
            </w:pPr>
          </w:p>
        </w:tc>
        <w:tc>
          <w:tcPr>
            <w:tcW w:w="3300" w:type="dxa"/>
            <w:vAlign w:val="bottom"/>
          </w:tcPr>
          <w:p>
            <w:pPr>
              <w:spacing w:after="0"/>
              <w:rPr>
                <w:sz w:val="4"/>
                <w:szCs w:val="4"/>
                <w:color w:val="auto"/>
              </w:rPr>
            </w:pPr>
          </w:p>
        </w:tc>
      </w:tr>
      <w:tr>
        <w:trPr>
          <w:trHeight w:val="304"/>
        </w:trPr>
        <w:tc>
          <w:tcPr>
            <w:tcW w:w="3280" w:type="dxa"/>
            <w:vAlign w:val="bottom"/>
            <w:tcBorders>
              <w:bottom w:val="single" w:sz="8" w:color="F2F2F2"/>
            </w:tcBorders>
            <w:shd w:val="clear" w:color="auto" w:fill="F2F2F2"/>
          </w:tcPr>
          <w:p>
            <w:pPr>
              <w:jc w:val="center"/>
              <w:ind w:right="99"/>
              <w:spacing w:after="0"/>
              <w:rPr>
                <w:sz w:val="20"/>
                <w:szCs w:val="20"/>
                <w:color w:val="auto"/>
              </w:rPr>
            </w:pPr>
            <w:r>
              <w:rPr>
                <w:rFonts w:ascii="Arial" w:cs="Arial" w:eastAsia="Arial" w:hAnsi="Arial"/>
                <w:sz w:val="16"/>
                <w:szCs w:val="16"/>
                <w:color w:val="auto"/>
              </w:rPr>
              <w:t>Block (formerly Square)</w:t>
            </w:r>
          </w:p>
        </w:tc>
        <w:tc>
          <w:tcPr>
            <w:tcW w:w="298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Block (formerly Square)</w:t>
            </w:r>
          </w:p>
        </w:tc>
        <w:tc>
          <w:tcPr>
            <w:tcW w:w="3300" w:type="dxa"/>
            <w:vAlign w:val="bottom"/>
            <w:tcBorders>
              <w:bottom w:val="single" w:sz="8" w:color="F2F2F2"/>
            </w:tcBorders>
            <w:shd w:val="clear" w:color="auto" w:fill="F2F2F2"/>
          </w:tcPr>
          <w:p>
            <w:pPr>
              <w:jc w:val="center"/>
              <w:ind w:left="120"/>
              <w:spacing w:after="0"/>
              <w:rPr>
                <w:sz w:val="20"/>
                <w:szCs w:val="20"/>
                <w:color w:val="auto"/>
              </w:rPr>
            </w:pPr>
            <w:r>
              <w:rPr>
                <w:rFonts w:ascii="Arial" w:cs="Arial" w:eastAsia="Arial" w:hAnsi="Arial"/>
                <w:sz w:val="16"/>
                <w:szCs w:val="16"/>
                <w:color w:val="auto"/>
                <w:w w:val="99"/>
              </w:rPr>
              <w:t>Slack Technologies</w:t>
            </w:r>
          </w:p>
        </w:tc>
      </w:tr>
      <w:tr>
        <w:trPr>
          <w:trHeight w:val="268"/>
        </w:trPr>
        <w:tc>
          <w:tcPr>
            <w:tcW w:w="3280" w:type="dxa"/>
            <w:vAlign w:val="bottom"/>
          </w:tcPr>
          <w:p>
            <w:pPr>
              <w:jc w:val="center"/>
              <w:ind w:right="119"/>
              <w:spacing w:after="0"/>
              <w:rPr>
                <w:sz w:val="20"/>
                <w:szCs w:val="20"/>
                <w:color w:val="auto"/>
              </w:rPr>
            </w:pPr>
            <w:r>
              <w:rPr>
                <w:rFonts w:ascii="Arial" w:cs="Arial" w:eastAsia="Arial" w:hAnsi="Arial"/>
                <w:sz w:val="16"/>
                <w:szCs w:val="16"/>
                <w:color w:val="auto"/>
                <w:w w:val="97"/>
              </w:rPr>
              <w:t>Twilio</w:t>
            </w:r>
          </w:p>
        </w:tc>
        <w:tc>
          <w:tcPr>
            <w:tcW w:w="2980" w:type="dxa"/>
            <w:vAlign w:val="bottom"/>
          </w:tcPr>
          <w:p>
            <w:pPr>
              <w:jc w:val="center"/>
              <w:spacing w:after="0"/>
              <w:rPr>
                <w:sz w:val="20"/>
                <w:szCs w:val="20"/>
                <w:color w:val="auto"/>
              </w:rPr>
            </w:pPr>
            <w:r>
              <w:rPr>
                <w:rFonts w:ascii="Arial" w:cs="Arial" w:eastAsia="Arial" w:hAnsi="Arial"/>
                <w:sz w:val="16"/>
                <w:szCs w:val="16"/>
                <w:color w:val="auto"/>
              </w:rPr>
              <w:t>Twilio</w:t>
            </w:r>
          </w:p>
        </w:tc>
        <w:tc>
          <w:tcPr>
            <w:tcW w:w="3300" w:type="dxa"/>
            <w:vAlign w:val="bottom"/>
          </w:tcPr>
          <w:p>
            <w:pPr>
              <w:jc w:val="center"/>
              <w:ind w:left="120"/>
              <w:spacing w:after="0"/>
              <w:rPr>
                <w:sz w:val="20"/>
                <w:szCs w:val="20"/>
                <w:color w:val="auto"/>
              </w:rPr>
            </w:pPr>
            <w:r>
              <w:rPr>
                <w:rFonts w:ascii="Arial" w:cs="Arial" w:eastAsia="Arial" w:hAnsi="Arial"/>
                <w:sz w:val="16"/>
                <w:szCs w:val="16"/>
                <w:color w:val="auto"/>
              </w:rPr>
              <w:t>Splunk</w:t>
            </w:r>
          </w:p>
        </w:tc>
      </w:tr>
      <w:tr>
        <w:trPr>
          <w:trHeight w:val="56"/>
        </w:trPr>
        <w:tc>
          <w:tcPr>
            <w:tcW w:w="3280" w:type="dxa"/>
            <w:vAlign w:val="bottom"/>
          </w:tcPr>
          <w:p>
            <w:pPr>
              <w:spacing w:after="0"/>
              <w:rPr>
                <w:sz w:val="4"/>
                <w:szCs w:val="4"/>
                <w:color w:val="auto"/>
              </w:rPr>
            </w:pPr>
          </w:p>
        </w:tc>
        <w:tc>
          <w:tcPr>
            <w:tcW w:w="2980" w:type="dxa"/>
            <w:vAlign w:val="bottom"/>
          </w:tcPr>
          <w:p>
            <w:pPr>
              <w:spacing w:after="0"/>
              <w:rPr>
                <w:sz w:val="4"/>
                <w:szCs w:val="4"/>
                <w:color w:val="auto"/>
              </w:rPr>
            </w:pPr>
          </w:p>
        </w:tc>
        <w:tc>
          <w:tcPr>
            <w:tcW w:w="3300" w:type="dxa"/>
            <w:vAlign w:val="bottom"/>
          </w:tcPr>
          <w:p>
            <w:pPr>
              <w:spacing w:after="0"/>
              <w:rPr>
                <w:sz w:val="4"/>
                <w:szCs w:val="4"/>
                <w:color w:val="auto"/>
              </w:rPr>
            </w:pPr>
          </w:p>
        </w:tc>
      </w:tr>
      <w:tr>
        <w:trPr>
          <w:trHeight w:val="304"/>
        </w:trPr>
        <w:tc>
          <w:tcPr>
            <w:tcW w:w="3280" w:type="dxa"/>
            <w:vAlign w:val="bottom"/>
            <w:tcBorders>
              <w:bottom w:val="single" w:sz="8" w:color="F2F2F2"/>
            </w:tcBorders>
            <w:shd w:val="clear" w:color="auto" w:fill="F2F2F2"/>
          </w:tcPr>
          <w:p>
            <w:pPr>
              <w:jc w:val="center"/>
              <w:ind w:right="119"/>
              <w:spacing w:after="0"/>
              <w:rPr>
                <w:sz w:val="20"/>
                <w:szCs w:val="20"/>
                <w:color w:val="auto"/>
              </w:rPr>
            </w:pPr>
            <w:r>
              <w:rPr>
                <w:rFonts w:ascii="Arial" w:cs="Arial" w:eastAsia="Arial" w:hAnsi="Arial"/>
                <w:sz w:val="16"/>
                <w:szCs w:val="16"/>
                <w:color w:val="auto"/>
                <w:w w:val="99"/>
              </w:rPr>
              <w:t>Twitter</w:t>
            </w:r>
          </w:p>
        </w:tc>
        <w:tc>
          <w:tcPr>
            <w:tcW w:w="298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w w:val="95"/>
              </w:rPr>
              <w:t>Twitter</w:t>
            </w:r>
          </w:p>
        </w:tc>
        <w:tc>
          <w:tcPr>
            <w:tcW w:w="3300" w:type="dxa"/>
            <w:vAlign w:val="bottom"/>
            <w:tcBorders>
              <w:bottom w:val="single" w:sz="8" w:color="F2F2F2"/>
            </w:tcBorders>
            <w:shd w:val="clear" w:color="auto" w:fill="F2F2F2"/>
          </w:tcPr>
          <w:p>
            <w:pPr>
              <w:jc w:val="center"/>
              <w:ind w:left="120"/>
              <w:spacing w:after="0"/>
              <w:rPr>
                <w:sz w:val="20"/>
                <w:szCs w:val="20"/>
                <w:color w:val="auto"/>
              </w:rPr>
            </w:pPr>
            <w:r>
              <w:rPr>
                <w:rFonts w:ascii="Arial" w:cs="Arial" w:eastAsia="Arial" w:hAnsi="Arial"/>
                <w:sz w:val="16"/>
                <w:szCs w:val="16"/>
                <w:color w:val="auto"/>
              </w:rPr>
              <w:t>Zendesk</w:t>
            </w:r>
          </w:p>
        </w:tc>
      </w:tr>
      <w:tr>
        <w:trPr>
          <w:trHeight w:val="268"/>
        </w:trPr>
        <w:tc>
          <w:tcPr>
            <w:tcW w:w="3280" w:type="dxa"/>
            <w:vAlign w:val="bottom"/>
          </w:tcPr>
          <w:p>
            <w:pPr>
              <w:jc w:val="center"/>
              <w:ind w:right="119"/>
              <w:spacing w:after="0"/>
              <w:rPr>
                <w:sz w:val="20"/>
                <w:szCs w:val="20"/>
                <w:color w:val="auto"/>
              </w:rPr>
            </w:pPr>
            <w:r>
              <w:rPr>
                <w:rFonts w:ascii="Arial" w:cs="Arial" w:eastAsia="Arial" w:hAnsi="Arial"/>
                <w:sz w:val="16"/>
                <w:szCs w:val="16"/>
                <w:color w:val="auto"/>
              </w:rPr>
              <w:t>Veeva Systems</w:t>
            </w:r>
          </w:p>
        </w:tc>
        <w:tc>
          <w:tcPr>
            <w:tcW w:w="2980" w:type="dxa"/>
            <w:vAlign w:val="bottom"/>
          </w:tcPr>
          <w:p>
            <w:pPr>
              <w:jc w:val="center"/>
              <w:spacing w:after="0"/>
              <w:rPr>
                <w:sz w:val="20"/>
                <w:szCs w:val="20"/>
                <w:color w:val="auto"/>
              </w:rPr>
            </w:pPr>
            <w:r>
              <w:rPr>
                <w:rFonts w:ascii="Arial" w:cs="Arial" w:eastAsia="Arial" w:hAnsi="Arial"/>
                <w:sz w:val="16"/>
                <w:szCs w:val="16"/>
                <w:color w:val="auto"/>
                <w:w w:val="98"/>
              </w:rPr>
              <w:t>Veeva Systems</w:t>
            </w:r>
          </w:p>
        </w:tc>
        <w:tc>
          <w:tcPr>
            <w:tcW w:w="3300" w:type="dxa"/>
            <w:vAlign w:val="bottom"/>
          </w:tcPr>
          <w:p>
            <w:pPr>
              <w:spacing w:after="0"/>
              <w:rPr>
                <w:sz w:val="23"/>
                <w:szCs w:val="23"/>
                <w:color w:val="auto"/>
              </w:rPr>
            </w:pPr>
          </w:p>
        </w:tc>
      </w:tr>
      <w:tr>
        <w:trPr>
          <w:trHeight w:val="56"/>
        </w:trPr>
        <w:tc>
          <w:tcPr>
            <w:tcW w:w="3280" w:type="dxa"/>
            <w:vAlign w:val="bottom"/>
          </w:tcPr>
          <w:p>
            <w:pPr>
              <w:spacing w:after="0"/>
              <w:rPr>
                <w:sz w:val="4"/>
                <w:szCs w:val="4"/>
                <w:color w:val="auto"/>
              </w:rPr>
            </w:pPr>
          </w:p>
        </w:tc>
        <w:tc>
          <w:tcPr>
            <w:tcW w:w="2980" w:type="dxa"/>
            <w:vAlign w:val="bottom"/>
          </w:tcPr>
          <w:p>
            <w:pPr>
              <w:spacing w:after="0"/>
              <w:rPr>
                <w:sz w:val="4"/>
                <w:szCs w:val="4"/>
                <w:color w:val="auto"/>
              </w:rPr>
            </w:pPr>
          </w:p>
        </w:tc>
        <w:tc>
          <w:tcPr>
            <w:tcW w:w="3300" w:type="dxa"/>
            <w:vAlign w:val="bottom"/>
          </w:tcPr>
          <w:p>
            <w:pPr>
              <w:spacing w:after="0"/>
              <w:rPr>
                <w:sz w:val="4"/>
                <w:szCs w:val="4"/>
                <w:color w:val="auto"/>
              </w:rPr>
            </w:pPr>
          </w:p>
        </w:tc>
      </w:tr>
      <w:tr>
        <w:trPr>
          <w:trHeight w:val="304"/>
        </w:trPr>
        <w:tc>
          <w:tcPr>
            <w:tcW w:w="3280" w:type="dxa"/>
            <w:vAlign w:val="bottom"/>
            <w:tcBorders>
              <w:bottom w:val="single" w:sz="8" w:color="F2F2F2"/>
            </w:tcBorders>
            <w:shd w:val="clear" w:color="auto" w:fill="F2F2F2"/>
          </w:tcPr>
          <w:p>
            <w:pPr>
              <w:jc w:val="center"/>
              <w:ind w:right="119"/>
              <w:spacing w:after="0"/>
              <w:rPr>
                <w:sz w:val="20"/>
                <w:szCs w:val="20"/>
                <w:color w:val="auto"/>
              </w:rPr>
            </w:pPr>
            <w:r>
              <w:rPr>
                <w:rFonts w:ascii="Arial" w:cs="Arial" w:eastAsia="Arial" w:hAnsi="Arial"/>
                <w:sz w:val="16"/>
                <w:szCs w:val="16"/>
                <w:color w:val="auto"/>
              </w:rPr>
              <w:t>Workday</w:t>
            </w:r>
          </w:p>
        </w:tc>
        <w:tc>
          <w:tcPr>
            <w:tcW w:w="298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w w:val="98"/>
              </w:rPr>
              <w:t>Workday</w:t>
            </w:r>
          </w:p>
        </w:tc>
        <w:tc>
          <w:tcPr>
            <w:tcW w:w="3300" w:type="dxa"/>
            <w:vAlign w:val="bottom"/>
            <w:tcBorders>
              <w:bottom w:val="single" w:sz="8" w:color="F2F2F2"/>
            </w:tcBorders>
            <w:shd w:val="clear" w:color="auto" w:fill="F2F2F2"/>
          </w:tcPr>
          <w:p>
            <w:pPr>
              <w:spacing w:after="0"/>
              <w:rPr>
                <w:sz w:val="24"/>
                <w:szCs w:val="24"/>
                <w:color w:val="auto"/>
              </w:rPr>
            </w:pPr>
          </w:p>
        </w:tc>
      </w:tr>
      <w:tr>
        <w:trPr>
          <w:trHeight w:val="268"/>
        </w:trPr>
        <w:tc>
          <w:tcPr>
            <w:tcW w:w="3280" w:type="dxa"/>
            <w:vAlign w:val="bottom"/>
          </w:tcPr>
          <w:p>
            <w:pPr>
              <w:jc w:val="center"/>
              <w:ind w:right="99"/>
              <w:spacing w:after="0"/>
              <w:rPr>
                <w:sz w:val="20"/>
                <w:szCs w:val="20"/>
                <w:color w:val="auto"/>
              </w:rPr>
            </w:pPr>
            <w:r>
              <w:rPr>
                <w:rFonts w:ascii="Arial" w:cs="Arial" w:eastAsia="Arial" w:hAnsi="Arial"/>
                <w:sz w:val="16"/>
                <w:szCs w:val="16"/>
                <w:color w:val="auto"/>
              </w:rPr>
              <w:t>Zendesk</w:t>
            </w:r>
          </w:p>
        </w:tc>
        <w:tc>
          <w:tcPr>
            <w:tcW w:w="2980" w:type="dxa"/>
            <w:vAlign w:val="bottom"/>
          </w:tcPr>
          <w:p>
            <w:pPr>
              <w:spacing w:after="0"/>
              <w:rPr>
                <w:sz w:val="23"/>
                <w:szCs w:val="23"/>
                <w:color w:val="auto"/>
              </w:rPr>
            </w:pPr>
          </w:p>
        </w:tc>
        <w:tc>
          <w:tcPr>
            <w:tcW w:w="3300" w:type="dxa"/>
            <w:vAlign w:val="bottom"/>
          </w:tcPr>
          <w:p>
            <w:pPr>
              <w:spacing w:after="0"/>
              <w:rPr>
                <w:sz w:val="23"/>
                <w:szCs w:val="23"/>
                <w:color w:val="auto"/>
              </w:rPr>
            </w:pPr>
          </w:p>
        </w:tc>
      </w:tr>
    </w:tbl>
    <w:p>
      <w:pPr>
        <w:spacing w:after="0" w:line="177" w:lineRule="exact"/>
        <w:rPr>
          <w:sz w:val="20"/>
          <w:szCs w:val="20"/>
          <w:color w:val="auto"/>
        </w:rPr>
      </w:pPr>
    </w:p>
    <w:p>
      <w:pPr>
        <w:ind w:left="4" w:right="20"/>
        <w:spacing w:after="0" w:line="266" w:lineRule="auto"/>
        <w:rPr>
          <w:sz w:val="20"/>
          <w:szCs w:val="20"/>
          <w:color w:val="auto"/>
        </w:rPr>
      </w:pPr>
      <w:r>
        <w:rPr>
          <w:rFonts w:ascii="Arial" w:cs="Arial" w:eastAsia="Arial" w:hAnsi="Arial"/>
          <w:sz w:val="16"/>
          <w:szCs w:val="16"/>
          <w:color w:val="auto"/>
        </w:rPr>
        <w:t>The compensation practices of the compensation peer group were the primary guide used by the compensation committee in 2021 to compare the competitiveness of each compensation element and target total direct compensation (base salary, target annual cash bonus opportunities, and long-term equity incentive compensation).</w:t>
      </w:r>
    </w:p>
    <w:p>
      <w:pPr>
        <w:spacing w:after="0" w:line="117" w:lineRule="exact"/>
        <w:rPr>
          <w:sz w:val="20"/>
          <w:szCs w:val="20"/>
          <w:color w:val="auto"/>
        </w:rPr>
      </w:pPr>
    </w:p>
    <w:p>
      <w:pPr>
        <w:ind w:left="4" w:right="60"/>
        <w:spacing w:after="0" w:line="254" w:lineRule="auto"/>
        <w:rPr>
          <w:sz w:val="20"/>
          <w:szCs w:val="20"/>
          <w:color w:val="auto"/>
        </w:rPr>
      </w:pPr>
      <w:r>
        <w:rPr>
          <w:rFonts w:ascii="Arial" w:cs="Arial" w:eastAsia="Arial" w:hAnsi="Arial"/>
          <w:sz w:val="16"/>
          <w:szCs w:val="16"/>
          <w:color w:val="auto"/>
        </w:rPr>
        <w:t>To analyze the compensation practices of our compensation peer group, Compensia gathered data from public filings of the peer group companies, as well as from the Radford Global Technology Survey. This market data was then used as a reference point for the compensation committee to assess our current compensation levels in the course of its deliberations on compensation forms and amounts. The compensation committee does not engage in formal benchmarking against other companies’ compensation programs or practices to establish our compensation levels or make specific compensation recommendations with respect to our executive officers, including our named executive officers.</w:t>
      </w:r>
    </w:p>
    <w:p>
      <w:pPr>
        <w:spacing w:after="0" w:line="128" w:lineRule="exact"/>
        <w:rPr>
          <w:sz w:val="20"/>
          <w:szCs w:val="20"/>
          <w:color w:val="auto"/>
        </w:rPr>
      </w:pPr>
    </w:p>
    <w:p>
      <w:pPr>
        <w:ind w:left="4" w:right="220"/>
        <w:spacing w:after="0" w:line="286" w:lineRule="auto"/>
        <w:rPr>
          <w:sz w:val="20"/>
          <w:szCs w:val="20"/>
          <w:color w:val="auto"/>
        </w:rPr>
      </w:pPr>
      <w:r>
        <w:rPr>
          <w:rFonts w:ascii="Arial" w:cs="Arial" w:eastAsia="Arial" w:hAnsi="Arial"/>
          <w:sz w:val="16"/>
          <w:szCs w:val="16"/>
          <w:color w:val="auto"/>
        </w:rPr>
        <w:t>The compensation committee reviews our compensation peer group each year and adjusts its composition if warranted, taking into account changes in both our business and the businesses of the companies in the peer group.</w:t>
      </w:r>
    </w:p>
    <w:p>
      <w:pPr>
        <w:sectPr>
          <w:pgSz w:w="11900" w:h="16838" w:orient="portrait"/>
          <w:cols w:equalWidth="0" w:num="1">
            <w:col w:w="9564"/>
          </w:cols>
          <w:pgMar w:left="1156" w:top="263" w:right="1179" w:bottom="1440" w:gutter="0" w:footer="0" w:header="0"/>
        </w:sectPr>
      </w:pPr>
    </w:p>
    <w:p>
      <w:pPr>
        <w:spacing w:after="0" w:line="160" w:lineRule="exact"/>
        <w:rPr>
          <w:sz w:val="20"/>
          <w:szCs w:val="20"/>
          <w:color w:val="auto"/>
        </w:rPr>
      </w:pPr>
    </w:p>
    <w:p>
      <w:pPr>
        <w:ind w:left="524" w:hanging="524"/>
        <w:spacing w:after="0"/>
        <w:tabs>
          <w:tab w:leader="none" w:pos="524" w:val="left"/>
        </w:tabs>
        <w:numPr>
          <w:ilvl w:val="0"/>
          <w:numId w:val="58"/>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126365</wp:posOffset>
            </wp:positionV>
            <wp:extent cx="6995160" cy="171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type w:val="continuous"/>
        </w:sectPr>
      </w:pPr>
    </w:p>
    <w:bookmarkStart w:id="38" w:name="page39"/>
    <w:bookmarkEnd w:id="38"/>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Compensation Setting</w:t>
      </w:r>
    </w:p>
    <w:p>
      <w:pPr>
        <w:spacing w:after="0" w:line="39" w:lineRule="exact"/>
        <w:rPr>
          <w:sz w:val="20"/>
          <w:szCs w:val="20"/>
          <w:color w:val="auto"/>
        </w:rPr>
      </w:pPr>
    </w:p>
    <w:p>
      <w:pPr>
        <w:ind w:left="720" w:right="780"/>
        <w:spacing w:after="0" w:line="277" w:lineRule="auto"/>
        <w:rPr>
          <w:sz w:val="20"/>
          <w:szCs w:val="20"/>
          <w:color w:val="auto"/>
        </w:rPr>
      </w:pPr>
      <w:r>
        <w:rPr>
          <w:rFonts w:ascii="Arial" w:cs="Arial" w:eastAsia="Arial" w:hAnsi="Arial"/>
          <w:sz w:val="16"/>
          <w:szCs w:val="16"/>
          <w:color w:val="auto"/>
        </w:rPr>
        <w:t>We review the base salary levels, annual cash bonus opportunities, and long-term equity incentive compensation opportunities of our executive officers and all related performance criteria at the beginning of each year, or more frequently as warranted.</w:t>
      </w:r>
    </w:p>
    <w:p>
      <w:pPr>
        <w:spacing w:after="0" w:line="109" w:lineRule="exact"/>
        <w:rPr>
          <w:sz w:val="20"/>
          <w:szCs w:val="20"/>
          <w:color w:val="auto"/>
        </w:rPr>
      </w:pPr>
    </w:p>
    <w:p>
      <w:pPr>
        <w:ind w:left="720" w:right="1280"/>
        <w:spacing w:after="0" w:line="286" w:lineRule="auto"/>
        <w:rPr>
          <w:sz w:val="20"/>
          <w:szCs w:val="20"/>
          <w:color w:val="auto"/>
        </w:rPr>
      </w:pPr>
      <w:r>
        <w:rPr>
          <w:rFonts w:ascii="Arial" w:cs="Arial" w:eastAsia="Arial" w:hAnsi="Arial"/>
          <w:sz w:val="16"/>
          <w:szCs w:val="16"/>
          <w:color w:val="auto"/>
        </w:rPr>
        <w:t>We do not establish a specific target for formulating the target total direct compensation opportunities of our executive officers, including our named executive officers.</w:t>
      </w:r>
    </w:p>
    <w:p>
      <w:pPr>
        <w:spacing w:after="0" w:line="102" w:lineRule="exact"/>
        <w:rPr>
          <w:sz w:val="20"/>
          <w:szCs w:val="20"/>
          <w:color w:val="auto"/>
        </w:rPr>
      </w:pPr>
    </w:p>
    <w:p>
      <w:pPr>
        <w:ind w:left="720" w:right="1080"/>
        <w:spacing w:after="0" w:line="286" w:lineRule="auto"/>
        <w:rPr>
          <w:sz w:val="20"/>
          <w:szCs w:val="20"/>
          <w:color w:val="auto"/>
        </w:rPr>
      </w:pPr>
      <w:r>
        <w:rPr>
          <w:rFonts w:ascii="Arial" w:cs="Arial" w:eastAsia="Arial" w:hAnsi="Arial"/>
          <w:sz w:val="16"/>
          <w:szCs w:val="16"/>
          <w:color w:val="auto"/>
        </w:rPr>
        <w:t>In making decisions about the compensation of our executive officers, the compensation committee relies primarily on its general experience and subjective considerations of various factors, including the following: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22225</wp:posOffset>
            </wp:positionV>
            <wp:extent cx="6077585" cy="25031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077585" cy="2503170"/>
                    </a:xfrm>
                    <a:prstGeom prst="rect">
                      <a:avLst/>
                    </a:prstGeom>
                    <a:noFill/>
                  </pic:spPr>
                </pic:pic>
              </a:graphicData>
            </a:graphic>
          </wp:anchor>
        </w:drawing>
      </w:r>
    </w:p>
    <w:p>
      <w:pPr>
        <w:sectPr>
          <w:pgSz w:w="11900" w:h="16838" w:orient="portrait"/>
          <w:cols w:equalWidth="0" w:num="1">
            <w:col w:w="11020"/>
          </w:cols>
          <w:pgMar w:left="440" w:top="263" w:right="439" w:bottom="1440" w:gutter="0" w:footer="0" w:header="0"/>
        </w:sectPr>
      </w:pPr>
    </w:p>
    <w:p>
      <w:pPr>
        <w:spacing w:after="0" w:line="130" w:lineRule="exact"/>
        <w:rPr>
          <w:sz w:val="20"/>
          <w:szCs w:val="20"/>
          <w:color w:val="auto"/>
        </w:rPr>
      </w:pPr>
    </w:p>
    <w:p>
      <w:pPr>
        <w:ind w:left="1020" w:hanging="221"/>
        <w:spacing w:after="0"/>
        <w:tabs>
          <w:tab w:leader="none" w:pos="1020" w:val="left"/>
        </w:tabs>
        <w:numPr>
          <w:ilvl w:val="0"/>
          <w:numId w:val="59"/>
        </w:numPr>
        <w:rPr>
          <w:rFonts w:ascii="Arial" w:cs="Arial" w:eastAsia="Arial" w:hAnsi="Arial"/>
          <w:sz w:val="16"/>
          <w:szCs w:val="16"/>
          <w:color w:val="auto"/>
        </w:rPr>
      </w:pPr>
      <w:r>
        <w:rPr>
          <w:rFonts w:ascii="Arial" w:cs="Arial" w:eastAsia="Arial" w:hAnsi="Arial"/>
          <w:sz w:val="16"/>
          <w:szCs w:val="16"/>
          <w:color w:val="auto"/>
        </w:rPr>
        <w:t>Our executive compensation program objectives;</w:t>
      </w:r>
    </w:p>
    <w:p>
      <w:pPr>
        <w:spacing w:after="0" w:line="194" w:lineRule="exact"/>
        <w:rPr>
          <w:rFonts w:ascii="Arial" w:cs="Arial" w:eastAsia="Arial" w:hAnsi="Arial"/>
          <w:sz w:val="16"/>
          <w:szCs w:val="16"/>
          <w:color w:val="auto"/>
        </w:rPr>
      </w:pPr>
    </w:p>
    <w:p>
      <w:pPr>
        <w:ind w:left="1040" w:right="440" w:hanging="241"/>
        <w:spacing w:after="0" w:line="264" w:lineRule="auto"/>
        <w:tabs>
          <w:tab w:leader="none" w:pos="1022" w:val="left"/>
        </w:tabs>
        <w:numPr>
          <w:ilvl w:val="0"/>
          <w:numId w:val="59"/>
        </w:numPr>
        <w:rPr>
          <w:rFonts w:ascii="Arial" w:cs="Arial" w:eastAsia="Arial" w:hAnsi="Arial"/>
          <w:sz w:val="16"/>
          <w:szCs w:val="16"/>
          <w:color w:val="auto"/>
        </w:rPr>
      </w:pPr>
      <w:r>
        <w:rPr>
          <w:rFonts w:ascii="Arial" w:cs="Arial" w:eastAsia="Arial" w:hAnsi="Arial"/>
          <w:sz w:val="16"/>
          <w:szCs w:val="16"/>
          <w:color w:val="auto"/>
        </w:rPr>
        <w:t>Our performance against the financial, operational, and strategic objectives established by the compensation committee and our board of directors;</w:t>
      </w:r>
    </w:p>
    <w:p>
      <w:pPr>
        <w:spacing w:after="0" w:line="148" w:lineRule="exact"/>
        <w:rPr>
          <w:rFonts w:ascii="Arial" w:cs="Arial" w:eastAsia="Arial" w:hAnsi="Arial"/>
          <w:sz w:val="16"/>
          <w:szCs w:val="16"/>
          <w:color w:val="auto"/>
        </w:rPr>
      </w:pPr>
    </w:p>
    <w:p>
      <w:pPr>
        <w:ind w:left="1040" w:right="520" w:hanging="241"/>
        <w:spacing w:after="0" w:line="258" w:lineRule="auto"/>
        <w:tabs>
          <w:tab w:leader="none" w:pos="1022" w:val="left"/>
        </w:tabs>
        <w:numPr>
          <w:ilvl w:val="0"/>
          <w:numId w:val="59"/>
        </w:numPr>
        <w:rPr>
          <w:rFonts w:ascii="Arial" w:cs="Arial" w:eastAsia="Arial" w:hAnsi="Arial"/>
          <w:sz w:val="16"/>
          <w:szCs w:val="16"/>
          <w:color w:val="auto"/>
        </w:rPr>
      </w:pPr>
      <w:r>
        <w:rPr>
          <w:rFonts w:ascii="Arial" w:cs="Arial" w:eastAsia="Arial" w:hAnsi="Arial"/>
          <w:sz w:val="16"/>
          <w:szCs w:val="16"/>
          <w:color w:val="auto"/>
        </w:rPr>
        <w:t>Each individual executive officer’s knowledge, skills, experience, qualifications, and tenure relative to other similarly-situated executives at the companies in our compensation peer group;</w:t>
      </w:r>
    </w:p>
    <w:p>
      <w:pPr>
        <w:spacing w:after="0" w:line="153" w:lineRule="exact"/>
        <w:rPr>
          <w:rFonts w:ascii="Arial" w:cs="Arial" w:eastAsia="Arial" w:hAnsi="Arial"/>
          <w:sz w:val="16"/>
          <w:szCs w:val="16"/>
          <w:color w:val="auto"/>
        </w:rPr>
      </w:pPr>
    </w:p>
    <w:p>
      <w:pPr>
        <w:ind w:left="1040" w:hanging="241"/>
        <w:spacing w:after="0" w:line="289" w:lineRule="auto"/>
        <w:tabs>
          <w:tab w:leader="none" w:pos="1020" w:val="left"/>
        </w:tabs>
        <w:numPr>
          <w:ilvl w:val="0"/>
          <w:numId w:val="59"/>
        </w:numPr>
        <w:rPr>
          <w:rFonts w:ascii="Arial" w:cs="Arial" w:eastAsia="Arial" w:hAnsi="Arial"/>
          <w:sz w:val="15"/>
          <w:szCs w:val="15"/>
          <w:color w:val="auto"/>
        </w:rPr>
      </w:pPr>
      <w:r>
        <w:rPr>
          <w:rFonts w:ascii="Arial" w:cs="Arial" w:eastAsia="Arial" w:hAnsi="Arial"/>
          <w:sz w:val="15"/>
          <w:szCs w:val="15"/>
          <w:color w:val="auto"/>
        </w:rPr>
        <w:t>The scope of each executive officer’s role and responsibilities compared to other similarly-situated executives at the companies in our compensation peer group;</w:t>
      </w:r>
    </w:p>
    <w:p>
      <w:pPr>
        <w:spacing w:after="0" w:line="132" w:lineRule="exact"/>
        <w:rPr>
          <w:rFonts w:ascii="Arial" w:cs="Arial" w:eastAsia="Arial" w:hAnsi="Arial"/>
          <w:sz w:val="15"/>
          <w:szCs w:val="15"/>
          <w:color w:val="auto"/>
        </w:rPr>
      </w:pPr>
    </w:p>
    <w:p>
      <w:pPr>
        <w:ind w:left="1040" w:right="100" w:hanging="241"/>
        <w:spacing w:after="0" w:line="255" w:lineRule="auto"/>
        <w:tabs>
          <w:tab w:leader="none" w:pos="1020" w:val="left"/>
        </w:tabs>
        <w:numPr>
          <w:ilvl w:val="0"/>
          <w:numId w:val="59"/>
        </w:numPr>
        <w:rPr>
          <w:rFonts w:ascii="Arial" w:cs="Arial" w:eastAsia="Arial" w:hAnsi="Arial"/>
          <w:sz w:val="16"/>
          <w:szCs w:val="16"/>
          <w:color w:val="auto"/>
        </w:rPr>
      </w:pPr>
      <w:r>
        <w:rPr>
          <w:rFonts w:ascii="Arial" w:cs="Arial" w:eastAsia="Arial" w:hAnsi="Arial"/>
          <w:sz w:val="16"/>
          <w:szCs w:val="16"/>
          <w:color w:val="auto"/>
        </w:rPr>
        <w:t>The prior performance of each individual executive officer, based on a subjective assessment of their contributions to our overall performance, ability to lead their business unit or function, and work as part of a team, all of which reflect our core values;</w:t>
      </w:r>
    </w:p>
    <w:p>
      <w:pPr>
        <w:spacing w:after="0" w:line="20" w:lineRule="exact"/>
        <w:rPr>
          <w:sz w:val="20"/>
          <w:szCs w:val="20"/>
          <w:color w:val="auto"/>
        </w:rPr>
      </w:pPr>
      <w:r>
        <w:rPr>
          <w:sz w:val="20"/>
          <w:szCs w:val="20"/>
          <w:color w:val="auto"/>
        </w:rPr>
        <w:br w:type="column"/>
      </w:r>
    </w:p>
    <w:p>
      <w:pPr>
        <w:spacing w:after="0" w:line="110" w:lineRule="exact"/>
        <w:rPr>
          <w:sz w:val="20"/>
          <w:szCs w:val="20"/>
          <w:color w:val="auto"/>
        </w:rPr>
      </w:pPr>
    </w:p>
    <w:p>
      <w:pPr>
        <w:ind w:left="228" w:right="840" w:hanging="228"/>
        <w:spacing w:after="0" w:line="264" w:lineRule="auto"/>
        <w:tabs>
          <w:tab w:leader="none" w:pos="208" w:val="left"/>
        </w:tabs>
        <w:numPr>
          <w:ilvl w:val="0"/>
          <w:numId w:val="60"/>
        </w:numPr>
        <w:rPr>
          <w:rFonts w:ascii="Arial" w:cs="Arial" w:eastAsia="Arial" w:hAnsi="Arial"/>
          <w:sz w:val="16"/>
          <w:szCs w:val="16"/>
          <w:color w:val="auto"/>
        </w:rPr>
      </w:pPr>
      <w:r>
        <w:rPr>
          <w:rFonts w:ascii="Arial" w:cs="Arial" w:eastAsia="Arial" w:hAnsi="Arial"/>
          <w:sz w:val="16"/>
          <w:szCs w:val="16"/>
          <w:color w:val="auto"/>
        </w:rPr>
        <w:t>The potential of each individual executive officer to contribute to our long-term financial, operational, and strategic objectives;</w:t>
      </w:r>
    </w:p>
    <w:p>
      <w:pPr>
        <w:spacing w:after="0" w:line="148" w:lineRule="exact"/>
        <w:rPr>
          <w:rFonts w:ascii="Arial" w:cs="Arial" w:eastAsia="Arial" w:hAnsi="Arial"/>
          <w:sz w:val="16"/>
          <w:szCs w:val="16"/>
          <w:color w:val="auto"/>
        </w:rPr>
      </w:pPr>
    </w:p>
    <w:p>
      <w:pPr>
        <w:ind w:left="228" w:right="940" w:hanging="228"/>
        <w:spacing w:after="0" w:line="264" w:lineRule="auto"/>
        <w:tabs>
          <w:tab w:leader="none" w:pos="210" w:val="left"/>
        </w:tabs>
        <w:numPr>
          <w:ilvl w:val="0"/>
          <w:numId w:val="60"/>
        </w:numPr>
        <w:rPr>
          <w:rFonts w:ascii="Arial" w:cs="Arial" w:eastAsia="Arial" w:hAnsi="Arial"/>
          <w:sz w:val="16"/>
          <w:szCs w:val="16"/>
          <w:color w:val="auto"/>
        </w:rPr>
      </w:pPr>
      <w:r>
        <w:rPr>
          <w:rFonts w:ascii="Arial" w:cs="Arial" w:eastAsia="Arial" w:hAnsi="Arial"/>
          <w:sz w:val="16"/>
          <w:szCs w:val="16"/>
          <w:color w:val="auto"/>
        </w:rPr>
        <w:t>Our chief executive officer’s compensation relative to that of our executive officers, and compensation parity among our executive officers;</w:t>
      </w:r>
    </w:p>
    <w:p>
      <w:pPr>
        <w:spacing w:after="0" w:line="148" w:lineRule="exact"/>
        <w:rPr>
          <w:rFonts w:ascii="Arial" w:cs="Arial" w:eastAsia="Arial" w:hAnsi="Arial"/>
          <w:sz w:val="16"/>
          <w:szCs w:val="16"/>
          <w:color w:val="auto"/>
        </w:rPr>
      </w:pPr>
    </w:p>
    <w:p>
      <w:pPr>
        <w:ind w:left="228" w:right="1520" w:hanging="228"/>
        <w:spacing w:after="0" w:line="281" w:lineRule="auto"/>
        <w:tabs>
          <w:tab w:leader="none" w:pos="210" w:val="left"/>
        </w:tabs>
        <w:numPr>
          <w:ilvl w:val="0"/>
          <w:numId w:val="60"/>
        </w:numPr>
        <w:rPr>
          <w:rFonts w:ascii="Arial" w:cs="Arial" w:eastAsia="Arial" w:hAnsi="Arial"/>
          <w:sz w:val="16"/>
          <w:szCs w:val="16"/>
          <w:color w:val="auto"/>
        </w:rPr>
      </w:pPr>
      <w:r>
        <w:rPr>
          <w:rFonts w:ascii="Arial" w:cs="Arial" w:eastAsia="Arial" w:hAnsi="Arial"/>
          <w:sz w:val="16"/>
          <w:szCs w:val="16"/>
          <w:color w:val="auto"/>
        </w:rPr>
        <w:t>Our financial performance and profile relative to our compensation peers;</w:t>
      </w:r>
    </w:p>
    <w:p>
      <w:pPr>
        <w:spacing w:after="0" w:line="136" w:lineRule="exact"/>
        <w:rPr>
          <w:rFonts w:ascii="Arial" w:cs="Arial" w:eastAsia="Arial" w:hAnsi="Arial"/>
          <w:sz w:val="16"/>
          <w:szCs w:val="16"/>
          <w:color w:val="auto"/>
        </w:rPr>
      </w:pPr>
    </w:p>
    <w:p>
      <w:pPr>
        <w:jc w:val="both"/>
        <w:ind w:left="228" w:right="860" w:hanging="228"/>
        <w:spacing w:after="0" w:line="258" w:lineRule="auto"/>
        <w:tabs>
          <w:tab w:leader="none" w:pos="208" w:val="left"/>
        </w:tabs>
        <w:numPr>
          <w:ilvl w:val="0"/>
          <w:numId w:val="60"/>
        </w:numPr>
        <w:rPr>
          <w:rFonts w:ascii="Arial" w:cs="Arial" w:eastAsia="Arial" w:hAnsi="Arial"/>
          <w:sz w:val="16"/>
          <w:szCs w:val="16"/>
          <w:color w:val="auto"/>
        </w:rPr>
      </w:pPr>
      <w:r>
        <w:rPr>
          <w:rFonts w:ascii="Arial" w:cs="Arial" w:eastAsia="Arial" w:hAnsi="Arial"/>
          <w:sz w:val="16"/>
          <w:szCs w:val="16"/>
          <w:color w:val="auto"/>
        </w:rPr>
        <w:t>The compensation practices of our compensation peer group and the positioning of each executive officer’s compensation in a ranking of peer company compensation levels based on an analysis of competitive market data; and</w:t>
      </w:r>
    </w:p>
    <w:p>
      <w:pPr>
        <w:spacing w:after="0" w:line="153" w:lineRule="exact"/>
        <w:rPr>
          <w:rFonts w:ascii="Arial" w:cs="Arial" w:eastAsia="Arial" w:hAnsi="Arial"/>
          <w:sz w:val="16"/>
          <w:szCs w:val="16"/>
          <w:color w:val="auto"/>
        </w:rPr>
      </w:pPr>
    </w:p>
    <w:p>
      <w:pPr>
        <w:jc w:val="both"/>
        <w:ind w:left="228" w:right="1220" w:hanging="228"/>
        <w:spacing w:after="0" w:line="281" w:lineRule="auto"/>
        <w:tabs>
          <w:tab w:leader="none" w:pos="208" w:val="left"/>
        </w:tabs>
        <w:numPr>
          <w:ilvl w:val="0"/>
          <w:numId w:val="60"/>
        </w:numPr>
        <w:rPr>
          <w:rFonts w:ascii="Arial" w:cs="Arial" w:eastAsia="Arial" w:hAnsi="Arial"/>
          <w:sz w:val="16"/>
          <w:szCs w:val="16"/>
          <w:color w:val="auto"/>
        </w:rPr>
      </w:pPr>
      <w:r>
        <w:rPr>
          <w:rFonts w:ascii="Arial" w:cs="Arial" w:eastAsia="Arial" w:hAnsi="Arial"/>
          <w:sz w:val="16"/>
          <w:szCs w:val="16"/>
          <w:color w:val="auto"/>
        </w:rPr>
        <w:t>The recommendations of our chief executive officer with respect to the compensation of other executive officers.</w:t>
      </w:r>
    </w:p>
    <w:p>
      <w:pPr>
        <w:spacing w:after="0" w:line="539" w:lineRule="exact"/>
        <w:rPr>
          <w:sz w:val="20"/>
          <w:szCs w:val="20"/>
          <w:color w:val="auto"/>
        </w:rPr>
      </w:pPr>
    </w:p>
    <w:p>
      <w:pPr>
        <w:sectPr>
          <w:pgSz w:w="11900" w:h="16838" w:orient="portrait"/>
          <w:cols w:equalWidth="0" w:num="2">
            <w:col w:w="5360" w:space="272"/>
            <w:col w:w="5388"/>
          </w:cols>
          <w:pgMar w:left="440" w:top="263" w:right="439" w:bottom="1440" w:gutter="0" w:footer="0" w:header="0"/>
          <w:type w:val="continuous"/>
        </w:sectPr>
      </w:pPr>
    </w:p>
    <w:p>
      <w:pPr>
        <w:ind w:left="720" w:right="780"/>
        <w:spacing w:after="0" w:line="286" w:lineRule="auto"/>
        <w:rPr>
          <w:sz w:val="20"/>
          <w:szCs w:val="20"/>
          <w:color w:val="auto"/>
        </w:rPr>
      </w:pPr>
      <w:r>
        <w:rPr>
          <w:rFonts w:ascii="Arial" w:cs="Arial" w:eastAsia="Arial" w:hAnsi="Arial"/>
          <w:sz w:val="16"/>
          <w:szCs w:val="16"/>
          <w:color w:val="auto"/>
        </w:rPr>
        <w:t>These factors provide the framework for compensation decision-making for each executive officer. No single factor is determinative in setting compensation levels, nor is the impact of any individual factor on the determination of pay levels quantifiable.</w:t>
      </w:r>
    </w:p>
    <w:p>
      <w:pPr>
        <w:spacing w:after="0" w:line="102" w:lineRule="exact"/>
        <w:rPr>
          <w:sz w:val="20"/>
          <w:szCs w:val="20"/>
          <w:color w:val="auto"/>
        </w:rPr>
      </w:pPr>
    </w:p>
    <w:p>
      <w:pPr>
        <w:ind w:left="720" w:right="780"/>
        <w:spacing w:after="0" w:line="259" w:lineRule="auto"/>
        <w:rPr>
          <w:sz w:val="20"/>
          <w:szCs w:val="20"/>
          <w:color w:val="auto"/>
        </w:rPr>
      </w:pPr>
      <w:r>
        <w:rPr>
          <w:rFonts w:ascii="Arial" w:cs="Arial" w:eastAsia="Arial" w:hAnsi="Arial"/>
          <w:sz w:val="16"/>
          <w:szCs w:val="16"/>
          <w:color w:val="auto"/>
        </w:rPr>
        <w:t>We do not weight these factors in any predetermined manner, nor do we apply any formulas in developing our compensation recommendations. The members of the compensation committee consider all of this information in light of their individual experience, knowledge of management, knowledge of the competitive market, knowledge of each executive officer, and business judgment in making their recommendations.</w:t>
      </w:r>
    </w:p>
    <w:p>
      <w:pPr>
        <w:spacing w:after="0" w:line="124" w:lineRule="exact"/>
        <w:rPr>
          <w:sz w:val="20"/>
          <w:szCs w:val="20"/>
          <w:color w:val="auto"/>
        </w:rPr>
      </w:pPr>
    </w:p>
    <w:p>
      <w:pPr>
        <w:ind w:left="720" w:right="800"/>
        <w:spacing w:after="0" w:line="259" w:lineRule="auto"/>
        <w:rPr>
          <w:sz w:val="20"/>
          <w:szCs w:val="20"/>
          <w:color w:val="auto"/>
        </w:rPr>
      </w:pPr>
      <w:r>
        <w:rPr>
          <w:rFonts w:ascii="Arial" w:cs="Arial" w:eastAsia="Arial" w:hAnsi="Arial"/>
          <w:sz w:val="16"/>
          <w:szCs w:val="16"/>
          <w:color w:val="auto"/>
        </w:rPr>
        <w:t>In addition, the compensation committee considered feedback from our stockholders and the result of our first Say on Pay vote. Our fiscal 2021 Say on Pay vote reflected 96.2% support from our stockholders, based on the percentage of shares voted. The compensation committee believes this indicates that our stockholders support the philosophy, strategy, objectives, and administration of our executive compensation programs.</w:t>
      </w:r>
    </w:p>
    <w:p>
      <w:pPr>
        <w:spacing w:after="0" w:line="124" w:lineRule="exact"/>
        <w:rPr>
          <w:sz w:val="20"/>
          <w:szCs w:val="20"/>
          <w:color w:val="auto"/>
        </w:rPr>
      </w:pPr>
    </w:p>
    <w:p>
      <w:pPr>
        <w:jc w:val="both"/>
        <w:ind w:left="720" w:right="760"/>
        <w:spacing w:after="0" w:line="266" w:lineRule="auto"/>
        <w:rPr>
          <w:sz w:val="20"/>
          <w:szCs w:val="20"/>
          <w:color w:val="auto"/>
        </w:rPr>
      </w:pPr>
      <w:r>
        <w:rPr>
          <w:rFonts w:ascii="Arial" w:cs="Arial" w:eastAsia="Arial" w:hAnsi="Arial"/>
          <w:sz w:val="16"/>
          <w:szCs w:val="16"/>
          <w:color w:val="auto"/>
        </w:rPr>
        <w:t>We also consider the potential risks in our business when designing and administering our executive compensation program, and we believe our balanced approach to performance measurement and pay delivery serves to avoid misaligned incentives for individuals to undertake excessive or inappropriate risk.</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35</w:t>
            </w:r>
          </w:p>
        </w:tc>
      </w:tr>
      <w:tr>
        <w:trPr>
          <w:trHeight w:val="158"/>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type w:val="continuous"/>
        </w:sectPr>
      </w:pPr>
    </w:p>
    <w:bookmarkStart w:id="39" w:name="page40"/>
    <w:bookmarkEnd w:id="39"/>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384" w:lineRule="exact"/>
        <w:rPr>
          <w:sz w:val="20"/>
          <w:szCs w:val="20"/>
          <w:color w:val="auto"/>
        </w:rPr>
      </w:pPr>
    </w:p>
    <w:p>
      <w:pPr>
        <w:ind w:left="4"/>
        <w:spacing w:after="0"/>
        <w:rPr>
          <w:sz w:val="20"/>
          <w:szCs w:val="20"/>
          <w:color w:val="auto"/>
        </w:rPr>
      </w:pPr>
      <w:r>
        <w:rPr>
          <w:rFonts w:ascii="Arial" w:cs="Arial" w:eastAsia="Arial" w:hAnsi="Arial"/>
          <w:sz w:val="26"/>
          <w:szCs w:val="26"/>
          <w:color w:val="0063A6"/>
        </w:rPr>
        <w:t>Compensation Elements</w:t>
      </w:r>
    </w:p>
    <w:p>
      <w:pPr>
        <w:spacing w:after="0" w:line="206" w:lineRule="exact"/>
        <w:rPr>
          <w:sz w:val="20"/>
          <w:szCs w:val="20"/>
          <w:color w:val="auto"/>
        </w:rPr>
      </w:pPr>
    </w:p>
    <w:p>
      <w:pPr>
        <w:ind w:left="4"/>
        <w:spacing w:after="0"/>
        <w:rPr>
          <w:sz w:val="20"/>
          <w:szCs w:val="20"/>
          <w:color w:val="auto"/>
        </w:rPr>
      </w:pPr>
      <w:r>
        <w:rPr>
          <w:rFonts w:ascii="Arial" w:cs="Arial" w:eastAsia="Arial" w:hAnsi="Arial"/>
          <w:sz w:val="16"/>
          <w:szCs w:val="16"/>
          <w:color w:val="auto"/>
        </w:rPr>
        <w:t>In 2021, the principal elements of our executive compensation program, and the purposes for each element, were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55245</wp:posOffset>
            </wp:positionV>
            <wp:extent cx="6077585" cy="20231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077585" cy="2023110"/>
                    </a:xfrm>
                    <a:prstGeom prst="rect">
                      <a:avLst/>
                    </a:prstGeom>
                    <a:noFill/>
                  </pic:spPr>
                </pic:pic>
              </a:graphicData>
            </a:graphic>
          </wp:anchor>
        </w:drawing>
      </w:r>
    </w:p>
    <w:p>
      <w:pPr>
        <w:spacing w:after="0" w:line="67" w:lineRule="exact"/>
        <w:rPr>
          <w:sz w:val="20"/>
          <w:szCs w:val="20"/>
          <w:color w:val="auto"/>
        </w:rPr>
      </w:pPr>
    </w:p>
    <w:tbl>
      <w:tblPr>
        <w:tblLayout w:type="fixed"/>
        <w:tblInd w:w="4" w:type="dxa"/>
        <w:tblCellMar>
          <w:top w:w="0" w:type="dxa"/>
          <w:left w:w="0" w:type="dxa"/>
          <w:bottom w:w="0" w:type="dxa"/>
          <w:right w:w="0" w:type="dxa"/>
        </w:tblCellMar>
      </w:tblPr>
      <w:tr>
        <w:trPr>
          <w:trHeight w:val="295"/>
        </w:trPr>
        <w:tc>
          <w:tcPr>
            <w:tcW w:w="1960" w:type="dxa"/>
            <w:vAlign w:val="bottom"/>
            <w:shd w:val="clear" w:color="auto" w:fill="0063A6"/>
          </w:tcPr>
          <w:p>
            <w:pPr>
              <w:ind w:left="80"/>
              <w:spacing w:after="0"/>
              <w:rPr>
                <w:sz w:val="20"/>
                <w:szCs w:val="20"/>
                <w:color w:val="auto"/>
              </w:rPr>
            </w:pPr>
            <w:r>
              <w:rPr>
                <w:rFonts w:ascii="Arial" w:cs="Arial" w:eastAsia="Arial" w:hAnsi="Arial"/>
                <w:sz w:val="14"/>
                <w:szCs w:val="14"/>
                <w:b w:val="1"/>
                <w:bCs w:val="1"/>
                <w:color w:val="FFFFFF"/>
              </w:rPr>
              <w:t>Element</w:t>
            </w:r>
          </w:p>
        </w:tc>
        <w:tc>
          <w:tcPr>
            <w:tcW w:w="1680" w:type="dxa"/>
            <w:vAlign w:val="bottom"/>
            <w:shd w:val="clear" w:color="auto" w:fill="0063A6"/>
          </w:tcPr>
          <w:p>
            <w:pPr>
              <w:ind w:left="140"/>
              <w:spacing w:after="0"/>
              <w:rPr>
                <w:sz w:val="20"/>
                <w:szCs w:val="20"/>
                <w:color w:val="auto"/>
              </w:rPr>
            </w:pPr>
            <w:r>
              <w:rPr>
                <w:rFonts w:ascii="Arial" w:cs="Arial" w:eastAsia="Arial" w:hAnsi="Arial"/>
                <w:sz w:val="14"/>
                <w:szCs w:val="14"/>
                <w:b w:val="1"/>
                <w:bCs w:val="1"/>
                <w:color w:val="FFFFFF"/>
              </w:rPr>
              <w:t>Type of Element</w:t>
            </w:r>
          </w:p>
        </w:tc>
        <w:tc>
          <w:tcPr>
            <w:tcW w:w="2240" w:type="dxa"/>
            <w:vAlign w:val="bottom"/>
            <w:shd w:val="clear" w:color="auto" w:fill="0063A6"/>
          </w:tcPr>
          <w:p>
            <w:pPr>
              <w:ind w:left="440"/>
              <w:spacing w:after="0"/>
              <w:rPr>
                <w:sz w:val="20"/>
                <w:szCs w:val="20"/>
                <w:color w:val="auto"/>
              </w:rPr>
            </w:pPr>
            <w:r>
              <w:rPr>
                <w:rFonts w:ascii="Arial" w:cs="Arial" w:eastAsia="Arial" w:hAnsi="Arial"/>
                <w:sz w:val="14"/>
                <w:szCs w:val="14"/>
                <w:b w:val="1"/>
                <w:bCs w:val="1"/>
                <w:color w:val="FFFFFF"/>
              </w:rPr>
              <w:t>Compensation Element</w:t>
            </w:r>
          </w:p>
        </w:tc>
        <w:tc>
          <w:tcPr>
            <w:tcW w:w="3680" w:type="dxa"/>
            <w:vAlign w:val="bottom"/>
            <w:shd w:val="clear" w:color="auto" w:fill="0063A6"/>
          </w:tcPr>
          <w:p>
            <w:pPr>
              <w:ind w:left="200"/>
              <w:spacing w:after="0"/>
              <w:rPr>
                <w:sz w:val="20"/>
                <w:szCs w:val="20"/>
                <w:color w:val="auto"/>
              </w:rPr>
            </w:pPr>
            <w:r>
              <w:rPr>
                <w:rFonts w:ascii="Arial" w:cs="Arial" w:eastAsia="Arial" w:hAnsi="Arial"/>
                <w:sz w:val="14"/>
                <w:szCs w:val="14"/>
                <w:b w:val="1"/>
                <w:bCs w:val="1"/>
                <w:color w:val="FFFFFF"/>
              </w:rPr>
              <w:t>Objective</w:t>
            </w:r>
          </w:p>
        </w:tc>
      </w:tr>
      <w:tr>
        <w:trPr>
          <w:trHeight w:val="69"/>
        </w:trPr>
        <w:tc>
          <w:tcPr>
            <w:tcW w:w="1960" w:type="dxa"/>
            <w:vAlign w:val="bottom"/>
            <w:shd w:val="clear" w:color="auto" w:fill="0063A6"/>
          </w:tcPr>
          <w:p>
            <w:pPr>
              <w:spacing w:after="0"/>
              <w:rPr>
                <w:sz w:val="6"/>
                <w:szCs w:val="6"/>
                <w:color w:val="auto"/>
              </w:rPr>
            </w:pPr>
          </w:p>
        </w:tc>
        <w:tc>
          <w:tcPr>
            <w:tcW w:w="1680" w:type="dxa"/>
            <w:vAlign w:val="bottom"/>
            <w:shd w:val="clear" w:color="auto" w:fill="0063A6"/>
          </w:tcPr>
          <w:p>
            <w:pPr>
              <w:spacing w:after="0"/>
              <w:rPr>
                <w:sz w:val="6"/>
                <w:szCs w:val="6"/>
                <w:color w:val="auto"/>
              </w:rPr>
            </w:pPr>
          </w:p>
        </w:tc>
        <w:tc>
          <w:tcPr>
            <w:tcW w:w="2240" w:type="dxa"/>
            <w:vAlign w:val="bottom"/>
            <w:shd w:val="clear" w:color="auto" w:fill="0063A6"/>
          </w:tcPr>
          <w:p>
            <w:pPr>
              <w:spacing w:after="0"/>
              <w:rPr>
                <w:sz w:val="6"/>
                <w:szCs w:val="6"/>
                <w:color w:val="auto"/>
              </w:rPr>
            </w:pPr>
          </w:p>
        </w:tc>
        <w:tc>
          <w:tcPr>
            <w:tcW w:w="3680" w:type="dxa"/>
            <w:vAlign w:val="bottom"/>
            <w:shd w:val="clear" w:color="auto" w:fill="0063A6"/>
          </w:tcPr>
          <w:p>
            <w:pPr>
              <w:spacing w:after="0"/>
              <w:rPr>
                <w:sz w:val="6"/>
                <w:szCs w:val="6"/>
                <w:color w:val="auto"/>
              </w:rPr>
            </w:pPr>
          </w:p>
        </w:tc>
      </w:tr>
      <w:tr>
        <w:trPr>
          <w:trHeight w:val="269"/>
        </w:trPr>
        <w:tc>
          <w:tcPr>
            <w:tcW w:w="1960" w:type="dxa"/>
            <w:vAlign w:val="bottom"/>
            <w:shd w:val="clear" w:color="auto" w:fill="F2F2F2"/>
          </w:tcPr>
          <w:p>
            <w:pPr>
              <w:ind w:left="80"/>
              <w:spacing w:after="0"/>
              <w:rPr>
                <w:sz w:val="20"/>
                <w:szCs w:val="20"/>
                <w:color w:val="auto"/>
              </w:rPr>
            </w:pPr>
            <w:r>
              <w:rPr>
                <w:rFonts w:ascii="Arial" w:cs="Arial" w:eastAsia="Arial" w:hAnsi="Arial"/>
                <w:sz w:val="16"/>
                <w:szCs w:val="16"/>
                <w:color w:val="auto"/>
              </w:rPr>
              <w:t>Base Salary</w:t>
            </w:r>
          </w:p>
        </w:tc>
        <w:tc>
          <w:tcPr>
            <w:tcW w:w="1680" w:type="dxa"/>
            <w:vAlign w:val="bottom"/>
            <w:shd w:val="clear" w:color="auto" w:fill="F2F2F2"/>
          </w:tcPr>
          <w:p>
            <w:pPr>
              <w:ind w:left="140"/>
              <w:spacing w:after="0"/>
              <w:rPr>
                <w:sz w:val="20"/>
                <w:szCs w:val="20"/>
                <w:color w:val="auto"/>
              </w:rPr>
            </w:pPr>
            <w:r>
              <w:rPr>
                <w:rFonts w:ascii="Arial" w:cs="Arial" w:eastAsia="Arial" w:hAnsi="Arial"/>
                <w:sz w:val="16"/>
                <w:szCs w:val="16"/>
                <w:color w:val="auto"/>
              </w:rPr>
              <w:t>Fixed</w:t>
            </w:r>
          </w:p>
        </w:tc>
        <w:tc>
          <w:tcPr>
            <w:tcW w:w="2240" w:type="dxa"/>
            <w:vAlign w:val="bottom"/>
            <w:shd w:val="clear" w:color="auto" w:fill="F2F2F2"/>
          </w:tcPr>
          <w:p>
            <w:pPr>
              <w:ind w:left="440"/>
              <w:spacing w:after="0"/>
              <w:rPr>
                <w:sz w:val="20"/>
                <w:szCs w:val="20"/>
                <w:color w:val="auto"/>
              </w:rPr>
            </w:pPr>
            <w:r>
              <w:rPr>
                <w:rFonts w:ascii="Arial" w:cs="Arial" w:eastAsia="Arial" w:hAnsi="Arial"/>
                <w:sz w:val="16"/>
                <w:szCs w:val="16"/>
                <w:color w:val="auto"/>
              </w:rPr>
              <w:t>Cash</w:t>
            </w:r>
          </w:p>
        </w:tc>
        <w:tc>
          <w:tcPr>
            <w:tcW w:w="3680" w:type="dxa"/>
            <w:vAlign w:val="bottom"/>
            <w:shd w:val="clear" w:color="auto" w:fill="F2F2F2"/>
          </w:tcPr>
          <w:p>
            <w:pPr>
              <w:ind w:left="200"/>
              <w:spacing w:after="0"/>
              <w:rPr>
                <w:sz w:val="20"/>
                <w:szCs w:val="20"/>
                <w:color w:val="auto"/>
              </w:rPr>
            </w:pPr>
            <w:r>
              <w:rPr>
                <w:rFonts w:ascii="Arial" w:cs="Arial" w:eastAsia="Arial" w:hAnsi="Arial"/>
                <w:sz w:val="16"/>
                <w:szCs w:val="16"/>
                <w:color w:val="auto"/>
              </w:rPr>
              <w:t>Attract and retain highly talented executives by</w:t>
            </w:r>
          </w:p>
        </w:tc>
      </w:tr>
      <w:tr>
        <w:trPr>
          <w:trHeight w:val="189"/>
        </w:trPr>
        <w:tc>
          <w:tcPr>
            <w:tcW w:w="1960" w:type="dxa"/>
            <w:vAlign w:val="bottom"/>
            <w:shd w:val="clear" w:color="auto" w:fill="F2F2F2"/>
          </w:tcPr>
          <w:p>
            <w:pPr>
              <w:spacing w:after="0"/>
              <w:rPr>
                <w:sz w:val="16"/>
                <w:szCs w:val="16"/>
                <w:color w:val="auto"/>
              </w:rPr>
            </w:pPr>
          </w:p>
        </w:tc>
        <w:tc>
          <w:tcPr>
            <w:tcW w:w="1680" w:type="dxa"/>
            <w:vAlign w:val="bottom"/>
            <w:shd w:val="clear" w:color="auto" w:fill="F2F2F2"/>
          </w:tcPr>
          <w:p>
            <w:pPr>
              <w:spacing w:after="0"/>
              <w:rPr>
                <w:sz w:val="16"/>
                <w:szCs w:val="16"/>
                <w:color w:val="auto"/>
              </w:rPr>
            </w:pPr>
          </w:p>
        </w:tc>
        <w:tc>
          <w:tcPr>
            <w:tcW w:w="2240" w:type="dxa"/>
            <w:vAlign w:val="bottom"/>
            <w:shd w:val="clear" w:color="auto" w:fill="F2F2F2"/>
          </w:tcPr>
          <w:p>
            <w:pPr>
              <w:spacing w:after="0"/>
              <w:rPr>
                <w:sz w:val="16"/>
                <w:szCs w:val="16"/>
                <w:color w:val="auto"/>
              </w:rPr>
            </w:pPr>
          </w:p>
        </w:tc>
        <w:tc>
          <w:tcPr>
            <w:tcW w:w="3680" w:type="dxa"/>
            <w:vAlign w:val="bottom"/>
            <w:shd w:val="clear" w:color="auto" w:fill="F2F2F2"/>
          </w:tcPr>
          <w:p>
            <w:pPr>
              <w:ind w:left="200"/>
              <w:spacing w:after="0"/>
              <w:rPr>
                <w:sz w:val="20"/>
                <w:szCs w:val="20"/>
                <w:color w:val="auto"/>
              </w:rPr>
            </w:pPr>
            <w:r>
              <w:rPr>
                <w:rFonts w:ascii="Arial" w:cs="Arial" w:eastAsia="Arial" w:hAnsi="Arial"/>
                <w:sz w:val="16"/>
                <w:szCs w:val="16"/>
                <w:color w:val="auto"/>
              </w:rPr>
              <w:t>providing fixed compensation amounts that are</w:t>
            </w:r>
          </w:p>
        </w:tc>
      </w:tr>
      <w:tr>
        <w:trPr>
          <w:trHeight w:val="189"/>
        </w:trPr>
        <w:tc>
          <w:tcPr>
            <w:tcW w:w="1960" w:type="dxa"/>
            <w:vAlign w:val="bottom"/>
            <w:shd w:val="clear" w:color="auto" w:fill="F2F2F2"/>
          </w:tcPr>
          <w:p>
            <w:pPr>
              <w:spacing w:after="0"/>
              <w:rPr>
                <w:sz w:val="16"/>
                <w:szCs w:val="16"/>
                <w:color w:val="auto"/>
              </w:rPr>
            </w:pPr>
          </w:p>
        </w:tc>
        <w:tc>
          <w:tcPr>
            <w:tcW w:w="1680" w:type="dxa"/>
            <w:vAlign w:val="bottom"/>
            <w:shd w:val="clear" w:color="auto" w:fill="F2F2F2"/>
          </w:tcPr>
          <w:p>
            <w:pPr>
              <w:spacing w:after="0"/>
              <w:rPr>
                <w:sz w:val="16"/>
                <w:szCs w:val="16"/>
                <w:color w:val="auto"/>
              </w:rPr>
            </w:pPr>
          </w:p>
        </w:tc>
        <w:tc>
          <w:tcPr>
            <w:tcW w:w="2240" w:type="dxa"/>
            <w:vAlign w:val="bottom"/>
            <w:shd w:val="clear" w:color="auto" w:fill="F2F2F2"/>
          </w:tcPr>
          <w:p>
            <w:pPr>
              <w:spacing w:after="0"/>
              <w:rPr>
                <w:sz w:val="16"/>
                <w:szCs w:val="16"/>
                <w:color w:val="auto"/>
              </w:rPr>
            </w:pPr>
          </w:p>
        </w:tc>
        <w:tc>
          <w:tcPr>
            <w:tcW w:w="3680" w:type="dxa"/>
            <w:vAlign w:val="bottom"/>
            <w:shd w:val="clear" w:color="auto" w:fill="F2F2F2"/>
          </w:tcPr>
          <w:p>
            <w:pPr>
              <w:ind w:left="200"/>
              <w:spacing w:after="0"/>
              <w:rPr>
                <w:sz w:val="20"/>
                <w:szCs w:val="20"/>
                <w:color w:val="auto"/>
              </w:rPr>
            </w:pPr>
            <w:r>
              <w:rPr>
                <w:rFonts w:ascii="Arial" w:cs="Arial" w:eastAsia="Arial" w:hAnsi="Arial"/>
                <w:sz w:val="16"/>
                <w:szCs w:val="16"/>
                <w:color w:val="auto"/>
              </w:rPr>
              <w:t>competitive in the market and reward</w:t>
            </w:r>
          </w:p>
        </w:tc>
      </w:tr>
      <w:tr>
        <w:trPr>
          <w:trHeight w:val="215"/>
        </w:trPr>
        <w:tc>
          <w:tcPr>
            <w:tcW w:w="1960" w:type="dxa"/>
            <w:vAlign w:val="bottom"/>
            <w:shd w:val="clear" w:color="auto" w:fill="F2F2F2"/>
          </w:tcPr>
          <w:p>
            <w:pPr>
              <w:spacing w:after="0"/>
              <w:rPr>
                <w:sz w:val="18"/>
                <w:szCs w:val="18"/>
                <w:color w:val="auto"/>
              </w:rPr>
            </w:pPr>
          </w:p>
        </w:tc>
        <w:tc>
          <w:tcPr>
            <w:tcW w:w="1680" w:type="dxa"/>
            <w:vAlign w:val="bottom"/>
            <w:shd w:val="clear" w:color="auto" w:fill="F2F2F2"/>
          </w:tcPr>
          <w:p>
            <w:pPr>
              <w:spacing w:after="0"/>
              <w:rPr>
                <w:sz w:val="18"/>
                <w:szCs w:val="18"/>
                <w:color w:val="auto"/>
              </w:rPr>
            </w:pPr>
          </w:p>
        </w:tc>
        <w:tc>
          <w:tcPr>
            <w:tcW w:w="2240" w:type="dxa"/>
            <w:vAlign w:val="bottom"/>
            <w:shd w:val="clear" w:color="auto" w:fill="F2F2F2"/>
          </w:tcPr>
          <w:p>
            <w:pPr>
              <w:spacing w:after="0"/>
              <w:rPr>
                <w:sz w:val="18"/>
                <w:szCs w:val="18"/>
                <w:color w:val="auto"/>
              </w:rPr>
            </w:pPr>
          </w:p>
        </w:tc>
        <w:tc>
          <w:tcPr>
            <w:tcW w:w="3680" w:type="dxa"/>
            <w:vAlign w:val="bottom"/>
            <w:shd w:val="clear" w:color="auto" w:fill="F2F2F2"/>
          </w:tcPr>
          <w:p>
            <w:pPr>
              <w:ind w:left="200"/>
              <w:spacing w:after="0"/>
              <w:rPr>
                <w:sz w:val="20"/>
                <w:szCs w:val="20"/>
                <w:color w:val="auto"/>
              </w:rPr>
            </w:pPr>
            <w:r>
              <w:rPr>
                <w:rFonts w:ascii="Arial" w:cs="Arial" w:eastAsia="Arial" w:hAnsi="Arial"/>
                <w:sz w:val="16"/>
                <w:szCs w:val="16"/>
                <w:color w:val="auto"/>
              </w:rPr>
              <w:t>performance.</w:t>
            </w:r>
          </w:p>
        </w:tc>
      </w:tr>
      <w:tr>
        <w:trPr>
          <w:trHeight w:val="83"/>
        </w:trPr>
        <w:tc>
          <w:tcPr>
            <w:tcW w:w="1960" w:type="dxa"/>
            <w:vAlign w:val="bottom"/>
            <w:shd w:val="clear" w:color="auto" w:fill="F2F2F2"/>
          </w:tcPr>
          <w:p>
            <w:pPr>
              <w:spacing w:after="0"/>
              <w:rPr>
                <w:sz w:val="7"/>
                <w:szCs w:val="7"/>
                <w:color w:val="auto"/>
              </w:rPr>
            </w:pPr>
          </w:p>
        </w:tc>
        <w:tc>
          <w:tcPr>
            <w:tcW w:w="1680" w:type="dxa"/>
            <w:vAlign w:val="bottom"/>
            <w:shd w:val="clear" w:color="auto" w:fill="F2F2F2"/>
          </w:tcPr>
          <w:p>
            <w:pPr>
              <w:spacing w:after="0"/>
              <w:rPr>
                <w:sz w:val="7"/>
                <w:szCs w:val="7"/>
                <w:color w:val="auto"/>
              </w:rPr>
            </w:pPr>
          </w:p>
        </w:tc>
        <w:tc>
          <w:tcPr>
            <w:tcW w:w="2240" w:type="dxa"/>
            <w:vAlign w:val="bottom"/>
            <w:shd w:val="clear" w:color="auto" w:fill="F2F2F2"/>
          </w:tcPr>
          <w:p>
            <w:pPr>
              <w:spacing w:after="0"/>
              <w:rPr>
                <w:sz w:val="7"/>
                <w:szCs w:val="7"/>
                <w:color w:val="auto"/>
              </w:rPr>
            </w:pPr>
          </w:p>
        </w:tc>
        <w:tc>
          <w:tcPr>
            <w:tcW w:w="3680" w:type="dxa"/>
            <w:vAlign w:val="bottom"/>
            <w:shd w:val="clear" w:color="auto" w:fill="F2F2F2"/>
          </w:tcPr>
          <w:p>
            <w:pPr>
              <w:spacing w:after="0"/>
              <w:rPr>
                <w:sz w:val="7"/>
                <w:szCs w:val="7"/>
                <w:color w:val="auto"/>
              </w:rPr>
            </w:pPr>
          </w:p>
        </w:tc>
      </w:tr>
      <w:tr>
        <w:trPr>
          <w:trHeight w:val="269"/>
        </w:trPr>
        <w:tc>
          <w:tcPr>
            <w:tcW w:w="1960" w:type="dxa"/>
            <w:vAlign w:val="bottom"/>
          </w:tcPr>
          <w:p>
            <w:pPr>
              <w:ind w:left="80"/>
              <w:spacing w:after="0"/>
              <w:rPr>
                <w:sz w:val="20"/>
                <w:szCs w:val="20"/>
                <w:color w:val="auto"/>
              </w:rPr>
            </w:pPr>
            <w:r>
              <w:rPr>
                <w:rFonts w:ascii="Arial" w:cs="Arial" w:eastAsia="Arial" w:hAnsi="Arial"/>
                <w:sz w:val="16"/>
                <w:szCs w:val="16"/>
                <w:color w:val="auto"/>
              </w:rPr>
              <w:t>Annual Cash Bonus</w:t>
            </w:r>
          </w:p>
        </w:tc>
        <w:tc>
          <w:tcPr>
            <w:tcW w:w="1680" w:type="dxa"/>
            <w:vAlign w:val="bottom"/>
          </w:tcPr>
          <w:p>
            <w:pPr>
              <w:ind w:left="140"/>
              <w:spacing w:after="0"/>
              <w:rPr>
                <w:sz w:val="20"/>
                <w:szCs w:val="20"/>
                <w:color w:val="auto"/>
              </w:rPr>
            </w:pPr>
            <w:r>
              <w:rPr>
                <w:rFonts w:ascii="Arial" w:cs="Arial" w:eastAsia="Arial" w:hAnsi="Arial"/>
                <w:sz w:val="16"/>
                <w:szCs w:val="16"/>
                <w:color w:val="auto"/>
              </w:rPr>
              <w:t>Variable</w:t>
            </w:r>
          </w:p>
        </w:tc>
        <w:tc>
          <w:tcPr>
            <w:tcW w:w="2240" w:type="dxa"/>
            <w:vAlign w:val="bottom"/>
          </w:tcPr>
          <w:p>
            <w:pPr>
              <w:ind w:left="440"/>
              <w:spacing w:after="0"/>
              <w:rPr>
                <w:sz w:val="20"/>
                <w:szCs w:val="20"/>
                <w:color w:val="auto"/>
              </w:rPr>
            </w:pPr>
            <w:r>
              <w:rPr>
                <w:rFonts w:ascii="Arial" w:cs="Arial" w:eastAsia="Arial" w:hAnsi="Arial"/>
                <w:sz w:val="16"/>
                <w:szCs w:val="16"/>
                <w:color w:val="auto"/>
              </w:rPr>
              <w:t>Cash</w:t>
            </w:r>
          </w:p>
        </w:tc>
        <w:tc>
          <w:tcPr>
            <w:tcW w:w="3680" w:type="dxa"/>
            <w:vAlign w:val="bottom"/>
          </w:tcPr>
          <w:p>
            <w:pPr>
              <w:ind w:left="200"/>
              <w:spacing w:after="0"/>
              <w:rPr>
                <w:sz w:val="20"/>
                <w:szCs w:val="20"/>
                <w:color w:val="auto"/>
              </w:rPr>
            </w:pPr>
            <w:r>
              <w:rPr>
                <w:rFonts w:ascii="Arial" w:cs="Arial" w:eastAsia="Arial" w:hAnsi="Arial"/>
                <w:sz w:val="16"/>
                <w:szCs w:val="16"/>
                <w:color w:val="auto"/>
              </w:rPr>
              <w:t>Motivate our executives to achieve annual</w:t>
            </w:r>
          </w:p>
        </w:tc>
      </w:tr>
      <w:tr>
        <w:trPr>
          <w:trHeight w:val="189"/>
        </w:trPr>
        <w:tc>
          <w:tcPr>
            <w:tcW w:w="196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2240" w:type="dxa"/>
            <w:vAlign w:val="bottom"/>
          </w:tcPr>
          <w:p>
            <w:pPr>
              <w:spacing w:after="0"/>
              <w:rPr>
                <w:sz w:val="16"/>
                <w:szCs w:val="16"/>
                <w:color w:val="auto"/>
              </w:rPr>
            </w:pPr>
          </w:p>
        </w:tc>
        <w:tc>
          <w:tcPr>
            <w:tcW w:w="3680" w:type="dxa"/>
            <w:vAlign w:val="bottom"/>
          </w:tcPr>
          <w:p>
            <w:pPr>
              <w:ind w:left="200"/>
              <w:spacing w:after="0"/>
              <w:rPr>
                <w:sz w:val="20"/>
                <w:szCs w:val="20"/>
                <w:color w:val="auto"/>
              </w:rPr>
            </w:pPr>
            <w:r>
              <w:rPr>
                <w:rFonts w:ascii="Arial" w:cs="Arial" w:eastAsia="Arial" w:hAnsi="Arial"/>
                <w:sz w:val="16"/>
                <w:szCs w:val="16"/>
                <w:color w:val="auto"/>
              </w:rPr>
              <w:t>business objectives set forth in our annual</w:t>
            </w:r>
          </w:p>
        </w:tc>
      </w:tr>
      <w:tr>
        <w:trPr>
          <w:trHeight w:val="189"/>
        </w:trPr>
        <w:tc>
          <w:tcPr>
            <w:tcW w:w="196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2240" w:type="dxa"/>
            <w:vAlign w:val="bottom"/>
          </w:tcPr>
          <w:p>
            <w:pPr>
              <w:spacing w:after="0"/>
              <w:rPr>
                <w:sz w:val="16"/>
                <w:szCs w:val="16"/>
                <w:color w:val="auto"/>
              </w:rPr>
            </w:pPr>
          </w:p>
        </w:tc>
        <w:tc>
          <w:tcPr>
            <w:tcW w:w="3680" w:type="dxa"/>
            <w:vAlign w:val="bottom"/>
          </w:tcPr>
          <w:p>
            <w:pPr>
              <w:ind w:left="200"/>
              <w:spacing w:after="0"/>
              <w:rPr>
                <w:sz w:val="20"/>
                <w:szCs w:val="20"/>
                <w:color w:val="auto"/>
              </w:rPr>
            </w:pPr>
            <w:r>
              <w:rPr>
                <w:rFonts w:ascii="Arial" w:cs="Arial" w:eastAsia="Arial" w:hAnsi="Arial"/>
                <w:sz w:val="16"/>
                <w:szCs w:val="16"/>
                <w:color w:val="auto"/>
              </w:rPr>
              <w:t>operating plan and provide financial incentives</w:t>
            </w:r>
          </w:p>
        </w:tc>
      </w:tr>
      <w:tr>
        <w:trPr>
          <w:trHeight w:val="189"/>
        </w:trPr>
        <w:tc>
          <w:tcPr>
            <w:tcW w:w="196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2240" w:type="dxa"/>
            <w:vAlign w:val="bottom"/>
          </w:tcPr>
          <w:p>
            <w:pPr>
              <w:spacing w:after="0"/>
              <w:rPr>
                <w:sz w:val="16"/>
                <w:szCs w:val="16"/>
                <w:color w:val="auto"/>
              </w:rPr>
            </w:pPr>
          </w:p>
        </w:tc>
        <w:tc>
          <w:tcPr>
            <w:tcW w:w="3680" w:type="dxa"/>
            <w:vAlign w:val="bottom"/>
          </w:tcPr>
          <w:p>
            <w:pPr>
              <w:ind w:left="200"/>
              <w:spacing w:after="0"/>
              <w:rPr>
                <w:sz w:val="20"/>
                <w:szCs w:val="20"/>
                <w:color w:val="auto"/>
              </w:rPr>
            </w:pPr>
            <w:r>
              <w:rPr>
                <w:rFonts w:ascii="Arial" w:cs="Arial" w:eastAsia="Arial" w:hAnsi="Arial"/>
                <w:sz w:val="16"/>
                <w:szCs w:val="16"/>
                <w:color w:val="auto"/>
              </w:rPr>
              <w:t>when we meet or exceed these annual</w:t>
            </w:r>
          </w:p>
        </w:tc>
      </w:tr>
      <w:tr>
        <w:trPr>
          <w:trHeight w:val="215"/>
        </w:trPr>
        <w:tc>
          <w:tcPr>
            <w:tcW w:w="19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2240" w:type="dxa"/>
            <w:vAlign w:val="bottom"/>
          </w:tcPr>
          <w:p>
            <w:pPr>
              <w:spacing w:after="0"/>
              <w:rPr>
                <w:sz w:val="18"/>
                <w:szCs w:val="18"/>
                <w:color w:val="auto"/>
              </w:rPr>
            </w:pPr>
          </w:p>
        </w:tc>
        <w:tc>
          <w:tcPr>
            <w:tcW w:w="3680" w:type="dxa"/>
            <w:vAlign w:val="bottom"/>
          </w:tcPr>
          <w:p>
            <w:pPr>
              <w:ind w:left="200"/>
              <w:spacing w:after="0"/>
              <w:rPr>
                <w:sz w:val="20"/>
                <w:szCs w:val="20"/>
                <w:color w:val="auto"/>
              </w:rPr>
            </w:pPr>
            <w:r>
              <w:rPr>
                <w:rFonts w:ascii="Arial" w:cs="Arial" w:eastAsia="Arial" w:hAnsi="Arial"/>
                <w:sz w:val="16"/>
                <w:szCs w:val="16"/>
                <w:color w:val="auto"/>
              </w:rPr>
              <w:t>objectives.</w:t>
            </w:r>
          </w:p>
        </w:tc>
      </w:tr>
      <w:tr>
        <w:trPr>
          <w:trHeight w:val="83"/>
        </w:trPr>
        <w:tc>
          <w:tcPr>
            <w:tcW w:w="1960" w:type="dxa"/>
            <w:vAlign w:val="bottom"/>
          </w:tcPr>
          <w:p>
            <w:pPr>
              <w:spacing w:after="0"/>
              <w:rPr>
                <w:sz w:val="7"/>
                <w:szCs w:val="7"/>
                <w:color w:val="auto"/>
              </w:rPr>
            </w:pPr>
          </w:p>
        </w:tc>
        <w:tc>
          <w:tcPr>
            <w:tcW w:w="1680" w:type="dxa"/>
            <w:vAlign w:val="bottom"/>
          </w:tcPr>
          <w:p>
            <w:pPr>
              <w:spacing w:after="0"/>
              <w:rPr>
                <w:sz w:val="7"/>
                <w:szCs w:val="7"/>
                <w:color w:val="auto"/>
              </w:rPr>
            </w:pPr>
          </w:p>
        </w:tc>
        <w:tc>
          <w:tcPr>
            <w:tcW w:w="2240" w:type="dxa"/>
            <w:vAlign w:val="bottom"/>
          </w:tcPr>
          <w:p>
            <w:pPr>
              <w:spacing w:after="0"/>
              <w:rPr>
                <w:sz w:val="7"/>
                <w:szCs w:val="7"/>
                <w:color w:val="auto"/>
              </w:rPr>
            </w:pPr>
          </w:p>
        </w:tc>
        <w:tc>
          <w:tcPr>
            <w:tcW w:w="3680" w:type="dxa"/>
            <w:vAlign w:val="bottom"/>
          </w:tcPr>
          <w:p>
            <w:pPr>
              <w:spacing w:after="0"/>
              <w:rPr>
                <w:sz w:val="7"/>
                <w:szCs w:val="7"/>
                <w:color w:val="auto"/>
              </w:rPr>
            </w:pPr>
          </w:p>
        </w:tc>
      </w:tr>
      <w:tr>
        <w:trPr>
          <w:trHeight w:val="269"/>
        </w:trPr>
        <w:tc>
          <w:tcPr>
            <w:tcW w:w="1960" w:type="dxa"/>
            <w:vAlign w:val="bottom"/>
            <w:shd w:val="clear" w:color="auto" w:fill="F2F2F2"/>
          </w:tcPr>
          <w:p>
            <w:pPr>
              <w:ind w:left="80"/>
              <w:spacing w:after="0"/>
              <w:rPr>
                <w:sz w:val="20"/>
                <w:szCs w:val="20"/>
                <w:color w:val="auto"/>
              </w:rPr>
            </w:pPr>
            <w:r>
              <w:rPr>
                <w:rFonts w:ascii="Arial" w:cs="Arial" w:eastAsia="Arial" w:hAnsi="Arial"/>
                <w:sz w:val="16"/>
                <w:szCs w:val="16"/>
                <w:color w:val="auto"/>
              </w:rPr>
              <w:t>Long-Term Equity</w:t>
            </w:r>
          </w:p>
        </w:tc>
        <w:tc>
          <w:tcPr>
            <w:tcW w:w="1680" w:type="dxa"/>
            <w:vAlign w:val="bottom"/>
            <w:shd w:val="clear" w:color="auto" w:fill="F2F2F2"/>
          </w:tcPr>
          <w:p>
            <w:pPr>
              <w:ind w:left="140"/>
              <w:spacing w:after="0"/>
              <w:rPr>
                <w:sz w:val="20"/>
                <w:szCs w:val="20"/>
                <w:color w:val="auto"/>
              </w:rPr>
            </w:pPr>
            <w:r>
              <w:rPr>
                <w:rFonts w:ascii="Arial" w:cs="Arial" w:eastAsia="Arial" w:hAnsi="Arial"/>
                <w:sz w:val="16"/>
                <w:szCs w:val="16"/>
                <w:color w:val="auto"/>
              </w:rPr>
              <w:t>Variable</w:t>
            </w:r>
          </w:p>
        </w:tc>
        <w:tc>
          <w:tcPr>
            <w:tcW w:w="2240" w:type="dxa"/>
            <w:vAlign w:val="bottom"/>
            <w:shd w:val="clear" w:color="auto" w:fill="F2F2F2"/>
          </w:tcPr>
          <w:p>
            <w:pPr>
              <w:ind w:left="440"/>
              <w:spacing w:after="0"/>
              <w:rPr>
                <w:sz w:val="20"/>
                <w:szCs w:val="20"/>
                <w:color w:val="auto"/>
              </w:rPr>
            </w:pPr>
            <w:r>
              <w:rPr>
                <w:rFonts w:ascii="Arial" w:cs="Arial" w:eastAsia="Arial" w:hAnsi="Arial"/>
                <w:sz w:val="16"/>
                <w:szCs w:val="16"/>
                <w:color w:val="auto"/>
              </w:rPr>
              <w:t>Equity</w:t>
            </w:r>
          </w:p>
        </w:tc>
        <w:tc>
          <w:tcPr>
            <w:tcW w:w="3680" w:type="dxa"/>
            <w:vAlign w:val="bottom"/>
            <w:shd w:val="clear" w:color="auto" w:fill="F2F2F2"/>
          </w:tcPr>
          <w:p>
            <w:pPr>
              <w:ind w:left="200"/>
              <w:spacing w:after="0"/>
              <w:rPr>
                <w:sz w:val="20"/>
                <w:szCs w:val="20"/>
                <w:color w:val="auto"/>
              </w:rPr>
            </w:pPr>
            <w:r>
              <w:rPr>
                <w:rFonts w:ascii="Arial" w:cs="Arial" w:eastAsia="Arial" w:hAnsi="Arial"/>
                <w:sz w:val="16"/>
                <w:szCs w:val="16"/>
                <w:color w:val="auto"/>
              </w:rPr>
              <w:t>Align the interests of our executives and our</w:t>
            </w:r>
          </w:p>
        </w:tc>
      </w:tr>
      <w:tr>
        <w:trPr>
          <w:trHeight w:val="189"/>
        </w:trPr>
        <w:tc>
          <w:tcPr>
            <w:tcW w:w="1960" w:type="dxa"/>
            <w:vAlign w:val="bottom"/>
            <w:shd w:val="clear" w:color="auto" w:fill="F2F2F2"/>
          </w:tcPr>
          <w:p>
            <w:pPr>
              <w:ind w:left="80"/>
              <w:spacing w:after="0"/>
              <w:rPr>
                <w:sz w:val="20"/>
                <w:szCs w:val="20"/>
                <w:color w:val="auto"/>
              </w:rPr>
            </w:pPr>
            <w:r>
              <w:rPr>
                <w:rFonts w:ascii="Arial" w:cs="Arial" w:eastAsia="Arial" w:hAnsi="Arial"/>
                <w:sz w:val="16"/>
                <w:szCs w:val="16"/>
                <w:color w:val="auto"/>
              </w:rPr>
              <w:t>Incentive Compensation</w:t>
            </w:r>
          </w:p>
        </w:tc>
        <w:tc>
          <w:tcPr>
            <w:tcW w:w="1680" w:type="dxa"/>
            <w:vAlign w:val="bottom"/>
            <w:shd w:val="clear" w:color="auto" w:fill="F2F2F2"/>
          </w:tcPr>
          <w:p>
            <w:pPr>
              <w:spacing w:after="0"/>
              <w:rPr>
                <w:sz w:val="16"/>
                <w:szCs w:val="16"/>
                <w:color w:val="auto"/>
              </w:rPr>
            </w:pPr>
          </w:p>
        </w:tc>
        <w:tc>
          <w:tcPr>
            <w:tcW w:w="2240" w:type="dxa"/>
            <w:vAlign w:val="bottom"/>
            <w:shd w:val="clear" w:color="auto" w:fill="F2F2F2"/>
          </w:tcPr>
          <w:p>
            <w:pPr>
              <w:spacing w:after="0"/>
              <w:rPr>
                <w:sz w:val="16"/>
                <w:szCs w:val="16"/>
                <w:color w:val="auto"/>
              </w:rPr>
            </w:pPr>
          </w:p>
        </w:tc>
        <w:tc>
          <w:tcPr>
            <w:tcW w:w="3680" w:type="dxa"/>
            <w:vAlign w:val="bottom"/>
            <w:shd w:val="clear" w:color="auto" w:fill="F2F2F2"/>
          </w:tcPr>
          <w:p>
            <w:pPr>
              <w:ind w:left="200"/>
              <w:spacing w:after="0"/>
              <w:rPr>
                <w:sz w:val="20"/>
                <w:szCs w:val="20"/>
                <w:color w:val="auto"/>
              </w:rPr>
            </w:pPr>
            <w:r>
              <w:rPr>
                <w:rFonts w:ascii="Arial" w:cs="Arial" w:eastAsia="Arial" w:hAnsi="Arial"/>
                <w:sz w:val="16"/>
                <w:szCs w:val="16"/>
                <w:color w:val="auto"/>
              </w:rPr>
              <w:t>stockholders by motivating them to create</w:t>
            </w:r>
          </w:p>
        </w:tc>
      </w:tr>
      <w:tr>
        <w:trPr>
          <w:trHeight w:val="215"/>
        </w:trPr>
        <w:tc>
          <w:tcPr>
            <w:tcW w:w="1960" w:type="dxa"/>
            <w:vAlign w:val="bottom"/>
            <w:shd w:val="clear" w:color="auto" w:fill="F2F2F2"/>
          </w:tcPr>
          <w:p>
            <w:pPr>
              <w:spacing w:after="0"/>
              <w:rPr>
                <w:sz w:val="18"/>
                <w:szCs w:val="18"/>
                <w:color w:val="auto"/>
              </w:rPr>
            </w:pPr>
          </w:p>
        </w:tc>
        <w:tc>
          <w:tcPr>
            <w:tcW w:w="1680" w:type="dxa"/>
            <w:vAlign w:val="bottom"/>
            <w:shd w:val="clear" w:color="auto" w:fill="F2F2F2"/>
          </w:tcPr>
          <w:p>
            <w:pPr>
              <w:spacing w:after="0"/>
              <w:rPr>
                <w:sz w:val="18"/>
                <w:szCs w:val="18"/>
                <w:color w:val="auto"/>
              </w:rPr>
            </w:pPr>
          </w:p>
        </w:tc>
        <w:tc>
          <w:tcPr>
            <w:tcW w:w="2240" w:type="dxa"/>
            <w:vAlign w:val="bottom"/>
            <w:shd w:val="clear" w:color="auto" w:fill="F2F2F2"/>
          </w:tcPr>
          <w:p>
            <w:pPr>
              <w:spacing w:after="0"/>
              <w:rPr>
                <w:sz w:val="18"/>
                <w:szCs w:val="18"/>
                <w:color w:val="auto"/>
              </w:rPr>
            </w:pPr>
          </w:p>
        </w:tc>
        <w:tc>
          <w:tcPr>
            <w:tcW w:w="3680" w:type="dxa"/>
            <w:vAlign w:val="bottom"/>
            <w:shd w:val="clear" w:color="auto" w:fill="F2F2F2"/>
          </w:tcPr>
          <w:p>
            <w:pPr>
              <w:ind w:left="200"/>
              <w:spacing w:after="0"/>
              <w:rPr>
                <w:sz w:val="20"/>
                <w:szCs w:val="20"/>
                <w:color w:val="auto"/>
              </w:rPr>
            </w:pPr>
            <w:r>
              <w:rPr>
                <w:rFonts w:ascii="Arial" w:cs="Arial" w:eastAsia="Arial" w:hAnsi="Arial"/>
                <w:sz w:val="16"/>
                <w:szCs w:val="16"/>
                <w:color w:val="auto"/>
              </w:rPr>
              <w:t>sustainable long-term stockholder value.</w:t>
            </w:r>
          </w:p>
        </w:tc>
      </w:tr>
      <w:tr>
        <w:trPr>
          <w:trHeight w:val="56"/>
        </w:trPr>
        <w:tc>
          <w:tcPr>
            <w:tcW w:w="1960" w:type="dxa"/>
            <w:vAlign w:val="bottom"/>
            <w:shd w:val="clear" w:color="auto" w:fill="F2F2F2"/>
          </w:tcPr>
          <w:p>
            <w:pPr>
              <w:spacing w:after="0"/>
              <w:rPr>
                <w:sz w:val="4"/>
                <w:szCs w:val="4"/>
                <w:color w:val="auto"/>
              </w:rPr>
            </w:pPr>
          </w:p>
        </w:tc>
        <w:tc>
          <w:tcPr>
            <w:tcW w:w="1680" w:type="dxa"/>
            <w:vAlign w:val="bottom"/>
            <w:shd w:val="clear" w:color="auto" w:fill="F2F2F2"/>
          </w:tcPr>
          <w:p>
            <w:pPr>
              <w:spacing w:after="0"/>
              <w:rPr>
                <w:sz w:val="4"/>
                <w:szCs w:val="4"/>
                <w:color w:val="auto"/>
              </w:rPr>
            </w:pPr>
          </w:p>
        </w:tc>
        <w:tc>
          <w:tcPr>
            <w:tcW w:w="2240" w:type="dxa"/>
            <w:vAlign w:val="bottom"/>
            <w:shd w:val="clear" w:color="auto" w:fill="F2F2F2"/>
          </w:tcPr>
          <w:p>
            <w:pPr>
              <w:spacing w:after="0"/>
              <w:rPr>
                <w:sz w:val="4"/>
                <w:szCs w:val="4"/>
                <w:color w:val="auto"/>
              </w:rPr>
            </w:pPr>
          </w:p>
        </w:tc>
        <w:tc>
          <w:tcPr>
            <w:tcW w:w="3680" w:type="dxa"/>
            <w:vAlign w:val="bottom"/>
            <w:shd w:val="clear" w:color="auto" w:fill="F2F2F2"/>
          </w:tcPr>
          <w:p>
            <w:pPr>
              <w:spacing w:after="0"/>
              <w:rPr>
                <w:sz w:val="4"/>
                <w:szCs w:val="4"/>
                <w:color w:val="auto"/>
              </w:rPr>
            </w:pPr>
          </w:p>
        </w:tc>
      </w:tr>
    </w:tbl>
    <w:p>
      <w:pPr>
        <w:spacing w:after="0" w:line="337"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Mix of Pay</w:t>
      </w:r>
    </w:p>
    <w:p>
      <w:pPr>
        <w:spacing w:after="0" w:line="39" w:lineRule="exact"/>
        <w:rPr>
          <w:sz w:val="20"/>
          <w:szCs w:val="20"/>
          <w:color w:val="auto"/>
        </w:rPr>
      </w:pPr>
    </w:p>
    <w:p>
      <w:pPr>
        <w:ind w:left="4" w:right="220"/>
        <w:spacing w:after="0" w:line="250" w:lineRule="auto"/>
        <w:rPr>
          <w:sz w:val="20"/>
          <w:szCs w:val="20"/>
          <w:color w:val="auto"/>
        </w:rPr>
      </w:pPr>
      <w:r>
        <w:rPr>
          <w:rFonts w:ascii="Arial" w:cs="Arial" w:eastAsia="Arial" w:hAnsi="Arial"/>
          <w:sz w:val="16"/>
          <w:szCs w:val="16"/>
          <w:color w:val="auto"/>
        </w:rPr>
        <w:t>Our primary focus in compensating executive officers is on the longer-term and performance-based elements of target total direct compensation. Under our 2021 executive compensation program, approximately 90% of target total direct compensation to our named executive officers (excluding our CEO) was variable in the form of annual cash bonus and long-term equity incentive compensation. Our CEO’s mix of pay is weighted equally between base salary and annual bonus. Mr. Houston does not receive annual equity awards due to his significant holdings as a co-founder and the “Co-Founder Grant” (in the form of a restricted stock award) he received in December 2017 prior to our IPO. Details of Mr. Houston’s Co-Founder Grant are further described in “</w:t>
      </w:r>
      <w:r>
        <w:rPr>
          <w:rFonts w:ascii="Arial" w:cs="Arial" w:eastAsia="Arial" w:hAnsi="Arial"/>
          <w:sz w:val="16"/>
          <w:szCs w:val="16"/>
          <w:i w:val="1"/>
          <w:iCs w:val="1"/>
          <w:color w:val="auto"/>
        </w:rPr>
        <w:t>Co-Founder Grant</w:t>
      </w:r>
      <w:r>
        <w:rPr>
          <w:rFonts w:ascii="Arial" w:cs="Arial" w:eastAsia="Arial" w:hAnsi="Arial"/>
          <w:sz w:val="16"/>
          <w:szCs w:val="16"/>
          <w:color w:val="auto"/>
        </w:rPr>
        <w:t>” below. In addition, Mr. Young did not receive an equity award in 2021 due to an equity award he received in</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2020, which grant delivers value only if we achieved certain stock price goals during the term of the award. Mr. Young’s award in connection with his promotion to President is further described in “</w:t>
      </w:r>
      <w:r>
        <w:rPr>
          <w:rFonts w:ascii="Arial" w:cs="Arial" w:eastAsia="Arial" w:hAnsi="Arial"/>
          <w:sz w:val="16"/>
          <w:szCs w:val="16"/>
          <w:i w:val="1"/>
          <w:iCs w:val="1"/>
          <w:color w:val="auto"/>
        </w:rPr>
        <w:t>Performance Achievement of Mr. Young’s Performance</w:t>
      </w:r>
      <w:r>
        <w:rPr>
          <w:rFonts w:ascii="Arial" w:cs="Arial" w:eastAsia="Arial" w:hAnsi="Arial"/>
          <w:sz w:val="16"/>
          <w:szCs w:val="16"/>
          <w:color w:val="auto"/>
        </w:rPr>
        <w:t xml:space="preserve"> </w:t>
      </w:r>
      <w:r>
        <w:rPr>
          <w:rFonts w:ascii="Arial" w:cs="Arial" w:eastAsia="Arial" w:hAnsi="Arial"/>
          <w:sz w:val="16"/>
          <w:szCs w:val="16"/>
          <w:i w:val="1"/>
          <w:iCs w:val="1"/>
          <w:color w:val="auto"/>
        </w:rPr>
        <w:t>RSA</w:t>
      </w:r>
      <w:r>
        <w:rPr>
          <w:rFonts w:ascii="Arial" w:cs="Arial" w:eastAsia="Arial" w:hAnsi="Arial"/>
          <w:sz w:val="16"/>
          <w:szCs w:val="16"/>
          <w:color w:val="auto"/>
        </w:rPr>
        <w:t>”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1548765</wp:posOffset>
            </wp:positionH>
            <wp:positionV relativeFrom="paragraph">
              <wp:posOffset>193675</wp:posOffset>
            </wp:positionV>
            <wp:extent cx="2974340" cy="15087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2974340" cy="1508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Base Salary</w:t>
      </w:r>
    </w:p>
    <w:p>
      <w:pPr>
        <w:spacing w:after="0" w:line="46" w:lineRule="exact"/>
        <w:rPr>
          <w:sz w:val="20"/>
          <w:szCs w:val="20"/>
          <w:color w:val="auto"/>
        </w:rPr>
      </w:pPr>
    </w:p>
    <w:p>
      <w:pPr>
        <w:ind w:left="4" w:right="60"/>
        <w:spacing w:after="0" w:line="286" w:lineRule="auto"/>
        <w:rPr>
          <w:sz w:val="20"/>
          <w:szCs w:val="20"/>
          <w:color w:val="auto"/>
        </w:rPr>
      </w:pPr>
      <w:r>
        <w:rPr>
          <w:rFonts w:ascii="Arial" w:cs="Arial" w:eastAsia="Arial" w:hAnsi="Arial"/>
          <w:sz w:val="16"/>
          <w:szCs w:val="16"/>
          <w:color w:val="auto"/>
        </w:rPr>
        <w:t>We use base salary to provide our executive officers with a specified level of cash compensation during the year with the expectation that they will perform their responsibilities to the best of their ability and in our best interests.</w:t>
      </w:r>
    </w:p>
    <w:p>
      <w:pPr>
        <w:spacing w:after="0" w:line="102" w:lineRule="exact"/>
        <w:rPr>
          <w:sz w:val="20"/>
          <w:szCs w:val="20"/>
          <w:color w:val="auto"/>
        </w:rPr>
      </w:pPr>
    </w:p>
    <w:p>
      <w:pPr>
        <w:ind w:left="4" w:right="80"/>
        <w:spacing w:after="0" w:line="254" w:lineRule="auto"/>
        <w:rPr>
          <w:sz w:val="20"/>
          <w:szCs w:val="20"/>
          <w:color w:val="auto"/>
        </w:rPr>
      </w:pPr>
      <w:r>
        <w:rPr>
          <w:rFonts w:ascii="Arial" w:cs="Arial" w:eastAsia="Arial" w:hAnsi="Arial"/>
          <w:sz w:val="16"/>
          <w:szCs w:val="16"/>
          <w:color w:val="auto"/>
        </w:rPr>
        <w:t>Generally, we establish the initial base salaries of our executive officers through arm’s-length negotiations at the time we hire them, taking into account their position, qualifications, experience, prior salary level, and the base salaries of our other executive officers. Thereafter, the compensation committee reviews the base salaries of our executive officers each year as part of its annual compensation review, with input from our chief executive officer (except with respect to his own base salary) and makes adjustments as it determines to be reasonable and necessary to reflect the scope of an executive officer’s performance, individual contributions and responsibilities, position in the case of a promotion, and market conditions.</w:t>
      </w:r>
    </w:p>
    <w:p>
      <w:pPr>
        <w:spacing w:after="0" w:line="187" w:lineRule="exact"/>
        <w:rPr>
          <w:sz w:val="20"/>
          <w:szCs w:val="20"/>
          <w:color w:val="auto"/>
        </w:rPr>
      </w:pPr>
    </w:p>
    <w:p>
      <w:pPr>
        <w:ind w:left="524" w:hanging="524"/>
        <w:spacing w:after="0"/>
        <w:tabs>
          <w:tab w:leader="none" w:pos="524" w:val="left"/>
        </w:tabs>
        <w:numPr>
          <w:ilvl w:val="0"/>
          <w:numId w:val="61"/>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40" w:name="page41"/>
    <w:bookmarkEnd w:id="40"/>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720"/>
        <w:spacing w:after="0"/>
        <w:rPr>
          <w:sz w:val="20"/>
          <w:szCs w:val="20"/>
          <w:color w:val="auto"/>
        </w:rPr>
      </w:pPr>
      <w:r>
        <w:rPr>
          <w:rFonts w:ascii="Arial" w:cs="Arial" w:eastAsia="Arial" w:hAnsi="Arial"/>
          <w:sz w:val="16"/>
          <w:szCs w:val="16"/>
          <w:color w:val="auto"/>
        </w:rPr>
        <w:t>In March 2021, the compensation committee reviewed the base salaries of our executive officers, taking into consideration a</w:t>
      </w:r>
    </w:p>
    <w:p>
      <w:pPr>
        <w:spacing w:after="0" w:line="21" w:lineRule="exact"/>
        <w:rPr>
          <w:sz w:val="20"/>
          <w:szCs w:val="20"/>
          <w:color w:val="auto"/>
        </w:rPr>
      </w:pPr>
    </w:p>
    <w:p>
      <w:pPr>
        <w:ind w:left="720"/>
        <w:spacing w:after="0"/>
        <w:rPr>
          <w:sz w:val="20"/>
          <w:szCs w:val="20"/>
          <w:color w:val="auto"/>
        </w:rPr>
      </w:pPr>
      <w:r>
        <w:rPr>
          <w:rFonts w:ascii="Arial" w:cs="Arial" w:eastAsia="Arial" w:hAnsi="Arial"/>
          <w:sz w:val="16"/>
          <w:szCs w:val="16"/>
          <w:color w:val="auto"/>
        </w:rPr>
        <w:t>competitive market analysis and the recommendations of our chief executive officer, as well as the other factors described in</w:t>
      </w:r>
    </w:p>
    <w:p>
      <w:pPr>
        <w:spacing w:after="0" w:line="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i w:val="1"/>
          <w:iCs w:val="1"/>
          <w:color w:val="auto"/>
        </w:rPr>
        <w:t>Compensation-Setting Process—Compensation Setting,</w:t>
      </w:r>
      <w:r>
        <w:rPr>
          <w:rFonts w:ascii="Arial" w:cs="Arial" w:eastAsia="Arial" w:hAnsi="Arial"/>
          <w:sz w:val="16"/>
          <w:szCs w:val="16"/>
          <w:color w:val="auto"/>
        </w:rPr>
        <w:t>” above. In connection with this review, Mr. Houston’s salary was increased</w:t>
      </w:r>
    </w:p>
    <w:p>
      <w:pPr>
        <w:spacing w:after="0" w:line="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to $625,000 and Mr. Regan’s salary was increased to $475,000 to align with targeted market positioning, each effective February 1,</w:t>
      </w:r>
    </w:p>
    <w:p>
      <w:pPr>
        <w:spacing w:after="0" w:line="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2021.</w:t>
      </w:r>
    </w:p>
    <w:p>
      <w:pPr>
        <w:spacing w:after="0" w:line="205" w:lineRule="exact"/>
        <w:rPr>
          <w:sz w:val="20"/>
          <w:szCs w:val="20"/>
          <w:color w:val="auto"/>
        </w:rPr>
      </w:pPr>
    </w:p>
    <w:p>
      <w:pPr>
        <w:ind w:left="720"/>
        <w:spacing w:after="0"/>
        <w:rPr>
          <w:sz w:val="20"/>
          <w:szCs w:val="20"/>
          <w:color w:val="auto"/>
        </w:rPr>
      </w:pPr>
      <w:r>
        <w:rPr>
          <w:rFonts w:ascii="Arial" w:cs="Arial" w:eastAsia="Arial" w:hAnsi="Arial"/>
          <w:sz w:val="16"/>
          <w:szCs w:val="16"/>
          <w:color w:val="auto"/>
        </w:rPr>
        <w:t>The base salaries of our named executive officers for 2021 were: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55245</wp:posOffset>
            </wp:positionV>
            <wp:extent cx="6077585" cy="16287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077585" cy="1628775"/>
                    </a:xfrm>
                    <a:prstGeom prst="rect">
                      <a:avLst/>
                    </a:prstGeom>
                    <a:noFill/>
                  </pic:spPr>
                </pic:pic>
              </a:graphicData>
            </a:graphic>
          </wp:anchor>
        </w:drawing>
      </w:r>
    </w:p>
    <w:p>
      <w:pPr>
        <w:spacing w:after="0" w:line="67" w:lineRule="exact"/>
        <w:rPr>
          <w:sz w:val="20"/>
          <w:szCs w:val="20"/>
          <w:color w:val="auto"/>
        </w:rPr>
      </w:pPr>
    </w:p>
    <w:tbl>
      <w:tblPr>
        <w:tblLayout w:type="fixed"/>
        <w:tblInd w:w="720" w:type="dxa"/>
        <w:tblCellMar>
          <w:top w:w="0" w:type="dxa"/>
          <w:left w:w="0" w:type="dxa"/>
          <w:bottom w:w="0" w:type="dxa"/>
          <w:right w:w="0" w:type="dxa"/>
        </w:tblCellMar>
      </w:tblPr>
      <w:tr>
        <w:trPr>
          <w:trHeight w:val="261"/>
        </w:trPr>
        <w:tc>
          <w:tcPr>
            <w:tcW w:w="3220" w:type="dxa"/>
            <w:vAlign w:val="bottom"/>
            <w:shd w:val="clear" w:color="auto" w:fill="0063A6"/>
          </w:tcPr>
          <w:p>
            <w:pPr>
              <w:spacing w:after="0"/>
              <w:rPr>
                <w:sz w:val="22"/>
                <w:szCs w:val="22"/>
                <w:color w:val="auto"/>
              </w:rPr>
            </w:pPr>
          </w:p>
        </w:tc>
        <w:tc>
          <w:tcPr>
            <w:tcW w:w="3060" w:type="dxa"/>
            <w:vAlign w:val="bottom"/>
            <w:shd w:val="clear" w:color="auto" w:fill="0063A6"/>
          </w:tcPr>
          <w:p>
            <w:pPr>
              <w:spacing w:after="0"/>
              <w:rPr>
                <w:sz w:val="22"/>
                <w:szCs w:val="22"/>
                <w:color w:val="auto"/>
              </w:rPr>
            </w:pPr>
          </w:p>
        </w:tc>
        <w:tc>
          <w:tcPr>
            <w:tcW w:w="1720" w:type="dxa"/>
            <w:vAlign w:val="bottom"/>
            <w:shd w:val="clear" w:color="auto" w:fill="0063A6"/>
          </w:tcPr>
          <w:p>
            <w:pPr>
              <w:jc w:val="center"/>
              <w:ind w:right="102"/>
              <w:spacing w:after="0"/>
              <w:rPr>
                <w:sz w:val="20"/>
                <w:szCs w:val="20"/>
                <w:color w:val="auto"/>
              </w:rPr>
            </w:pPr>
            <w:r>
              <w:rPr>
                <w:rFonts w:ascii="Arial" w:cs="Arial" w:eastAsia="Arial" w:hAnsi="Arial"/>
                <w:sz w:val="14"/>
                <w:szCs w:val="14"/>
                <w:b w:val="1"/>
                <w:bCs w:val="1"/>
                <w:color w:val="FFFFFF"/>
              </w:rPr>
              <w:t>Base Salary</w:t>
            </w:r>
          </w:p>
        </w:tc>
        <w:tc>
          <w:tcPr>
            <w:tcW w:w="1560" w:type="dxa"/>
            <w:vAlign w:val="bottom"/>
            <w:shd w:val="clear" w:color="auto" w:fill="0063A6"/>
          </w:tcPr>
          <w:p>
            <w:pPr>
              <w:jc w:val="center"/>
              <w:ind w:right="22"/>
              <w:spacing w:after="0"/>
              <w:rPr>
                <w:sz w:val="20"/>
                <w:szCs w:val="20"/>
                <w:color w:val="auto"/>
              </w:rPr>
            </w:pPr>
            <w:r>
              <w:rPr>
                <w:rFonts w:ascii="Arial" w:cs="Arial" w:eastAsia="Arial" w:hAnsi="Arial"/>
                <w:sz w:val="14"/>
                <w:szCs w:val="14"/>
                <w:b w:val="1"/>
                <w:bCs w:val="1"/>
                <w:color w:val="FFFFFF"/>
              </w:rPr>
              <w:t>Percentage</w:t>
            </w:r>
          </w:p>
        </w:tc>
      </w:tr>
      <w:tr>
        <w:trPr>
          <w:trHeight w:val="162"/>
        </w:trPr>
        <w:tc>
          <w:tcPr>
            <w:tcW w:w="3220" w:type="dxa"/>
            <w:vAlign w:val="bottom"/>
            <w:shd w:val="clear" w:color="auto" w:fill="0063A6"/>
          </w:tcPr>
          <w:p>
            <w:pPr>
              <w:spacing w:after="0"/>
              <w:rPr>
                <w:sz w:val="14"/>
                <w:szCs w:val="14"/>
                <w:color w:val="auto"/>
              </w:rPr>
            </w:pPr>
          </w:p>
        </w:tc>
        <w:tc>
          <w:tcPr>
            <w:tcW w:w="3060" w:type="dxa"/>
            <w:vAlign w:val="bottom"/>
            <w:shd w:val="clear" w:color="auto" w:fill="0063A6"/>
          </w:tcPr>
          <w:p>
            <w:pPr>
              <w:jc w:val="center"/>
              <w:ind w:left="1122"/>
              <w:spacing w:after="0"/>
              <w:rPr>
                <w:sz w:val="20"/>
                <w:szCs w:val="20"/>
                <w:color w:val="auto"/>
              </w:rPr>
            </w:pPr>
            <w:r>
              <w:rPr>
                <w:rFonts w:ascii="Arial" w:cs="Arial" w:eastAsia="Arial" w:hAnsi="Arial"/>
                <w:sz w:val="14"/>
                <w:szCs w:val="14"/>
                <w:b w:val="1"/>
                <w:bCs w:val="1"/>
                <w:color w:val="FFFFFF"/>
              </w:rPr>
              <w:t>Base Salary</w:t>
            </w:r>
          </w:p>
        </w:tc>
        <w:tc>
          <w:tcPr>
            <w:tcW w:w="1720" w:type="dxa"/>
            <w:vAlign w:val="bottom"/>
            <w:shd w:val="clear" w:color="auto" w:fill="0063A6"/>
          </w:tcPr>
          <w:p>
            <w:pPr>
              <w:jc w:val="center"/>
              <w:ind w:right="62"/>
              <w:spacing w:after="0"/>
              <w:rPr>
                <w:sz w:val="20"/>
                <w:szCs w:val="20"/>
                <w:color w:val="auto"/>
              </w:rPr>
            </w:pPr>
            <w:r>
              <w:rPr>
                <w:rFonts w:ascii="Arial" w:cs="Arial" w:eastAsia="Arial" w:hAnsi="Arial"/>
                <w:sz w:val="14"/>
                <w:szCs w:val="14"/>
                <w:b w:val="1"/>
                <w:bCs w:val="1"/>
                <w:color w:val="FFFFFF"/>
              </w:rPr>
              <w:t>as of End of 2021</w:t>
            </w:r>
          </w:p>
        </w:tc>
        <w:tc>
          <w:tcPr>
            <w:tcW w:w="156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(Decrease) /</w:t>
            </w:r>
          </w:p>
        </w:tc>
      </w:tr>
      <w:tr>
        <w:trPr>
          <w:trHeight w:val="196"/>
        </w:trPr>
        <w:tc>
          <w:tcPr>
            <w:tcW w:w="3220" w:type="dxa"/>
            <w:vAlign w:val="bottom"/>
            <w:shd w:val="clear" w:color="auto" w:fill="0063A6"/>
          </w:tcPr>
          <w:p>
            <w:pPr>
              <w:ind w:left="80"/>
              <w:spacing w:after="0"/>
              <w:rPr>
                <w:sz w:val="20"/>
                <w:szCs w:val="20"/>
                <w:color w:val="auto"/>
              </w:rPr>
            </w:pPr>
            <w:r>
              <w:rPr>
                <w:rFonts w:ascii="Arial" w:cs="Arial" w:eastAsia="Arial" w:hAnsi="Arial"/>
                <w:sz w:val="14"/>
                <w:szCs w:val="14"/>
                <w:b w:val="1"/>
                <w:bCs w:val="1"/>
                <w:color w:val="FFFFFF"/>
              </w:rPr>
              <w:t>Named Executive Officer</w:t>
            </w:r>
          </w:p>
        </w:tc>
        <w:tc>
          <w:tcPr>
            <w:tcW w:w="3060" w:type="dxa"/>
            <w:vAlign w:val="bottom"/>
            <w:shd w:val="clear" w:color="auto" w:fill="0063A6"/>
          </w:tcPr>
          <w:p>
            <w:pPr>
              <w:jc w:val="center"/>
              <w:ind w:left="1182"/>
              <w:spacing w:after="0"/>
              <w:rPr>
                <w:sz w:val="20"/>
                <w:szCs w:val="20"/>
                <w:color w:val="auto"/>
              </w:rPr>
            </w:pPr>
            <w:r>
              <w:rPr>
                <w:rFonts w:ascii="Arial" w:cs="Arial" w:eastAsia="Arial" w:hAnsi="Arial"/>
                <w:sz w:val="14"/>
                <w:szCs w:val="14"/>
                <w:b w:val="1"/>
                <w:bCs w:val="1"/>
                <w:color w:val="FFFFFF"/>
              </w:rPr>
              <w:t>as of End of 2020 ($)</w:t>
            </w:r>
          </w:p>
        </w:tc>
        <w:tc>
          <w:tcPr>
            <w:tcW w:w="1720" w:type="dxa"/>
            <w:vAlign w:val="bottom"/>
            <w:shd w:val="clear" w:color="auto" w:fill="0063A6"/>
          </w:tcPr>
          <w:p>
            <w:pPr>
              <w:jc w:val="center"/>
              <w:ind w:right="62"/>
              <w:spacing w:after="0"/>
              <w:rPr>
                <w:sz w:val="20"/>
                <w:szCs w:val="20"/>
                <w:color w:val="auto"/>
              </w:rPr>
            </w:pPr>
            <w:r>
              <w:rPr>
                <w:rFonts w:ascii="Arial" w:cs="Arial" w:eastAsia="Arial" w:hAnsi="Arial"/>
                <w:sz w:val="14"/>
                <w:szCs w:val="14"/>
                <w:b w:val="1"/>
                <w:bCs w:val="1"/>
                <w:color w:val="FFFFFF"/>
              </w:rPr>
              <w:t>($)</w:t>
            </w:r>
          </w:p>
        </w:tc>
        <w:tc>
          <w:tcPr>
            <w:tcW w:w="156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Increase</w:t>
            </w:r>
          </w:p>
        </w:tc>
      </w:tr>
      <w:tr>
        <w:trPr>
          <w:trHeight w:val="70"/>
        </w:trPr>
        <w:tc>
          <w:tcPr>
            <w:tcW w:w="3220" w:type="dxa"/>
            <w:vAlign w:val="bottom"/>
            <w:shd w:val="clear" w:color="auto" w:fill="0063A6"/>
          </w:tcPr>
          <w:p>
            <w:pPr>
              <w:spacing w:after="0"/>
              <w:rPr>
                <w:sz w:val="6"/>
                <w:szCs w:val="6"/>
                <w:color w:val="auto"/>
              </w:rPr>
            </w:pPr>
          </w:p>
        </w:tc>
        <w:tc>
          <w:tcPr>
            <w:tcW w:w="3060" w:type="dxa"/>
            <w:vAlign w:val="bottom"/>
            <w:shd w:val="clear" w:color="auto" w:fill="0063A6"/>
          </w:tcPr>
          <w:p>
            <w:pPr>
              <w:spacing w:after="0"/>
              <w:rPr>
                <w:sz w:val="6"/>
                <w:szCs w:val="6"/>
                <w:color w:val="auto"/>
              </w:rPr>
            </w:pPr>
          </w:p>
        </w:tc>
        <w:tc>
          <w:tcPr>
            <w:tcW w:w="1720" w:type="dxa"/>
            <w:vAlign w:val="bottom"/>
            <w:shd w:val="clear" w:color="auto" w:fill="0063A6"/>
          </w:tcPr>
          <w:p>
            <w:pPr>
              <w:spacing w:after="0"/>
              <w:rPr>
                <w:sz w:val="6"/>
                <w:szCs w:val="6"/>
                <w:color w:val="auto"/>
              </w:rPr>
            </w:pPr>
          </w:p>
        </w:tc>
        <w:tc>
          <w:tcPr>
            <w:tcW w:w="1560" w:type="dxa"/>
            <w:vAlign w:val="bottom"/>
            <w:shd w:val="clear" w:color="auto" w:fill="0063A6"/>
          </w:tcPr>
          <w:p>
            <w:pPr>
              <w:spacing w:after="0"/>
              <w:rPr>
                <w:sz w:val="6"/>
                <w:szCs w:val="6"/>
                <w:color w:val="auto"/>
              </w:rPr>
            </w:pPr>
          </w:p>
        </w:tc>
      </w:tr>
      <w:tr>
        <w:trPr>
          <w:trHeight w:val="295"/>
        </w:trPr>
        <w:tc>
          <w:tcPr>
            <w:tcW w:w="3220" w:type="dxa"/>
            <w:vAlign w:val="bottom"/>
            <w:shd w:val="clear" w:color="auto" w:fill="F2F2F2"/>
          </w:tcPr>
          <w:p>
            <w:pPr>
              <w:ind w:left="80"/>
              <w:spacing w:after="0"/>
              <w:rPr>
                <w:sz w:val="20"/>
                <w:szCs w:val="20"/>
                <w:color w:val="auto"/>
              </w:rPr>
            </w:pPr>
            <w:r>
              <w:rPr>
                <w:rFonts w:ascii="Arial" w:cs="Arial" w:eastAsia="Arial" w:hAnsi="Arial"/>
                <w:sz w:val="16"/>
                <w:szCs w:val="16"/>
                <w:color w:val="auto"/>
              </w:rPr>
              <w:t>Andrew W. Houston</w:t>
            </w:r>
          </w:p>
        </w:tc>
        <w:tc>
          <w:tcPr>
            <w:tcW w:w="3060" w:type="dxa"/>
            <w:vAlign w:val="bottom"/>
            <w:shd w:val="clear" w:color="auto" w:fill="F2F2F2"/>
          </w:tcPr>
          <w:p>
            <w:pPr>
              <w:jc w:val="center"/>
              <w:ind w:left="1162"/>
              <w:spacing w:after="0"/>
              <w:rPr>
                <w:sz w:val="20"/>
                <w:szCs w:val="20"/>
                <w:color w:val="auto"/>
              </w:rPr>
            </w:pPr>
            <w:r>
              <w:rPr>
                <w:rFonts w:ascii="Arial" w:cs="Arial" w:eastAsia="Arial" w:hAnsi="Arial"/>
                <w:sz w:val="16"/>
                <w:szCs w:val="16"/>
                <w:color w:val="auto"/>
              </w:rPr>
              <w:t>550,000</w:t>
            </w:r>
          </w:p>
        </w:tc>
        <w:tc>
          <w:tcPr>
            <w:tcW w:w="1720" w:type="dxa"/>
            <w:vAlign w:val="bottom"/>
            <w:shd w:val="clear" w:color="auto" w:fill="F2F2F2"/>
          </w:tcPr>
          <w:p>
            <w:pPr>
              <w:jc w:val="right"/>
              <w:ind w:right="562"/>
              <w:spacing w:after="0"/>
              <w:rPr>
                <w:sz w:val="20"/>
                <w:szCs w:val="20"/>
                <w:color w:val="auto"/>
              </w:rPr>
            </w:pPr>
            <w:r>
              <w:rPr>
                <w:rFonts w:ascii="Arial" w:cs="Arial" w:eastAsia="Arial" w:hAnsi="Arial"/>
                <w:sz w:val="16"/>
                <w:szCs w:val="16"/>
                <w:color w:val="auto"/>
              </w:rPr>
              <w:t>625,000</w:t>
            </w:r>
          </w:p>
        </w:tc>
        <w:tc>
          <w:tcPr>
            <w:tcW w:w="1560" w:type="dxa"/>
            <w:vAlign w:val="bottom"/>
            <w:shd w:val="clear" w:color="auto" w:fill="F2F2F2"/>
          </w:tcPr>
          <w:p>
            <w:pPr>
              <w:jc w:val="right"/>
              <w:ind w:right="562"/>
              <w:spacing w:after="0"/>
              <w:rPr>
                <w:sz w:val="20"/>
                <w:szCs w:val="20"/>
                <w:color w:val="auto"/>
              </w:rPr>
            </w:pPr>
            <w:r>
              <w:rPr>
                <w:rFonts w:ascii="Arial" w:cs="Arial" w:eastAsia="Arial" w:hAnsi="Arial"/>
                <w:sz w:val="16"/>
                <w:szCs w:val="16"/>
                <w:color w:val="auto"/>
              </w:rPr>
              <w:t>14%</w:t>
            </w:r>
          </w:p>
        </w:tc>
      </w:tr>
      <w:tr>
        <w:trPr>
          <w:trHeight w:val="83"/>
        </w:trPr>
        <w:tc>
          <w:tcPr>
            <w:tcW w:w="3220" w:type="dxa"/>
            <w:vAlign w:val="bottom"/>
            <w:shd w:val="clear" w:color="auto" w:fill="F2F2F2"/>
          </w:tcPr>
          <w:p>
            <w:pPr>
              <w:spacing w:after="0"/>
              <w:rPr>
                <w:sz w:val="7"/>
                <w:szCs w:val="7"/>
                <w:color w:val="auto"/>
              </w:rPr>
            </w:pPr>
          </w:p>
        </w:tc>
        <w:tc>
          <w:tcPr>
            <w:tcW w:w="3060" w:type="dxa"/>
            <w:vAlign w:val="bottom"/>
            <w:shd w:val="clear" w:color="auto" w:fill="F2F2F2"/>
          </w:tcPr>
          <w:p>
            <w:pPr>
              <w:spacing w:after="0"/>
              <w:rPr>
                <w:sz w:val="7"/>
                <w:szCs w:val="7"/>
                <w:color w:val="auto"/>
              </w:rPr>
            </w:pPr>
          </w:p>
        </w:tc>
        <w:tc>
          <w:tcPr>
            <w:tcW w:w="1720" w:type="dxa"/>
            <w:vAlign w:val="bottom"/>
            <w:shd w:val="clear" w:color="auto" w:fill="F2F2F2"/>
          </w:tcPr>
          <w:p>
            <w:pPr>
              <w:spacing w:after="0"/>
              <w:rPr>
                <w:sz w:val="7"/>
                <w:szCs w:val="7"/>
                <w:color w:val="auto"/>
              </w:rPr>
            </w:pPr>
          </w:p>
        </w:tc>
        <w:tc>
          <w:tcPr>
            <w:tcW w:w="1560" w:type="dxa"/>
            <w:vAlign w:val="bottom"/>
            <w:shd w:val="clear" w:color="auto" w:fill="F2F2F2"/>
          </w:tcPr>
          <w:p>
            <w:pPr>
              <w:spacing w:after="0"/>
              <w:rPr>
                <w:sz w:val="7"/>
                <w:szCs w:val="7"/>
                <w:color w:val="auto"/>
              </w:rPr>
            </w:pPr>
          </w:p>
        </w:tc>
      </w:tr>
      <w:tr>
        <w:trPr>
          <w:trHeight w:val="295"/>
        </w:trPr>
        <w:tc>
          <w:tcPr>
            <w:tcW w:w="3220" w:type="dxa"/>
            <w:vAlign w:val="bottom"/>
          </w:tcPr>
          <w:p>
            <w:pPr>
              <w:ind w:left="80"/>
              <w:spacing w:after="0"/>
              <w:rPr>
                <w:sz w:val="20"/>
                <w:szCs w:val="20"/>
                <w:color w:val="auto"/>
              </w:rPr>
            </w:pPr>
            <w:r>
              <w:rPr>
                <w:rFonts w:ascii="Arial" w:cs="Arial" w:eastAsia="Arial" w:hAnsi="Arial"/>
                <w:sz w:val="16"/>
                <w:szCs w:val="16"/>
                <w:color w:val="auto"/>
              </w:rPr>
              <w:t>Timothy Regan</w:t>
            </w:r>
          </w:p>
        </w:tc>
        <w:tc>
          <w:tcPr>
            <w:tcW w:w="3060" w:type="dxa"/>
            <w:vAlign w:val="bottom"/>
          </w:tcPr>
          <w:p>
            <w:pPr>
              <w:jc w:val="center"/>
              <w:ind w:left="1162"/>
              <w:spacing w:after="0"/>
              <w:rPr>
                <w:sz w:val="20"/>
                <w:szCs w:val="20"/>
                <w:color w:val="auto"/>
              </w:rPr>
            </w:pPr>
            <w:r>
              <w:rPr>
                <w:rFonts w:ascii="Arial" w:cs="Arial" w:eastAsia="Arial" w:hAnsi="Arial"/>
                <w:sz w:val="16"/>
                <w:szCs w:val="16"/>
                <w:color w:val="auto"/>
              </w:rPr>
              <w:t>450,000</w:t>
            </w:r>
          </w:p>
        </w:tc>
        <w:tc>
          <w:tcPr>
            <w:tcW w:w="1720" w:type="dxa"/>
            <w:vAlign w:val="bottom"/>
          </w:tcPr>
          <w:p>
            <w:pPr>
              <w:jc w:val="right"/>
              <w:ind w:right="562"/>
              <w:spacing w:after="0"/>
              <w:rPr>
                <w:sz w:val="20"/>
                <w:szCs w:val="20"/>
                <w:color w:val="auto"/>
              </w:rPr>
            </w:pPr>
            <w:r>
              <w:rPr>
                <w:rFonts w:ascii="Arial" w:cs="Arial" w:eastAsia="Arial" w:hAnsi="Arial"/>
                <w:sz w:val="16"/>
                <w:szCs w:val="16"/>
                <w:color w:val="auto"/>
              </w:rPr>
              <w:t>475,000</w:t>
            </w:r>
          </w:p>
        </w:tc>
        <w:tc>
          <w:tcPr>
            <w:tcW w:w="1560" w:type="dxa"/>
            <w:vAlign w:val="bottom"/>
          </w:tcPr>
          <w:p>
            <w:pPr>
              <w:jc w:val="right"/>
              <w:ind w:right="582"/>
              <w:spacing w:after="0"/>
              <w:rPr>
                <w:sz w:val="20"/>
                <w:szCs w:val="20"/>
                <w:color w:val="auto"/>
              </w:rPr>
            </w:pPr>
            <w:r>
              <w:rPr>
                <w:rFonts w:ascii="Arial" w:cs="Arial" w:eastAsia="Arial" w:hAnsi="Arial"/>
                <w:sz w:val="16"/>
                <w:szCs w:val="16"/>
                <w:color w:val="auto"/>
              </w:rPr>
              <w:t>6%</w:t>
            </w:r>
          </w:p>
        </w:tc>
      </w:tr>
      <w:tr>
        <w:trPr>
          <w:trHeight w:val="83"/>
        </w:trPr>
        <w:tc>
          <w:tcPr>
            <w:tcW w:w="3220" w:type="dxa"/>
            <w:vAlign w:val="bottom"/>
          </w:tcPr>
          <w:p>
            <w:pPr>
              <w:spacing w:after="0"/>
              <w:rPr>
                <w:sz w:val="7"/>
                <w:szCs w:val="7"/>
                <w:color w:val="auto"/>
              </w:rPr>
            </w:pPr>
          </w:p>
        </w:tc>
        <w:tc>
          <w:tcPr>
            <w:tcW w:w="3060" w:type="dxa"/>
            <w:vAlign w:val="bottom"/>
          </w:tcPr>
          <w:p>
            <w:pPr>
              <w:spacing w:after="0"/>
              <w:rPr>
                <w:sz w:val="7"/>
                <w:szCs w:val="7"/>
                <w:color w:val="auto"/>
              </w:rPr>
            </w:pPr>
          </w:p>
        </w:tc>
        <w:tc>
          <w:tcPr>
            <w:tcW w:w="1720" w:type="dxa"/>
            <w:vAlign w:val="bottom"/>
          </w:tcPr>
          <w:p>
            <w:pPr>
              <w:spacing w:after="0"/>
              <w:rPr>
                <w:sz w:val="7"/>
                <w:szCs w:val="7"/>
                <w:color w:val="auto"/>
              </w:rPr>
            </w:pPr>
          </w:p>
        </w:tc>
        <w:tc>
          <w:tcPr>
            <w:tcW w:w="1560" w:type="dxa"/>
            <w:vAlign w:val="bottom"/>
          </w:tcPr>
          <w:p>
            <w:pPr>
              <w:spacing w:after="0"/>
              <w:rPr>
                <w:sz w:val="7"/>
                <w:szCs w:val="7"/>
                <w:color w:val="auto"/>
              </w:rPr>
            </w:pPr>
          </w:p>
        </w:tc>
      </w:tr>
      <w:tr>
        <w:trPr>
          <w:trHeight w:val="295"/>
        </w:trPr>
        <w:tc>
          <w:tcPr>
            <w:tcW w:w="3220" w:type="dxa"/>
            <w:vAlign w:val="bottom"/>
            <w:shd w:val="clear" w:color="auto" w:fill="F2F2F2"/>
          </w:tcPr>
          <w:p>
            <w:pPr>
              <w:ind w:left="80"/>
              <w:spacing w:after="0"/>
              <w:rPr>
                <w:sz w:val="20"/>
                <w:szCs w:val="20"/>
                <w:color w:val="auto"/>
              </w:rPr>
            </w:pPr>
            <w:r>
              <w:rPr>
                <w:rFonts w:ascii="Arial" w:cs="Arial" w:eastAsia="Arial" w:hAnsi="Arial"/>
                <w:sz w:val="16"/>
                <w:szCs w:val="16"/>
                <w:color w:val="auto"/>
              </w:rPr>
              <w:t>Timothy Young</w:t>
            </w:r>
          </w:p>
        </w:tc>
        <w:tc>
          <w:tcPr>
            <w:tcW w:w="3060" w:type="dxa"/>
            <w:vAlign w:val="bottom"/>
            <w:shd w:val="clear" w:color="auto" w:fill="F2F2F2"/>
          </w:tcPr>
          <w:p>
            <w:pPr>
              <w:jc w:val="center"/>
              <w:ind w:left="1162"/>
              <w:spacing w:after="0"/>
              <w:rPr>
                <w:sz w:val="20"/>
                <w:szCs w:val="20"/>
                <w:color w:val="auto"/>
              </w:rPr>
            </w:pPr>
            <w:r>
              <w:rPr>
                <w:rFonts w:ascii="Arial" w:cs="Arial" w:eastAsia="Arial" w:hAnsi="Arial"/>
                <w:sz w:val="16"/>
                <w:szCs w:val="16"/>
                <w:color w:val="auto"/>
              </w:rPr>
              <w:t>600,000</w:t>
            </w:r>
          </w:p>
        </w:tc>
        <w:tc>
          <w:tcPr>
            <w:tcW w:w="1720" w:type="dxa"/>
            <w:vAlign w:val="bottom"/>
            <w:shd w:val="clear" w:color="auto" w:fill="F2F2F2"/>
          </w:tcPr>
          <w:p>
            <w:pPr>
              <w:jc w:val="right"/>
              <w:ind w:right="562"/>
              <w:spacing w:after="0"/>
              <w:rPr>
                <w:sz w:val="20"/>
                <w:szCs w:val="20"/>
                <w:color w:val="auto"/>
              </w:rPr>
            </w:pPr>
            <w:r>
              <w:rPr>
                <w:rFonts w:ascii="Arial" w:cs="Arial" w:eastAsia="Arial" w:hAnsi="Arial"/>
                <w:sz w:val="16"/>
                <w:szCs w:val="16"/>
                <w:color w:val="auto"/>
              </w:rPr>
              <w:t>600,000</w:t>
            </w:r>
          </w:p>
        </w:tc>
        <w:tc>
          <w:tcPr>
            <w:tcW w:w="1560" w:type="dxa"/>
            <w:vAlign w:val="bottom"/>
            <w:shd w:val="clear" w:color="auto" w:fill="F2F2F2"/>
          </w:tcPr>
          <w:p>
            <w:pPr>
              <w:jc w:val="right"/>
              <w:ind w:right="582"/>
              <w:spacing w:after="0"/>
              <w:rPr>
                <w:sz w:val="20"/>
                <w:szCs w:val="20"/>
                <w:color w:val="auto"/>
              </w:rPr>
            </w:pPr>
            <w:r>
              <w:rPr>
                <w:rFonts w:ascii="Arial" w:cs="Arial" w:eastAsia="Arial" w:hAnsi="Arial"/>
                <w:sz w:val="16"/>
                <w:szCs w:val="16"/>
                <w:color w:val="auto"/>
              </w:rPr>
              <w:t>0%</w:t>
            </w:r>
          </w:p>
        </w:tc>
      </w:tr>
      <w:tr>
        <w:trPr>
          <w:trHeight w:val="83"/>
        </w:trPr>
        <w:tc>
          <w:tcPr>
            <w:tcW w:w="3220" w:type="dxa"/>
            <w:vAlign w:val="bottom"/>
            <w:shd w:val="clear" w:color="auto" w:fill="F2F2F2"/>
          </w:tcPr>
          <w:p>
            <w:pPr>
              <w:spacing w:after="0"/>
              <w:rPr>
                <w:sz w:val="7"/>
                <w:szCs w:val="7"/>
                <w:color w:val="auto"/>
              </w:rPr>
            </w:pPr>
          </w:p>
        </w:tc>
        <w:tc>
          <w:tcPr>
            <w:tcW w:w="3060" w:type="dxa"/>
            <w:vAlign w:val="bottom"/>
            <w:shd w:val="clear" w:color="auto" w:fill="F2F2F2"/>
          </w:tcPr>
          <w:p>
            <w:pPr>
              <w:spacing w:after="0"/>
              <w:rPr>
                <w:sz w:val="7"/>
                <w:szCs w:val="7"/>
                <w:color w:val="auto"/>
              </w:rPr>
            </w:pPr>
          </w:p>
        </w:tc>
        <w:tc>
          <w:tcPr>
            <w:tcW w:w="1720" w:type="dxa"/>
            <w:vAlign w:val="bottom"/>
            <w:shd w:val="clear" w:color="auto" w:fill="F2F2F2"/>
          </w:tcPr>
          <w:p>
            <w:pPr>
              <w:spacing w:after="0"/>
              <w:rPr>
                <w:sz w:val="7"/>
                <w:szCs w:val="7"/>
                <w:color w:val="auto"/>
              </w:rPr>
            </w:pPr>
          </w:p>
        </w:tc>
        <w:tc>
          <w:tcPr>
            <w:tcW w:w="1560" w:type="dxa"/>
            <w:vAlign w:val="bottom"/>
            <w:shd w:val="clear" w:color="auto" w:fill="F2F2F2"/>
          </w:tcPr>
          <w:p>
            <w:pPr>
              <w:spacing w:after="0"/>
              <w:rPr>
                <w:sz w:val="7"/>
                <w:szCs w:val="7"/>
                <w:color w:val="auto"/>
              </w:rPr>
            </w:pPr>
          </w:p>
        </w:tc>
      </w:tr>
      <w:tr>
        <w:trPr>
          <w:trHeight w:val="295"/>
        </w:trPr>
        <w:tc>
          <w:tcPr>
            <w:tcW w:w="3220" w:type="dxa"/>
            <w:vAlign w:val="bottom"/>
          </w:tcPr>
          <w:p>
            <w:pPr>
              <w:ind w:left="80"/>
              <w:spacing w:after="0"/>
              <w:rPr>
                <w:sz w:val="20"/>
                <w:szCs w:val="20"/>
                <w:color w:val="auto"/>
              </w:rPr>
            </w:pPr>
            <w:r>
              <w:rPr>
                <w:rFonts w:ascii="Arial" w:cs="Arial" w:eastAsia="Arial" w:hAnsi="Arial"/>
                <w:sz w:val="16"/>
                <w:szCs w:val="16"/>
                <w:color w:val="auto"/>
              </w:rPr>
              <w:t>Bart E. Volkmer</w:t>
            </w:r>
          </w:p>
        </w:tc>
        <w:tc>
          <w:tcPr>
            <w:tcW w:w="3060" w:type="dxa"/>
            <w:vAlign w:val="bottom"/>
          </w:tcPr>
          <w:p>
            <w:pPr>
              <w:jc w:val="center"/>
              <w:ind w:left="1162"/>
              <w:spacing w:after="0"/>
              <w:rPr>
                <w:sz w:val="20"/>
                <w:szCs w:val="20"/>
                <w:color w:val="auto"/>
              </w:rPr>
            </w:pPr>
            <w:r>
              <w:rPr>
                <w:rFonts w:ascii="Arial" w:cs="Arial" w:eastAsia="Arial" w:hAnsi="Arial"/>
                <w:sz w:val="16"/>
                <w:szCs w:val="16"/>
                <w:color w:val="auto"/>
              </w:rPr>
              <w:t>475,000</w:t>
            </w:r>
          </w:p>
        </w:tc>
        <w:tc>
          <w:tcPr>
            <w:tcW w:w="1720" w:type="dxa"/>
            <w:vAlign w:val="bottom"/>
          </w:tcPr>
          <w:p>
            <w:pPr>
              <w:jc w:val="right"/>
              <w:ind w:right="562"/>
              <w:spacing w:after="0"/>
              <w:rPr>
                <w:sz w:val="20"/>
                <w:szCs w:val="20"/>
                <w:color w:val="auto"/>
              </w:rPr>
            </w:pPr>
            <w:r>
              <w:rPr>
                <w:rFonts w:ascii="Arial" w:cs="Arial" w:eastAsia="Arial" w:hAnsi="Arial"/>
                <w:sz w:val="16"/>
                <w:szCs w:val="16"/>
                <w:color w:val="auto"/>
              </w:rPr>
              <w:t>475,000</w:t>
            </w:r>
          </w:p>
        </w:tc>
        <w:tc>
          <w:tcPr>
            <w:tcW w:w="1560" w:type="dxa"/>
            <w:vAlign w:val="bottom"/>
          </w:tcPr>
          <w:p>
            <w:pPr>
              <w:jc w:val="right"/>
              <w:ind w:right="582"/>
              <w:spacing w:after="0"/>
              <w:rPr>
                <w:sz w:val="20"/>
                <w:szCs w:val="20"/>
                <w:color w:val="auto"/>
              </w:rPr>
            </w:pPr>
            <w:r>
              <w:rPr>
                <w:rFonts w:ascii="Arial" w:cs="Arial" w:eastAsia="Arial" w:hAnsi="Arial"/>
                <w:sz w:val="16"/>
                <w:szCs w:val="16"/>
                <w:color w:val="auto"/>
              </w:rPr>
              <w:t>0%</w:t>
            </w:r>
          </w:p>
        </w:tc>
      </w:tr>
      <w:tr>
        <w:trPr>
          <w:trHeight w:val="83"/>
        </w:trPr>
        <w:tc>
          <w:tcPr>
            <w:tcW w:w="3220" w:type="dxa"/>
            <w:vAlign w:val="bottom"/>
          </w:tcPr>
          <w:p>
            <w:pPr>
              <w:spacing w:after="0"/>
              <w:rPr>
                <w:sz w:val="7"/>
                <w:szCs w:val="7"/>
                <w:color w:val="auto"/>
              </w:rPr>
            </w:pPr>
          </w:p>
        </w:tc>
        <w:tc>
          <w:tcPr>
            <w:tcW w:w="3060" w:type="dxa"/>
            <w:vAlign w:val="bottom"/>
          </w:tcPr>
          <w:p>
            <w:pPr>
              <w:spacing w:after="0"/>
              <w:rPr>
                <w:sz w:val="7"/>
                <w:szCs w:val="7"/>
                <w:color w:val="auto"/>
              </w:rPr>
            </w:pPr>
          </w:p>
        </w:tc>
        <w:tc>
          <w:tcPr>
            <w:tcW w:w="1720" w:type="dxa"/>
            <w:vAlign w:val="bottom"/>
          </w:tcPr>
          <w:p>
            <w:pPr>
              <w:spacing w:after="0"/>
              <w:rPr>
                <w:sz w:val="7"/>
                <w:szCs w:val="7"/>
                <w:color w:val="auto"/>
              </w:rPr>
            </w:pPr>
          </w:p>
        </w:tc>
        <w:tc>
          <w:tcPr>
            <w:tcW w:w="1560" w:type="dxa"/>
            <w:vAlign w:val="bottom"/>
          </w:tcPr>
          <w:p>
            <w:pPr>
              <w:spacing w:after="0"/>
              <w:rPr>
                <w:sz w:val="7"/>
                <w:szCs w:val="7"/>
                <w:color w:val="auto"/>
              </w:rPr>
            </w:pPr>
          </w:p>
        </w:tc>
      </w:tr>
      <w:tr>
        <w:trPr>
          <w:trHeight w:val="351"/>
        </w:trPr>
        <w:tc>
          <w:tcPr>
            <w:tcW w:w="3220" w:type="dxa"/>
            <w:vAlign w:val="bottom"/>
            <w:shd w:val="clear" w:color="auto" w:fill="F2F2F2"/>
          </w:tcPr>
          <w:p>
            <w:pPr>
              <w:ind w:left="80"/>
              <w:spacing w:after="0"/>
              <w:rPr>
                <w:sz w:val="20"/>
                <w:szCs w:val="20"/>
                <w:color w:val="auto"/>
              </w:rPr>
            </w:pPr>
            <w:r>
              <w:rPr>
                <w:rFonts w:ascii="Arial" w:cs="Arial" w:eastAsia="Arial" w:hAnsi="Arial"/>
                <w:sz w:val="16"/>
                <w:szCs w:val="16"/>
                <w:color w:val="auto"/>
              </w:rPr>
              <w:t>Olivia Nottebohm</w:t>
            </w:r>
            <w:r>
              <w:rPr>
                <w:rFonts w:ascii="Arial" w:cs="Arial" w:eastAsia="Arial" w:hAnsi="Arial"/>
                <w:sz w:val="26"/>
                <w:szCs w:val="26"/>
                <w:color w:val="auto"/>
                <w:vertAlign w:val="superscript"/>
              </w:rPr>
              <w:t>(1)</w:t>
            </w:r>
          </w:p>
        </w:tc>
        <w:tc>
          <w:tcPr>
            <w:tcW w:w="3060" w:type="dxa"/>
            <w:vAlign w:val="bottom"/>
            <w:shd w:val="clear" w:color="auto" w:fill="F2F2F2"/>
          </w:tcPr>
          <w:p>
            <w:pPr>
              <w:jc w:val="center"/>
              <w:ind w:left="1162"/>
              <w:spacing w:after="0"/>
              <w:rPr>
                <w:sz w:val="20"/>
                <w:szCs w:val="20"/>
                <w:color w:val="auto"/>
              </w:rPr>
            </w:pPr>
            <w:r>
              <w:rPr>
                <w:rFonts w:ascii="Arial" w:cs="Arial" w:eastAsia="Arial" w:hAnsi="Arial"/>
                <w:sz w:val="16"/>
                <w:szCs w:val="16"/>
                <w:color w:val="auto"/>
              </w:rPr>
              <w:t>500,000</w:t>
            </w:r>
          </w:p>
        </w:tc>
        <w:tc>
          <w:tcPr>
            <w:tcW w:w="1720" w:type="dxa"/>
            <w:vAlign w:val="bottom"/>
            <w:shd w:val="clear" w:color="auto" w:fill="F2F2F2"/>
          </w:tcPr>
          <w:p>
            <w:pPr>
              <w:jc w:val="right"/>
              <w:ind w:right="562"/>
              <w:spacing w:after="0"/>
              <w:rPr>
                <w:sz w:val="20"/>
                <w:szCs w:val="20"/>
                <w:color w:val="auto"/>
              </w:rPr>
            </w:pPr>
            <w:r>
              <w:rPr>
                <w:rFonts w:ascii="Arial" w:cs="Arial" w:eastAsia="Arial" w:hAnsi="Arial"/>
                <w:sz w:val="16"/>
                <w:szCs w:val="16"/>
                <w:color w:val="auto"/>
              </w:rPr>
              <w:t>—</w:t>
            </w:r>
          </w:p>
        </w:tc>
        <w:tc>
          <w:tcPr>
            <w:tcW w:w="1560" w:type="dxa"/>
            <w:vAlign w:val="bottom"/>
            <w:shd w:val="clear" w:color="auto" w:fill="F2F2F2"/>
          </w:tcPr>
          <w:p>
            <w:pPr>
              <w:jc w:val="right"/>
              <w:ind w:right="562"/>
              <w:spacing w:after="0"/>
              <w:rPr>
                <w:sz w:val="20"/>
                <w:szCs w:val="20"/>
                <w:color w:val="auto"/>
              </w:rPr>
            </w:pPr>
            <w:r>
              <w:rPr>
                <w:rFonts w:ascii="Arial" w:cs="Arial" w:eastAsia="Arial" w:hAnsi="Arial"/>
                <w:sz w:val="16"/>
                <w:szCs w:val="16"/>
                <w:color w:val="auto"/>
              </w:rPr>
              <w:t>N/A</w:t>
            </w:r>
          </w:p>
        </w:tc>
      </w:tr>
    </w:tbl>
    <w:p>
      <w:pPr>
        <w:spacing w:after="0" w:line="36" w:lineRule="exact"/>
        <w:rPr>
          <w:sz w:val="20"/>
          <w:szCs w:val="20"/>
          <w:color w:val="auto"/>
        </w:rPr>
      </w:pPr>
    </w:p>
    <w:p>
      <w:pPr>
        <w:ind w:left="960" w:hanging="244"/>
        <w:spacing w:after="0"/>
        <w:tabs>
          <w:tab w:leader="none" w:pos="960" w:val="left"/>
        </w:tabs>
        <w:numPr>
          <w:ilvl w:val="0"/>
          <w:numId w:val="62"/>
        </w:numPr>
        <w:rPr>
          <w:rFonts w:ascii="Arial" w:cs="Arial" w:eastAsia="Arial" w:hAnsi="Arial"/>
          <w:sz w:val="22"/>
          <w:szCs w:val="22"/>
          <w:color w:val="auto"/>
          <w:vertAlign w:val="superscript"/>
        </w:rPr>
      </w:pPr>
      <w:r>
        <w:rPr>
          <w:rFonts w:ascii="Arial" w:cs="Arial" w:eastAsia="Arial" w:hAnsi="Arial"/>
          <w:sz w:val="14"/>
          <w:szCs w:val="14"/>
          <w:color w:val="auto"/>
        </w:rPr>
        <w:t>Ms. Nottebohm joined the company in February 2020 and resigned from the company in February 2021.</w:t>
      </w:r>
    </w:p>
    <w:p>
      <w:pPr>
        <w:spacing w:after="0" w:line="129" w:lineRule="exact"/>
        <w:rPr>
          <w:sz w:val="20"/>
          <w:szCs w:val="20"/>
          <w:color w:val="auto"/>
        </w:rPr>
      </w:pPr>
    </w:p>
    <w:p>
      <w:pPr>
        <w:ind w:left="720" w:right="740"/>
        <w:spacing w:after="0" w:line="286" w:lineRule="auto"/>
        <w:rPr>
          <w:sz w:val="20"/>
          <w:szCs w:val="20"/>
          <w:color w:val="auto"/>
        </w:rPr>
      </w:pPr>
      <w:r>
        <w:rPr>
          <w:rFonts w:ascii="Arial" w:cs="Arial" w:eastAsia="Arial" w:hAnsi="Arial"/>
          <w:sz w:val="16"/>
          <w:szCs w:val="16"/>
          <w:color w:val="auto"/>
        </w:rPr>
        <w:t>The base salaries paid to our named executive officers during 2021 are set forth in the “</w:t>
      </w:r>
      <w:r>
        <w:rPr>
          <w:rFonts w:ascii="Arial" w:cs="Arial" w:eastAsia="Arial" w:hAnsi="Arial"/>
          <w:sz w:val="16"/>
          <w:szCs w:val="16"/>
          <w:i w:val="1"/>
          <w:iCs w:val="1"/>
          <w:color w:val="auto"/>
        </w:rPr>
        <w:t>Summary Compensation Table for Fiscal Year</w:t>
      </w:r>
      <w:r>
        <w:rPr>
          <w:rFonts w:ascii="Arial" w:cs="Arial" w:eastAsia="Arial" w:hAnsi="Arial"/>
          <w:sz w:val="16"/>
          <w:szCs w:val="16"/>
          <w:color w:val="auto"/>
        </w:rPr>
        <w:t xml:space="preserve"> </w:t>
      </w:r>
      <w:r>
        <w:rPr>
          <w:rFonts w:ascii="Arial" w:cs="Arial" w:eastAsia="Arial" w:hAnsi="Arial"/>
          <w:sz w:val="16"/>
          <w:szCs w:val="16"/>
          <w:i w:val="1"/>
          <w:iCs w:val="1"/>
          <w:color w:val="auto"/>
        </w:rPr>
        <w:t>2021</w:t>
      </w:r>
      <w:r>
        <w:rPr>
          <w:rFonts w:ascii="Arial" w:cs="Arial" w:eastAsia="Arial" w:hAnsi="Arial"/>
          <w:sz w:val="16"/>
          <w:szCs w:val="16"/>
          <w:color w:val="auto"/>
        </w:rPr>
        <w:t>” below.</w:t>
      </w:r>
    </w:p>
    <w:p>
      <w:pPr>
        <w:spacing w:after="0" w:line="210"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Annual Cash Bonuses</w:t>
      </w:r>
    </w:p>
    <w:p>
      <w:pPr>
        <w:spacing w:after="0" w:line="39" w:lineRule="exact"/>
        <w:rPr>
          <w:sz w:val="20"/>
          <w:szCs w:val="20"/>
          <w:color w:val="auto"/>
        </w:rPr>
      </w:pPr>
    </w:p>
    <w:p>
      <w:pPr>
        <w:ind w:left="720" w:right="880"/>
        <w:spacing w:after="0" w:line="256" w:lineRule="auto"/>
        <w:rPr>
          <w:sz w:val="20"/>
          <w:szCs w:val="20"/>
          <w:color w:val="auto"/>
        </w:rPr>
      </w:pPr>
      <w:r>
        <w:rPr>
          <w:rFonts w:ascii="Arial" w:cs="Arial" w:eastAsia="Arial" w:hAnsi="Arial"/>
          <w:sz w:val="16"/>
          <w:szCs w:val="16"/>
          <w:color w:val="auto"/>
        </w:rPr>
        <w:t>In March 2021, the compensation committee, with input from management, adopted our 2021 annual cash bonus plan (the “2021 Cash Bonus Plan”), which was designed to provide financial incentives for us to meet or exceed the pre-established target levels for revenue and operating margin established under our 2021 annual operating plan. The 2021 Cash Bonus Plan funded based on our actual achievement against the pre-established target levels for the corporate performance measure.</w:t>
      </w:r>
    </w:p>
    <w:p>
      <w:pPr>
        <w:spacing w:after="0" w:line="180" w:lineRule="exact"/>
        <w:rPr>
          <w:sz w:val="20"/>
          <w:szCs w:val="20"/>
          <w:color w:val="auto"/>
        </w:rPr>
      </w:pPr>
    </w:p>
    <w:p>
      <w:pPr>
        <w:ind w:left="720"/>
        <w:spacing w:after="0"/>
        <w:rPr>
          <w:sz w:val="20"/>
          <w:szCs w:val="20"/>
          <w:color w:val="auto"/>
        </w:rPr>
      </w:pPr>
      <w:r>
        <w:rPr>
          <w:rFonts w:ascii="Arial" w:cs="Arial" w:eastAsia="Arial" w:hAnsi="Arial"/>
          <w:sz w:val="16"/>
          <w:szCs w:val="16"/>
          <w:b w:val="1"/>
          <w:bCs w:val="1"/>
          <w:u w:val="single" w:color="auto"/>
          <w:color w:val="auto"/>
        </w:rPr>
        <w:t>Target Annual Cash Bonus Opportunities</w:t>
      </w:r>
    </w:p>
    <w:p>
      <w:pPr>
        <w:spacing w:after="0" w:line="167" w:lineRule="exact"/>
        <w:rPr>
          <w:sz w:val="20"/>
          <w:szCs w:val="20"/>
          <w:color w:val="auto"/>
        </w:rPr>
      </w:pPr>
    </w:p>
    <w:p>
      <w:pPr>
        <w:ind w:left="720" w:right="740"/>
        <w:spacing w:after="0" w:line="254" w:lineRule="auto"/>
        <w:rPr>
          <w:sz w:val="20"/>
          <w:szCs w:val="20"/>
          <w:color w:val="auto"/>
        </w:rPr>
      </w:pPr>
      <w:r>
        <w:rPr>
          <w:rFonts w:ascii="Arial" w:cs="Arial" w:eastAsia="Arial" w:hAnsi="Arial"/>
          <w:sz w:val="16"/>
          <w:szCs w:val="16"/>
          <w:color w:val="auto"/>
        </w:rPr>
        <w:t>Under the 2021 Cash Bonus Plan, cash bonus payments were based upon an eligible percentage of each participant’s base salary. In March 2021, the compensation committee reviewed and approved the target annual cash bonus opportunities of our executive officers, taking into consideration the recommendations of our chief executive officer (except with respect to his own target annual cash bonus opportunity) as well as the other factors described in “</w:t>
      </w:r>
      <w:r>
        <w:rPr>
          <w:rFonts w:ascii="Arial" w:cs="Arial" w:eastAsia="Arial" w:hAnsi="Arial"/>
          <w:sz w:val="16"/>
          <w:szCs w:val="16"/>
          <w:i w:val="1"/>
          <w:iCs w:val="1"/>
          <w:color w:val="auto"/>
        </w:rPr>
        <w:t>Compensation-Setting Process— Compensation Setting</w:t>
      </w:r>
      <w:r>
        <w:rPr>
          <w:rFonts w:ascii="Arial" w:cs="Arial" w:eastAsia="Arial" w:hAnsi="Arial"/>
          <w:sz w:val="16"/>
          <w:szCs w:val="16"/>
          <w:color w:val="auto"/>
        </w:rPr>
        <w:t>” above. Based on this review, the compensation committee decided to make no adjustment to the target annual cash bonus opportunity (as a percentage of base salary) of each of our named executive officers.</w:t>
      </w:r>
    </w:p>
    <w:p>
      <w:pPr>
        <w:spacing w:after="0" w:line="187"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37</w:t>
            </w:r>
          </w:p>
        </w:tc>
      </w:tr>
      <w:tr>
        <w:trPr>
          <w:trHeight w:val="171"/>
        </w:trPr>
        <w:tc>
          <w:tcPr>
            <w:tcW w:w="99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41" w:name="page42"/>
    <w:bookmarkEnd w:id="41"/>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4"/>
        <w:spacing w:after="0"/>
        <w:rPr>
          <w:sz w:val="20"/>
          <w:szCs w:val="20"/>
          <w:color w:val="auto"/>
        </w:rPr>
      </w:pPr>
      <w:r>
        <w:rPr>
          <w:rFonts w:ascii="Arial" w:cs="Arial" w:eastAsia="Arial" w:hAnsi="Arial"/>
          <w:sz w:val="16"/>
          <w:szCs w:val="16"/>
          <w:color w:val="auto"/>
        </w:rPr>
        <w:t>The 2021 target annual cash bonus opportunities for our named executive officers were: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55245</wp:posOffset>
            </wp:positionV>
            <wp:extent cx="6077585" cy="13887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6077585" cy="1388745"/>
                    </a:xfrm>
                    <a:prstGeom prst="rect">
                      <a:avLst/>
                    </a:prstGeom>
                    <a:noFill/>
                  </pic:spPr>
                </pic:pic>
              </a:graphicData>
            </a:graphic>
          </wp:anchor>
        </w:drawing>
      </w:r>
    </w:p>
    <w:p>
      <w:pPr>
        <w:spacing w:after="0" w:line="67" w:lineRule="exact"/>
        <w:rPr>
          <w:sz w:val="20"/>
          <w:szCs w:val="20"/>
          <w:color w:val="auto"/>
        </w:rPr>
      </w:pPr>
    </w:p>
    <w:tbl>
      <w:tblPr>
        <w:tblLayout w:type="fixed"/>
        <w:tblInd w:w="4" w:type="dxa"/>
        <w:tblCellMar>
          <w:top w:w="0" w:type="dxa"/>
          <w:left w:w="0" w:type="dxa"/>
          <w:bottom w:w="0" w:type="dxa"/>
          <w:right w:w="0" w:type="dxa"/>
        </w:tblCellMar>
      </w:tblPr>
      <w:tr>
        <w:trPr>
          <w:trHeight w:val="261"/>
        </w:trPr>
        <w:tc>
          <w:tcPr>
            <w:tcW w:w="3520" w:type="dxa"/>
            <w:vAlign w:val="bottom"/>
            <w:shd w:val="clear" w:color="auto" w:fill="0063A6"/>
          </w:tcPr>
          <w:p>
            <w:pPr>
              <w:spacing w:after="0"/>
              <w:rPr>
                <w:sz w:val="22"/>
                <w:szCs w:val="22"/>
                <w:color w:val="auto"/>
              </w:rPr>
            </w:pPr>
          </w:p>
        </w:tc>
        <w:tc>
          <w:tcPr>
            <w:tcW w:w="4020" w:type="dxa"/>
            <w:vAlign w:val="bottom"/>
            <w:shd w:val="clear" w:color="auto" w:fill="0063A6"/>
          </w:tcPr>
          <w:p>
            <w:pPr>
              <w:jc w:val="center"/>
              <w:ind w:left="1303"/>
              <w:spacing w:after="0"/>
              <w:rPr>
                <w:sz w:val="20"/>
                <w:szCs w:val="20"/>
                <w:color w:val="auto"/>
              </w:rPr>
            </w:pPr>
            <w:r>
              <w:rPr>
                <w:rFonts w:ascii="Arial" w:cs="Arial" w:eastAsia="Arial" w:hAnsi="Arial"/>
                <w:sz w:val="14"/>
                <w:szCs w:val="14"/>
                <w:b w:val="1"/>
                <w:bCs w:val="1"/>
                <w:color w:val="FFFFFF"/>
              </w:rPr>
              <w:t>Target Annual</w:t>
            </w:r>
          </w:p>
        </w:tc>
        <w:tc>
          <w:tcPr>
            <w:tcW w:w="2020" w:type="dxa"/>
            <w:vAlign w:val="bottom"/>
            <w:shd w:val="clear" w:color="auto" w:fill="0063A6"/>
          </w:tcPr>
          <w:p>
            <w:pPr>
              <w:spacing w:after="0"/>
              <w:rPr>
                <w:sz w:val="22"/>
                <w:szCs w:val="22"/>
                <w:color w:val="auto"/>
              </w:rPr>
            </w:pPr>
          </w:p>
        </w:tc>
        <w:tc>
          <w:tcPr>
            <w:tcW w:w="0" w:type="dxa"/>
            <w:vAlign w:val="bottom"/>
          </w:tcPr>
          <w:p>
            <w:pPr>
              <w:spacing w:after="0"/>
              <w:rPr>
                <w:sz w:val="1"/>
                <w:szCs w:val="1"/>
                <w:color w:val="auto"/>
              </w:rPr>
            </w:pPr>
          </w:p>
        </w:tc>
      </w:tr>
      <w:tr>
        <w:trPr>
          <w:trHeight w:val="162"/>
        </w:trPr>
        <w:tc>
          <w:tcPr>
            <w:tcW w:w="3520" w:type="dxa"/>
            <w:vAlign w:val="bottom"/>
            <w:vMerge w:val="restart"/>
            <w:shd w:val="clear" w:color="auto" w:fill="0063A6"/>
          </w:tcPr>
          <w:p>
            <w:pPr>
              <w:ind w:left="60"/>
              <w:spacing w:after="0"/>
              <w:rPr>
                <w:sz w:val="20"/>
                <w:szCs w:val="20"/>
                <w:color w:val="auto"/>
              </w:rPr>
            </w:pPr>
            <w:r>
              <w:rPr>
                <w:rFonts w:ascii="Arial" w:cs="Arial" w:eastAsia="Arial" w:hAnsi="Arial"/>
                <w:sz w:val="14"/>
                <w:szCs w:val="14"/>
                <w:b w:val="1"/>
                <w:bCs w:val="1"/>
                <w:color w:val="FFFFFF"/>
              </w:rPr>
              <w:t>Named Executive Officer</w:t>
            </w:r>
            <w:r>
              <w:rPr>
                <w:rFonts w:ascii="Arial" w:cs="Arial" w:eastAsia="Arial" w:hAnsi="Arial"/>
                <w:sz w:val="23"/>
                <w:szCs w:val="23"/>
                <w:b w:val="1"/>
                <w:bCs w:val="1"/>
                <w:color w:val="FFFFFF"/>
                <w:vertAlign w:val="superscript"/>
              </w:rPr>
              <w:t>(1)</w:t>
            </w:r>
          </w:p>
        </w:tc>
        <w:tc>
          <w:tcPr>
            <w:tcW w:w="4020" w:type="dxa"/>
            <w:vAlign w:val="bottom"/>
            <w:shd w:val="clear" w:color="auto" w:fill="0063A6"/>
          </w:tcPr>
          <w:p>
            <w:pPr>
              <w:jc w:val="center"/>
              <w:ind w:left="1323"/>
              <w:spacing w:after="0"/>
              <w:rPr>
                <w:sz w:val="20"/>
                <w:szCs w:val="20"/>
                <w:color w:val="auto"/>
              </w:rPr>
            </w:pPr>
            <w:r>
              <w:rPr>
                <w:rFonts w:ascii="Arial" w:cs="Arial" w:eastAsia="Arial" w:hAnsi="Arial"/>
                <w:sz w:val="14"/>
                <w:szCs w:val="14"/>
                <w:b w:val="1"/>
                <w:bCs w:val="1"/>
                <w:color w:val="FFFFFF"/>
              </w:rPr>
              <w:t>Cash Bonus Opportunity</w:t>
            </w:r>
          </w:p>
        </w:tc>
        <w:tc>
          <w:tcPr>
            <w:tcW w:w="20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2021 Target Annual Cash</w:t>
            </w:r>
          </w:p>
        </w:tc>
        <w:tc>
          <w:tcPr>
            <w:tcW w:w="0" w:type="dxa"/>
            <w:vAlign w:val="bottom"/>
          </w:tcPr>
          <w:p>
            <w:pPr>
              <w:spacing w:after="0"/>
              <w:rPr>
                <w:sz w:val="1"/>
                <w:szCs w:val="1"/>
                <w:color w:val="auto"/>
              </w:rPr>
            </w:pPr>
          </w:p>
        </w:tc>
      </w:tr>
      <w:tr>
        <w:trPr>
          <w:trHeight w:val="266"/>
        </w:trPr>
        <w:tc>
          <w:tcPr>
            <w:tcW w:w="3520" w:type="dxa"/>
            <w:vAlign w:val="bottom"/>
            <w:vMerge w:val="continue"/>
            <w:shd w:val="clear" w:color="auto" w:fill="0063A6"/>
          </w:tcPr>
          <w:p>
            <w:pPr>
              <w:spacing w:after="0"/>
              <w:rPr>
                <w:sz w:val="23"/>
                <w:szCs w:val="23"/>
                <w:color w:val="auto"/>
              </w:rPr>
            </w:pPr>
          </w:p>
        </w:tc>
        <w:tc>
          <w:tcPr>
            <w:tcW w:w="4020" w:type="dxa"/>
            <w:vAlign w:val="bottom"/>
            <w:shd w:val="clear" w:color="auto" w:fill="0063A6"/>
          </w:tcPr>
          <w:p>
            <w:pPr>
              <w:jc w:val="center"/>
              <w:ind w:left="1363"/>
              <w:spacing w:after="0"/>
              <w:rPr>
                <w:sz w:val="20"/>
                <w:szCs w:val="20"/>
                <w:color w:val="auto"/>
              </w:rPr>
            </w:pPr>
            <w:r>
              <w:rPr>
                <w:rFonts w:ascii="Arial" w:cs="Arial" w:eastAsia="Arial" w:hAnsi="Arial"/>
                <w:sz w:val="14"/>
                <w:szCs w:val="14"/>
                <w:b w:val="1"/>
                <w:bCs w:val="1"/>
                <w:color w:val="FFFFFF"/>
              </w:rPr>
              <w:t>(as a Percentage of Base Salary)</w:t>
            </w:r>
          </w:p>
        </w:tc>
        <w:tc>
          <w:tcPr>
            <w:tcW w:w="20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Bonus Opportunity ($)</w:t>
            </w:r>
          </w:p>
        </w:tc>
        <w:tc>
          <w:tcPr>
            <w:tcW w:w="0" w:type="dxa"/>
            <w:vAlign w:val="bottom"/>
          </w:tcPr>
          <w:p>
            <w:pPr>
              <w:spacing w:after="0"/>
              <w:rPr>
                <w:sz w:val="1"/>
                <w:szCs w:val="1"/>
                <w:color w:val="auto"/>
              </w:rPr>
            </w:pPr>
          </w:p>
        </w:tc>
      </w:tr>
      <w:tr>
        <w:trPr>
          <w:trHeight w:val="295"/>
        </w:trPr>
        <w:tc>
          <w:tcPr>
            <w:tcW w:w="3520" w:type="dxa"/>
            <w:vAlign w:val="bottom"/>
            <w:shd w:val="clear" w:color="auto" w:fill="F2F2F2"/>
          </w:tcPr>
          <w:p>
            <w:pPr>
              <w:ind w:left="60"/>
              <w:spacing w:after="0"/>
              <w:rPr>
                <w:sz w:val="20"/>
                <w:szCs w:val="20"/>
                <w:color w:val="auto"/>
              </w:rPr>
            </w:pPr>
            <w:r>
              <w:rPr>
                <w:rFonts w:ascii="Arial" w:cs="Arial" w:eastAsia="Arial" w:hAnsi="Arial"/>
                <w:sz w:val="16"/>
                <w:szCs w:val="16"/>
                <w:color w:val="auto"/>
              </w:rPr>
              <w:t>Andrew W. Houston</w:t>
            </w:r>
          </w:p>
        </w:tc>
        <w:tc>
          <w:tcPr>
            <w:tcW w:w="4020" w:type="dxa"/>
            <w:vAlign w:val="bottom"/>
            <w:shd w:val="clear" w:color="auto" w:fill="F2F2F2"/>
          </w:tcPr>
          <w:p>
            <w:pPr>
              <w:jc w:val="center"/>
              <w:ind w:left="1343"/>
              <w:spacing w:after="0"/>
              <w:rPr>
                <w:sz w:val="20"/>
                <w:szCs w:val="20"/>
                <w:color w:val="auto"/>
              </w:rPr>
            </w:pPr>
            <w:r>
              <w:rPr>
                <w:rFonts w:ascii="Arial" w:cs="Arial" w:eastAsia="Arial" w:hAnsi="Arial"/>
                <w:sz w:val="16"/>
                <w:szCs w:val="16"/>
                <w:color w:val="auto"/>
                <w:w w:val="97"/>
              </w:rPr>
              <w:t>100%</w:t>
            </w:r>
          </w:p>
        </w:tc>
        <w:tc>
          <w:tcPr>
            <w:tcW w:w="20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606,506</w:t>
            </w:r>
          </w:p>
        </w:tc>
        <w:tc>
          <w:tcPr>
            <w:tcW w:w="0" w:type="dxa"/>
            <w:vAlign w:val="bottom"/>
          </w:tcPr>
          <w:p>
            <w:pPr>
              <w:spacing w:after="0"/>
              <w:rPr>
                <w:sz w:val="1"/>
                <w:szCs w:val="1"/>
                <w:color w:val="auto"/>
              </w:rPr>
            </w:pPr>
          </w:p>
        </w:tc>
      </w:tr>
      <w:tr>
        <w:trPr>
          <w:trHeight w:val="83"/>
        </w:trPr>
        <w:tc>
          <w:tcPr>
            <w:tcW w:w="3520" w:type="dxa"/>
            <w:vAlign w:val="bottom"/>
            <w:shd w:val="clear" w:color="auto" w:fill="F2F2F2"/>
          </w:tcPr>
          <w:p>
            <w:pPr>
              <w:spacing w:after="0"/>
              <w:rPr>
                <w:sz w:val="7"/>
                <w:szCs w:val="7"/>
                <w:color w:val="auto"/>
              </w:rPr>
            </w:pPr>
          </w:p>
        </w:tc>
        <w:tc>
          <w:tcPr>
            <w:tcW w:w="4020" w:type="dxa"/>
            <w:vAlign w:val="bottom"/>
            <w:shd w:val="clear" w:color="auto" w:fill="F2F2F2"/>
          </w:tcPr>
          <w:p>
            <w:pPr>
              <w:spacing w:after="0"/>
              <w:rPr>
                <w:sz w:val="7"/>
                <w:szCs w:val="7"/>
                <w:color w:val="auto"/>
              </w:rPr>
            </w:pPr>
          </w:p>
        </w:tc>
        <w:tc>
          <w:tcPr>
            <w:tcW w:w="2020" w:type="dxa"/>
            <w:vAlign w:val="bottom"/>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3520" w:type="dxa"/>
            <w:vAlign w:val="bottom"/>
          </w:tcPr>
          <w:p>
            <w:pPr>
              <w:ind w:left="60"/>
              <w:spacing w:after="0"/>
              <w:rPr>
                <w:sz w:val="20"/>
                <w:szCs w:val="20"/>
                <w:color w:val="auto"/>
              </w:rPr>
            </w:pPr>
            <w:r>
              <w:rPr>
                <w:rFonts w:ascii="Arial" w:cs="Arial" w:eastAsia="Arial" w:hAnsi="Arial"/>
                <w:sz w:val="16"/>
                <w:szCs w:val="16"/>
                <w:color w:val="auto"/>
              </w:rPr>
              <w:t>Timothy Regan</w:t>
            </w:r>
          </w:p>
        </w:tc>
        <w:tc>
          <w:tcPr>
            <w:tcW w:w="4020" w:type="dxa"/>
            <w:vAlign w:val="bottom"/>
          </w:tcPr>
          <w:p>
            <w:pPr>
              <w:jc w:val="right"/>
              <w:ind w:right="1023"/>
              <w:spacing w:after="0"/>
              <w:rPr>
                <w:sz w:val="20"/>
                <w:szCs w:val="20"/>
                <w:color w:val="auto"/>
              </w:rPr>
            </w:pPr>
            <w:r>
              <w:rPr>
                <w:rFonts w:ascii="Arial" w:cs="Arial" w:eastAsia="Arial" w:hAnsi="Arial"/>
                <w:sz w:val="16"/>
                <w:szCs w:val="16"/>
                <w:color w:val="auto"/>
              </w:rPr>
              <w:t>65%</w:t>
            </w:r>
          </w:p>
        </w:tc>
        <w:tc>
          <w:tcPr>
            <w:tcW w:w="2020" w:type="dxa"/>
            <w:vAlign w:val="bottom"/>
          </w:tcPr>
          <w:p>
            <w:pPr>
              <w:jc w:val="center"/>
              <w:spacing w:after="0"/>
              <w:rPr>
                <w:sz w:val="20"/>
                <w:szCs w:val="20"/>
                <w:color w:val="auto"/>
              </w:rPr>
            </w:pPr>
            <w:r>
              <w:rPr>
                <w:rFonts w:ascii="Arial" w:cs="Arial" w:eastAsia="Arial" w:hAnsi="Arial"/>
                <w:sz w:val="16"/>
                <w:szCs w:val="16"/>
                <w:color w:val="auto"/>
              </w:rPr>
              <w:t>307,369</w:t>
            </w:r>
          </w:p>
        </w:tc>
        <w:tc>
          <w:tcPr>
            <w:tcW w:w="0" w:type="dxa"/>
            <w:vAlign w:val="bottom"/>
          </w:tcPr>
          <w:p>
            <w:pPr>
              <w:spacing w:after="0"/>
              <w:rPr>
                <w:sz w:val="1"/>
                <w:szCs w:val="1"/>
                <w:color w:val="auto"/>
              </w:rPr>
            </w:pPr>
          </w:p>
        </w:tc>
      </w:tr>
      <w:tr>
        <w:trPr>
          <w:trHeight w:val="83"/>
        </w:trPr>
        <w:tc>
          <w:tcPr>
            <w:tcW w:w="3520" w:type="dxa"/>
            <w:vAlign w:val="bottom"/>
          </w:tcPr>
          <w:p>
            <w:pPr>
              <w:spacing w:after="0"/>
              <w:rPr>
                <w:sz w:val="7"/>
                <w:szCs w:val="7"/>
                <w:color w:val="auto"/>
              </w:rPr>
            </w:pPr>
          </w:p>
        </w:tc>
        <w:tc>
          <w:tcPr>
            <w:tcW w:w="4020" w:type="dxa"/>
            <w:vAlign w:val="bottom"/>
          </w:tcPr>
          <w:p>
            <w:pPr>
              <w:spacing w:after="0"/>
              <w:rPr>
                <w:sz w:val="7"/>
                <w:szCs w:val="7"/>
                <w:color w:val="auto"/>
              </w:rPr>
            </w:pPr>
          </w:p>
        </w:tc>
        <w:tc>
          <w:tcPr>
            <w:tcW w:w="20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3520" w:type="dxa"/>
            <w:vAlign w:val="bottom"/>
            <w:shd w:val="clear" w:color="auto" w:fill="F2F2F2"/>
          </w:tcPr>
          <w:p>
            <w:pPr>
              <w:ind w:left="60"/>
              <w:spacing w:after="0"/>
              <w:rPr>
                <w:sz w:val="20"/>
                <w:szCs w:val="20"/>
                <w:color w:val="auto"/>
              </w:rPr>
            </w:pPr>
            <w:r>
              <w:rPr>
                <w:rFonts w:ascii="Arial" w:cs="Arial" w:eastAsia="Arial" w:hAnsi="Arial"/>
                <w:sz w:val="16"/>
                <w:szCs w:val="16"/>
                <w:color w:val="auto"/>
              </w:rPr>
              <w:t>Timothy Young</w:t>
            </w:r>
          </w:p>
        </w:tc>
        <w:tc>
          <w:tcPr>
            <w:tcW w:w="4020" w:type="dxa"/>
            <w:vAlign w:val="bottom"/>
            <w:shd w:val="clear" w:color="auto" w:fill="F2F2F2"/>
          </w:tcPr>
          <w:p>
            <w:pPr>
              <w:jc w:val="center"/>
              <w:ind w:left="1343"/>
              <w:spacing w:after="0"/>
              <w:rPr>
                <w:sz w:val="20"/>
                <w:szCs w:val="20"/>
                <w:color w:val="auto"/>
              </w:rPr>
            </w:pPr>
            <w:r>
              <w:rPr>
                <w:rFonts w:ascii="Arial" w:cs="Arial" w:eastAsia="Arial" w:hAnsi="Arial"/>
                <w:sz w:val="16"/>
                <w:szCs w:val="16"/>
                <w:color w:val="auto"/>
                <w:w w:val="97"/>
              </w:rPr>
              <w:t>100%</w:t>
            </w:r>
          </w:p>
        </w:tc>
        <w:tc>
          <w:tcPr>
            <w:tcW w:w="20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600,000</w:t>
            </w:r>
          </w:p>
        </w:tc>
        <w:tc>
          <w:tcPr>
            <w:tcW w:w="0" w:type="dxa"/>
            <w:vAlign w:val="bottom"/>
          </w:tcPr>
          <w:p>
            <w:pPr>
              <w:spacing w:after="0"/>
              <w:rPr>
                <w:sz w:val="1"/>
                <w:szCs w:val="1"/>
                <w:color w:val="auto"/>
              </w:rPr>
            </w:pPr>
          </w:p>
        </w:tc>
      </w:tr>
      <w:tr>
        <w:trPr>
          <w:trHeight w:val="83"/>
        </w:trPr>
        <w:tc>
          <w:tcPr>
            <w:tcW w:w="3520" w:type="dxa"/>
            <w:vAlign w:val="bottom"/>
            <w:shd w:val="clear" w:color="auto" w:fill="F2F2F2"/>
          </w:tcPr>
          <w:p>
            <w:pPr>
              <w:spacing w:after="0"/>
              <w:rPr>
                <w:sz w:val="7"/>
                <w:szCs w:val="7"/>
                <w:color w:val="auto"/>
              </w:rPr>
            </w:pPr>
          </w:p>
        </w:tc>
        <w:tc>
          <w:tcPr>
            <w:tcW w:w="4020" w:type="dxa"/>
            <w:vAlign w:val="bottom"/>
            <w:shd w:val="clear" w:color="auto" w:fill="F2F2F2"/>
          </w:tcPr>
          <w:p>
            <w:pPr>
              <w:spacing w:after="0"/>
              <w:rPr>
                <w:sz w:val="7"/>
                <w:szCs w:val="7"/>
                <w:color w:val="auto"/>
              </w:rPr>
            </w:pPr>
          </w:p>
        </w:tc>
        <w:tc>
          <w:tcPr>
            <w:tcW w:w="2020" w:type="dxa"/>
            <w:vAlign w:val="bottom"/>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3520" w:type="dxa"/>
            <w:vAlign w:val="bottom"/>
          </w:tcPr>
          <w:p>
            <w:pPr>
              <w:ind w:left="60"/>
              <w:spacing w:after="0"/>
              <w:rPr>
                <w:sz w:val="20"/>
                <w:szCs w:val="20"/>
                <w:color w:val="auto"/>
              </w:rPr>
            </w:pPr>
            <w:r>
              <w:rPr>
                <w:rFonts w:ascii="Arial" w:cs="Arial" w:eastAsia="Arial" w:hAnsi="Arial"/>
                <w:sz w:val="16"/>
                <w:szCs w:val="16"/>
                <w:color w:val="auto"/>
              </w:rPr>
              <w:t>Bart E. Volkmer</w:t>
            </w:r>
          </w:p>
        </w:tc>
        <w:tc>
          <w:tcPr>
            <w:tcW w:w="4020" w:type="dxa"/>
            <w:vAlign w:val="bottom"/>
          </w:tcPr>
          <w:p>
            <w:pPr>
              <w:jc w:val="right"/>
              <w:ind w:right="1023"/>
              <w:spacing w:after="0"/>
              <w:rPr>
                <w:sz w:val="20"/>
                <w:szCs w:val="20"/>
                <w:color w:val="auto"/>
              </w:rPr>
            </w:pPr>
            <w:r>
              <w:rPr>
                <w:rFonts w:ascii="Arial" w:cs="Arial" w:eastAsia="Arial" w:hAnsi="Arial"/>
                <w:sz w:val="16"/>
                <w:szCs w:val="16"/>
                <w:color w:val="auto"/>
              </w:rPr>
              <w:t>65%</w:t>
            </w:r>
          </w:p>
        </w:tc>
        <w:tc>
          <w:tcPr>
            <w:tcW w:w="2020" w:type="dxa"/>
            <w:vAlign w:val="bottom"/>
          </w:tcPr>
          <w:p>
            <w:pPr>
              <w:jc w:val="center"/>
              <w:spacing w:after="0"/>
              <w:rPr>
                <w:sz w:val="20"/>
                <w:szCs w:val="20"/>
                <w:color w:val="auto"/>
              </w:rPr>
            </w:pPr>
            <w:r>
              <w:rPr>
                <w:rFonts w:ascii="Arial" w:cs="Arial" w:eastAsia="Arial" w:hAnsi="Arial"/>
                <w:sz w:val="16"/>
                <w:szCs w:val="16"/>
                <w:color w:val="auto"/>
              </w:rPr>
              <w:t>308,750</w:t>
            </w:r>
          </w:p>
        </w:tc>
        <w:tc>
          <w:tcPr>
            <w:tcW w:w="0" w:type="dxa"/>
            <w:vAlign w:val="bottom"/>
          </w:tcPr>
          <w:p>
            <w:pPr>
              <w:spacing w:after="0"/>
              <w:rPr>
                <w:sz w:val="1"/>
                <w:szCs w:val="1"/>
                <w:color w:val="auto"/>
              </w:rPr>
            </w:pPr>
          </w:p>
        </w:tc>
      </w:tr>
    </w:tbl>
    <w:p>
      <w:pPr>
        <w:spacing w:after="0" w:line="92" w:lineRule="exact"/>
        <w:rPr>
          <w:sz w:val="20"/>
          <w:szCs w:val="20"/>
          <w:color w:val="auto"/>
        </w:rPr>
      </w:pPr>
    </w:p>
    <w:p>
      <w:pPr>
        <w:ind w:left="244" w:hanging="244"/>
        <w:spacing w:after="0"/>
        <w:tabs>
          <w:tab w:leader="none" w:pos="244" w:val="left"/>
        </w:tabs>
        <w:numPr>
          <w:ilvl w:val="0"/>
          <w:numId w:val="63"/>
        </w:numPr>
        <w:rPr>
          <w:rFonts w:ascii="Arial" w:cs="Arial" w:eastAsia="Arial" w:hAnsi="Arial"/>
          <w:sz w:val="22"/>
          <w:szCs w:val="22"/>
          <w:color w:val="auto"/>
          <w:vertAlign w:val="superscript"/>
        </w:rPr>
      </w:pPr>
      <w:r>
        <w:rPr>
          <w:rFonts w:ascii="Arial" w:cs="Arial" w:eastAsia="Arial" w:hAnsi="Arial"/>
          <w:sz w:val="14"/>
          <w:szCs w:val="14"/>
          <w:color w:val="auto"/>
        </w:rPr>
        <w:t>Ms. Nottebohm resigned from the company in February 2021 and therefore did not have a target annual cash bonus opportunity.</w:t>
      </w:r>
    </w:p>
    <w:p>
      <w:pPr>
        <w:spacing w:after="0" w:line="129" w:lineRule="exact"/>
        <w:rPr>
          <w:sz w:val="20"/>
          <w:szCs w:val="20"/>
          <w:color w:val="auto"/>
        </w:rPr>
      </w:pPr>
    </w:p>
    <w:p>
      <w:pPr>
        <w:ind w:left="4" w:right="80"/>
        <w:spacing w:after="0" w:line="286" w:lineRule="auto"/>
        <w:rPr>
          <w:sz w:val="20"/>
          <w:szCs w:val="20"/>
          <w:color w:val="auto"/>
        </w:rPr>
      </w:pPr>
      <w:r>
        <w:rPr>
          <w:rFonts w:ascii="Arial" w:cs="Arial" w:eastAsia="Arial" w:hAnsi="Arial"/>
          <w:sz w:val="16"/>
          <w:szCs w:val="16"/>
          <w:color w:val="auto"/>
        </w:rPr>
        <w:t>Potential annual cash bonus payments for our executive officers under the 2021 Cash Bonus Plan ranged from zero to 225% of their target annual cash bonus opportunity.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614045</wp:posOffset>
            </wp:positionH>
            <wp:positionV relativeFrom="paragraph">
              <wp:posOffset>176530</wp:posOffset>
            </wp:positionV>
            <wp:extent cx="4843145" cy="12433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4843145" cy="1243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4"/>
        <w:spacing w:after="0"/>
        <w:rPr>
          <w:sz w:val="20"/>
          <w:szCs w:val="20"/>
          <w:color w:val="auto"/>
        </w:rPr>
      </w:pPr>
      <w:r>
        <w:rPr>
          <w:rFonts w:ascii="Arial" w:cs="Arial" w:eastAsia="Arial" w:hAnsi="Arial"/>
          <w:sz w:val="16"/>
          <w:szCs w:val="16"/>
          <w:b w:val="1"/>
          <w:bCs w:val="1"/>
          <w:u w:val="single" w:color="auto"/>
          <w:color w:val="auto"/>
        </w:rPr>
        <w:t>Corporate Performance Measure</w:t>
      </w:r>
    </w:p>
    <w:p>
      <w:pPr>
        <w:spacing w:after="0" w:line="167" w:lineRule="exact"/>
        <w:rPr>
          <w:sz w:val="20"/>
          <w:szCs w:val="20"/>
          <w:color w:val="auto"/>
        </w:rPr>
      </w:pPr>
    </w:p>
    <w:p>
      <w:pPr>
        <w:ind w:left="4" w:right="20"/>
        <w:spacing w:after="0" w:line="253" w:lineRule="auto"/>
        <w:rPr>
          <w:sz w:val="20"/>
          <w:szCs w:val="20"/>
          <w:color w:val="auto"/>
        </w:rPr>
      </w:pPr>
      <w:r>
        <w:rPr>
          <w:rFonts w:ascii="Arial" w:cs="Arial" w:eastAsia="Arial" w:hAnsi="Arial"/>
          <w:sz w:val="16"/>
          <w:szCs w:val="16"/>
          <w:color w:val="auto"/>
        </w:rPr>
        <w:t>The compensation committee approved annual revenue (weighted 67%) and non-GAAP operating margin (weighted 33%) as components of the corporate performance measure under the 2021 Cash Bonus Plan because we believe incorporating both annual revenue and non-GAAP operating margin aligns with our emphasis on driving profitable growth. For purposes of the 2021 Cash Bonus Plan, “annual revenue” was calculated by excluding the impact of foreign exchange from our annual revenue reflected in our audited financial statements for the 2021 fiscal year and “non-GAAP operating margin” was calculated to exclude the impact of stock-based compensation expense, acquisition-related and other expenses, amortization of acquired intangible assets, impairment charges related to real estate assets, and expenses related to a reduction in workforce.</w:t>
      </w:r>
    </w:p>
    <w:p>
      <w:pPr>
        <w:spacing w:after="0" w:line="127" w:lineRule="exact"/>
        <w:rPr>
          <w:sz w:val="20"/>
          <w:szCs w:val="20"/>
          <w:color w:val="auto"/>
        </w:rPr>
      </w:pPr>
    </w:p>
    <w:p>
      <w:pPr>
        <w:ind w:left="4" w:right="120"/>
        <w:spacing w:after="0" w:line="259" w:lineRule="auto"/>
        <w:rPr>
          <w:sz w:val="20"/>
          <w:szCs w:val="20"/>
          <w:color w:val="auto"/>
        </w:rPr>
      </w:pPr>
      <w:r>
        <w:rPr>
          <w:rFonts w:ascii="Arial" w:cs="Arial" w:eastAsia="Arial" w:hAnsi="Arial"/>
          <w:sz w:val="16"/>
          <w:szCs w:val="16"/>
          <w:color w:val="auto"/>
        </w:rPr>
        <w:t>In March 2021, the compensation committee set the target performance levels under the 2021 Cash Bonus Plan at (i) $2,110 million for annual revenue and (ii) 27.5% for non-GAAP operating margin. In addition, the compensation committee approved the performance matrix for funding the 2021 Cash Bonus Plan (as described below), with a 10% reduction to actual payouts to our named executive officers if the company’s stock-based compensation expense exceeded $305 million for the 2021 fiscal year.</w:t>
      </w:r>
    </w:p>
    <w:p>
      <w:pPr>
        <w:spacing w:after="0" w:line="124" w:lineRule="exact"/>
        <w:rPr>
          <w:sz w:val="20"/>
          <w:szCs w:val="20"/>
          <w:color w:val="auto"/>
        </w:rPr>
      </w:pPr>
    </w:p>
    <w:p>
      <w:pPr>
        <w:ind w:left="4" w:right="20"/>
        <w:spacing w:after="0" w:line="252" w:lineRule="auto"/>
        <w:rPr>
          <w:sz w:val="20"/>
          <w:szCs w:val="20"/>
          <w:color w:val="auto"/>
        </w:rPr>
      </w:pPr>
      <w:r>
        <w:rPr>
          <w:rFonts w:ascii="Arial" w:cs="Arial" w:eastAsia="Arial" w:hAnsi="Arial"/>
          <w:sz w:val="16"/>
          <w:szCs w:val="16"/>
          <w:color w:val="auto"/>
        </w:rPr>
        <w:t>With respect to the annual revenue component, the bonus funding was 0% if we did not achieve annual revenue at the threshold revenue performance level, 97% of the target performance level. At 98% of the target revenue performance level, the annual revenue bonus funding percentage was 50%. For annual revenue above the 98% of target performance level and below 99.5% the target performance level, the annual revenue bonus funding percentage increased linearly up to an annual revenue bonus funding percentage of 95%. For revenue performance ± 0.5% of the target revenue number, the annual revenue bonus funding percentage increased linearly from 95% to 105%. For revenue performance from 100.5% of the target revenue performance level to 102% of the target revenue performance level, the annual revenue bonus funding percentage increased linearly up to 150%. The maximum annual revenue bonus funding percentage is 150%.</w:t>
      </w:r>
    </w:p>
    <w:p>
      <w:pPr>
        <w:spacing w:after="0" w:line="129" w:lineRule="exact"/>
        <w:rPr>
          <w:sz w:val="20"/>
          <w:szCs w:val="20"/>
          <w:color w:val="auto"/>
        </w:rPr>
      </w:pPr>
    </w:p>
    <w:p>
      <w:pPr>
        <w:ind w:left="4" w:right="120"/>
        <w:spacing w:after="0" w:line="256" w:lineRule="auto"/>
        <w:rPr>
          <w:sz w:val="20"/>
          <w:szCs w:val="20"/>
          <w:color w:val="auto"/>
        </w:rPr>
      </w:pPr>
      <w:r>
        <w:rPr>
          <w:rFonts w:ascii="Arial" w:cs="Arial" w:eastAsia="Arial" w:hAnsi="Arial"/>
          <w:sz w:val="16"/>
          <w:szCs w:val="16"/>
          <w:color w:val="auto"/>
        </w:rPr>
        <w:t>With respect to the non-GAAP operating margin component, the bonus funding was 0% if we did not achieve non-GAAP operating margin at the threshold performance level of 24.8%. At the threshold non-GAAP operating margin performance level, the non-GAAP operating margin bonus funding percentage was 50%. For non-GAAP operating margin above the threshold performance level, the non-GAAP operating margin bonus funding percentage increased linearly up to the maximum non-GAAP operating margin bonus funding percentage of 150%.</w:t>
      </w:r>
    </w:p>
    <w:p>
      <w:pPr>
        <w:spacing w:after="0" w:line="185" w:lineRule="exact"/>
        <w:rPr>
          <w:sz w:val="20"/>
          <w:szCs w:val="20"/>
          <w:color w:val="auto"/>
        </w:rPr>
      </w:pPr>
    </w:p>
    <w:p>
      <w:pPr>
        <w:ind w:left="524" w:hanging="524"/>
        <w:spacing w:after="0"/>
        <w:tabs>
          <w:tab w:leader="none" w:pos="524" w:val="left"/>
        </w:tabs>
        <w:numPr>
          <w:ilvl w:val="0"/>
          <w:numId w:val="64"/>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42" w:name="page43"/>
    <w:bookmarkEnd w:id="42"/>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307340</wp:posOffset>
            </wp:positionV>
            <wp:extent cx="6077585" cy="7029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077585" cy="702945"/>
                    </a:xfrm>
                    <a:prstGeom prst="rect">
                      <a:avLst/>
                    </a:prstGeom>
                    <a:noFill/>
                  </pic:spPr>
                </pic:pic>
              </a:graphicData>
            </a:graphic>
          </wp:anchor>
        </w:drawing>
      </w:r>
    </w:p>
    <w:p>
      <w:pPr>
        <w:spacing w:after="0" w:line="200" w:lineRule="exact"/>
        <w:rPr>
          <w:sz w:val="20"/>
          <w:szCs w:val="20"/>
          <w:color w:val="auto"/>
        </w:rPr>
      </w:pPr>
    </w:p>
    <w:p>
      <w:pPr>
        <w:spacing w:after="0" w:line="264" w:lineRule="exact"/>
        <w:rPr>
          <w:sz w:val="20"/>
          <w:szCs w:val="20"/>
          <w:color w:val="auto"/>
        </w:rPr>
      </w:pPr>
    </w:p>
    <w:tbl>
      <w:tblPr>
        <w:tblLayout w:type="fixed"/>
        <w:tblInd w:w="720" w:type="dxa"/>
        <w:tblCellMar>
          <w:top w:w="0" w:type="dxa"/>
          <w:left w:w="0" w:type="dxa"/>
          <w:bottom w:w="0" w:type="dxa"/>
          <w:right w:w="0" w:type="dxa"/>
        </w:tblCellMar>
      </w:tblPr>
      <w:tr>
        <w:trPr>
          <w:trHeight w:val="295"/>
        </w:trPr>
        <w:tc>
          <w:tcPr>
            <w:tcW w:w="3620" w:type="dxa"/>
            <w:vAlign w:val="bottom"/>
            <w:shd w:val="clear" w:color="auto" w:fill="0063A6"/>
          </w:tcPr>
          <w:p>
            <w:pPr>
              <w:spacing w:after="0"/>
              <w:rPr>
                <w:sz w:val="24"/>
                <w:szCs w:val="24"/>
                <w:color w:val="auto"/>
              </w:rPr>
            </w:pPr>
          </w:p>
        </w:tc>
        <w:tc>
          <w:tcPr>
            <w:tcW w:w="2260" w:type="dxa"/>
            <w:vAlign w:val="bottom"/>
            <w:shd w:val="clear" w:color="auto" w:fill="0063A6"/>
          </w:tcPr>
          <w:p>
            <w:pPr>
              <w:jc w:val="center"/>
              <w:ind w:left="1022"/>
              <w:spacing w:after="0"/>
              <w:rPr>
                <w:sz w:val="20"/>
                <w:szCs w:val="20"/>
                <w:color w:val="auto"/>
              </w:rPr>
            </w:pPr>
            <w:r>
              <w:rPr>
                <w:rFonts w:ascii="Arial" w:cs="Arial" w:eastAsia="Arial" w:hAnsi="Arial"/>
                <w:sz w:val="14"/>
                <w:szCs w:val="14"/>
                <w:b w:val="1"/>
                <w:bCs w:val="1"/>
                <w:color w:val="FFFFFF"/>
              </w:rPr>
              <w:t>Weight</w:t>
            </w:r>
          </w:p>
        </w:tc>
        <w:tc>
          <w:tcPr>
            <w:tcW w:w="1380" w:type="dxa"/>
            <w:vAlign w:val="bottom"/>
            <w:shd w:val="clear" w:color="auto" w:fill="0063A6"/>
          </w:tcPr>
          <w:p>
            <w:pPr>
              <w:ind w:left="340"/>
              <w:spacing w:after="0"/>
              <w:rPr>
                <w:sz w:val="20"/>
                <w:szCs w:val="20"/>
                <w:color w:val="auto"/>
              </w:rPr>
            </w:pPr>
            <w:r>
              <w:rPr>
                <w:rFonts w:ascii="Arial" w:cs="Arial" w:eastAsia="Arial" w:hAnsi="Arial"/>
                <w:sz w:val="14"/>
                <w:szCs w:val="14"/>
                <w:b w:val="1"/>
                <w:bCs w:val="1"/>
                <w:color w:val="FFFFFF"/>
              </w:rPr>
              <w:t>Threshold</w:t>
            </w:r>
          </w:p>
        </w:tc>
        <w:tc>
          <w:tcPr>
            <w:tcW w:w="1180" w:type="dxa"/>
            <w:vAlign w:val="bottom"/>
            <w:shd w:val="clear" w:color="auto" w:fill="0063A6"/>
          </w:tcPr>
          <w:p>
            <w:pPr>
              <w:ind w:left="360"/>
              <w:spacing w:after="0"/>
              <w:rPr>
                <w:sz w:val="20"/>
                <w:szCs w:val="20"/>
                <w:color w:val="auto"/>
              </w:rPr>
            </w:pPr>
            <w:r>
              <w:rPr>
                <w:rFonts w:ascii="Arial" w:cs="Arial" w:eastAsia="Arial" w:hAnsi="Arial"/>
                <w:sz w:val="14"/>
                <w:szCs w:val="14"/>
                <w:b w:val="1"/>
                <w:bCs w:val="1"/>
                <w:color w:val="FFFFFF"/>
              </w:rPr>
              <w:t>Target</w:t>
            </w:r>
          </w:p>
        </w:tc>
        <w:tc>
          <w:tcPr>
            <w:tcW w:w="1120" w:type="dxa"/>
            <w:vAlign w:val="bottom"/>
            <w:shd w:val="clear" w:color="auto" w:fill="0063A6"/>
          </w:tcPr>
          <w:p>
            <w:pPr>
              <w:ind w:left="340"/>
              <w:spacing w:after="0"/>
              <w:rPr>
                <w:sz w:val="20"/>
                <w:szCs w:val="20"/>
                <w:color w:val="auto"/>
              </w:rPr>
            </w:pPr>
            <w:r>
              <w:rPr>
                <w:rFonts w:ascii="Arial" w:cs="Arial" w:eastAsia="Arial" w:hAnsi="Arial"/>
                <w:sz w:val="14"/>
                <w:szCs w:val="14"/>
                <w:b w:val="1"/>
                <w:bCs w:val="1"/>
                <w:color w:val="FFFFFF"/>
              </w:rPr>
              <w:t>Maximum</w:t>
            </w:r>
          </w:p>
        </w:tc>
      </w:tr>
      <w:tr>
        <w:trPr>
          <w:trHeight w:val="69"/>
        </w:trPr>
        <w:tc>
          <w:tcPr>
            <w:tcW w:w="3620" w:type="dxa"/>
            <w:vAlign w:val="bottom"/>
            <w:shd w:val="clear" w:color="auto" w:fill="0063A6"/>
          </w:tcPr>
          <w:p>
            <w:pPr>
              <w:spacing w:after="0"/>
              <w:rPr>
                <w:sz w:val="6"/>
                <w:szCs w:val="6"/>
                <w:color w:val="auto"/>
              </w:rPr>
            </w:pPr>
          </w:p>
        </w:tc>
        <w:tc>
          <w:tcPr>
            <w:tcW w:w="2260" w:type="dxa"/>
            <w:vAlign w:val="bottom"/>
            <w:shd w:val="clear" w:color="auto" w:fill="0063A6"/>
          </w:tcPr>
          <w:p>
            <w:pPr>
              <w:spacing w:after="0"/>
              <w:rPr>
                <w:sz w:val="6"/>
                <w:szCs w:val="6"/>
                <w:color w:val="auto"/>
              </w:rPr>
            </w:pPr>
          </w:p>
        </w:tc>
        <w:tc>
          <w:tcPr>
            <w:tcW w:w="1380" w:type="dxa"/>
            <w:vAlign w:val="bottom"/>
            <w:shd w:val="clear" w:color="auto" w:fill="0063A6"/>
          </w:tcPr>
          <w:p>
            <w:pPr>
              <w:spacing w:after="0"/>
              <w:rPr>
                <w:sz w:val="6"/>
                <w:szCs w:val="6"/>
                <w:color w:val="auto"/>
              </w:rPr>
            </w:pPr>
          </w:p>
        </w:tc>
        <w:tc>
          <w:tcPr>
            <w:tcW w:w="1180" w:type="dxa"/>
            <w:vAlign w:val="bottom"/>
            <w:shd w:val="clear" w:color="auto" w:fill="0063A6"/>
          </w:tcPr>
          <w:p>
            <w:pPr>
              <w:spacing w:after="0"/>
              <w:rPr>
                <w:sz w:val="6"/>
                <w:szCs w:val="6"/>
                <w:color w:val="auto"/>
              </w:rPr>
            </w:pPr>
          </w:p>
        </w:tc>
        <w:tc>
          <w:tcPr>
            <w:tcW w:w="1120" w:type="dxa"/>
            <w:vAlign w:val="bottom"/>
            <w:shd w:val="clear" w:color="auto" w:fill="0063A6"/>
          </w:tcPr>
          <w:p>
            <w:pPr>
              <w:spacing w:after="0"/>
              <w:rPr>
                <w:sz w:val="6"/>
                <w:szCs w:val="6"/>
                <w:color w:val="auto"/>
              </w:rPr>
            </w:pPr>
          </w:p>
        </w:tc>
      </w:tr>
      <w:tr>
        <w:trPr>
          <w:trHeight w:val="295"/>
        </w:trPr>
        <w:tc>
          <w:tcPr>
            <w:tcW w:w="3620" w:type="dxa"/>
            <w:vAlign w:val="bottom"/>
            <w:shd w:val="clear" w:color="auto" w:fill="F2F2F2"/>
          </w:tcPr>
          <w:p>
            <w:pPr>
              <w:ind w:left="80"/>
              <w:spacing w:after="0"/>
              <w:rPr>
                <w:sz w:val="20"/>
                <w:szCs w:val="20"/>
                <w:color w:val="auto"/>
              </w:rPr>
            </w:pPr>
            <w:r>
              <w:rPr>
                <w:rFonts w:ascii="Arial" w:cs="Arial" w:eastAsia="Arial" w:hAnsi="Arial"/>
                <w:sz w:val="16"/>
                <w:szCs w:val="16"/>
                <w:color w:val="auto"/>
              </w:rPr>
              <w:t>Revenue ($M)</w:t>
            </w:r>
          </w:p>
        </w:tc>
        <w:tc>
          <w:tcPr>
            <w:tcW w:w="2260" w:type="dxa"/>
            <w:vAlign w:val="bottom"/>
            <w:shd w:val="clear" w:color="auto" w:fill="F2F2F2"/>
          </w:tcPr>
          <w:p>
            <w:pPr>
              <w:jc w:val="center"/>
              <w:ind w:left="1022"/>
              <w:spacing w:after="0"/>
              <w:rPr>
                <w:sz w:val="20"/>
                <w:szCs w:val="20"/>
                <w:color w:val="auto"/>
              </w:rPr>
            </w:pPr>
            <w:r>
              <w:rPr>
                <w:rFonts w:ascii="Arial" w:cs="Arial" w:eastAsia="Arial" w:hAnsi="Arial"/>
                <w:sz w:val="16"/>
                <w:szCs w:val="16"/>
                <w:color w:val="auto"/>
                <w:w w:val="99"/>
              </w:rPr>
              <w:t>67%</w:t>
            </w:r>
          </w:p>
        </w:tc>
        <w:tc>
          <w:tcPr>
            <w:tcW w:w="1380" w:type="dxa"/>
            <w:vAlign w:val="bottom"/>
            <w:shd w:val="clear" w:color="auto" w:fill="F2F2F2"/>
          </w:tcPr>
          <w:p>
            <w:pPr>
              <w:jc w:val="right"/>
              <w:ind w:right="362"/>
              <w:spacing w:after="0"/>
              <w:rPr>
                <w:sz w:val="20"/>
                <w:szCs w:val="20"/>
                <w:color w:val="auto"/>
              </w:rPr>
            </w:pPr>
            <w:r>
              <w:rPr>
                <w:rFonts w:ascii="Arial" w:cs="Arial" w:eastAsia="Arial" w:hAnsi="Arial"/>
                <w:sz w:val="16"/>
                <w:szCs w:val="16"/>
                <w:color w:val="auto"/>
              </w:rPr>
              <w:t>$2,047</w:t>
            </w:r>
          </w:p>
        </w:tc>
        <w:tc>
          <w:tcPr>
            <w:tcW w:w="1180" w:type="dxa"/>
            <w:vAlign w:val="bottom"/>
            <w:shd w:val="clear" w:color="auto" w:fill="F2F2F2"/>
          </w:tcPr>
          <w:p>
            <w:pPr>
              <w:jc w:val="right"/>
              <w:ind w:right="282"/>
              <w:spacing w:after="0"/>
              <w:rPr>
                <w:sz w:val="20"/>
                <w:szCs w:val="20"/>
                <w:color w:val="auto"/>
              </w:rPr>
            </w:pPr>
            <w:r>
              <w:rPr>
                <w:rFonts w:ascii="Arial" w:cs="Arial" w:eastAsia="Arial" w:hAnsi="Arial"/>
                <w:sz w:val="16"/>
                <w:szCs w:val="16"/>
                <w:color w:val="auto"/>
              </w:rPr>
              <w:t>$2,110</w:t>
            </w:r>
          </w:p>
        </w:tc>
        <w:tc>
          <w:tcPr>
            <w:tcW w:w="1120" w:type="dxa"/>
            <w:vAlign w:val="bottom"/>
            <w:shd w:val="clear" w:color="auto" w:fill="F2F2F2"/>
          </w:tcPr>
          <w:p>
            <w:pPr>
              <w:jc w:val="right"/>
              <w:ind w:right="122"/>
              <w:spacing w:after="0"/>
              <w:rPr>
                <w:sz w:val="20"/>
                <w:szCs w:val="20"/>
                <w:color w:val="auto"/>
              </w:rPr>
            </w:pPr>
            <w:r>
              <w:rPr>
                <w:rFonts w:ascii="Arial" w:cs="Arial" w:eastAsia="Arial" w:hAnsi="Arial"/>
                <w:sz w:val="16"/>
                <w:szCs w:val="16"/>
                <w:color w:val="auto"/>
              </w:rPr>
              <w:t>$2,153</w:t>
            </w:r>
          </w:p>
        </w:tc>
      </w:tr>
      <w:tr>
        <w:trPr>
          <w:trHeight w:val="83"/>
        </w:trPr>
        <w:tc>
          <w:tcPr>
            <w:tcW w:w="3620" w:type="dxa"/>
            <w:vAlign w:val="bottom"/>
            <w:shd w:val="clear" w:color="auto" w:fill="F2F2F2"/>
          </w:tcPr>
          <w:p>
            <w:pPr>
              <w:spacing w:after="0"/>
              <w:rPr>
                <w:sz w:val="7"/>
                <w:szCs w:val="7"/>
                <w:color w:val="auto"/>
              </w:rPr>
            </w:pPr>
          </w:p>
        </w:tc>
        <w:tc>
          <w:tcPr>
            <w:tcW w:w="2260" w:type="dxa"/>
            <w:vAlign w:val="bottom"/>
            <w:shd w:val="clear" w:color="auto" w:fill="F2F2F2"/>
          </w:tcPr>
          <w:p>
            <w:pPr>
              <w:spacing w:after="0"/>
              <w:rPr>
                <w:sz w:val="7"/>
                <w:szCs w:val="7"/>
                <w:color w:val="auto"/>
              </w:rPr>
            </w:pPr>
          </w:p>
        </w:tc>
        <w:tc>
          <w:tcPr>
            <w:tcW w:w="1380" w:type="dxa"/>
            <w:vAlign w:val="bottom"/>
            <w:shd w:val="clear" w:color="auto" w:fill="F2F2F2"/>
          </w:tcPr>
          <w:p>
            <w:pPr>
              <w:spacing w:after="0"/>
              <w:rPr>
                <w:sz w:val="7"/>
                <w:szCs w:val="7"/>
                <w:color w:val="auto"/>
              </w:rPr>
            </w:pPr>
          </w:p>
        </w:tc>
        <w:tc>
          <w:tcPr>
            <w:tcW w:w="1180" w:type="dxa"/>
            <w:vAlign w:val="bottom"/>
            <w:shd w:val="clear" w:color="auto" w:fill="F2F2F2"/>
          </w:tcPr>
          <w:p>
            <w:pPr>
              <w:spacing w:after="0"/>
              <w:rPr>
                <w:sz w:val="7"/>
                <w:szCs w:val="7"/>
                <w:color w:val="auto"/>
              </w:rPr>
            </w:pPr>
          </w:p>
        </w:tc>
        <w:tc>
          <w:tcPr>
            <w:tcW w:w="1120" w:type="dxa"/>
            <w:vAlign w:val="bottom"/>
            <w:shd w:val="clear" w:color="auto" w:fill="F2F2F2"/>
          </w:tcPr>
          <w:p>
            <w:pPr>
              <w:spacing w:after="0"/>
              <w:rPr>
                <w:sz w:val="7"/>
                <w:szCs w:val="7"/>
                <w:color w:val="auto"/>
              </w:rPr>
            </w:pPr>
          </w:p>
        </w:tc>
      </w:tr>
      <w:tr>
        <w:trPr>
          <w:trHeight w:val="295"/>
        </w:trPr>
        <w:tc>
          <w:tcPr>
            <w:tcW w:w="3620" w:type="dxa"/>
            <w:vAlign w:val="bottom"/>
          </w:tcPr>
          <w:p>
            <w:pPr>
              <w:ind w:left="80"/>
              <w:spacing w:after="0"/>
              <w:rPr>
                <w:sz w:val="20"/>
                <w:szCs w:val="20"/>
                <w:color w:val="auto"/>
              </w:rPr>
            </w:pPr>
            <w:r>
              <w:rPr>
                <w:rFonts w:ascii="Arial" w:cs="Arial" w:eastAsia="Arial" w:hAnsi="Arial"/>
                <w:sz w:val="16"/>
                <w:szCs w:val="16"/>
                <w:color w:val="auto"/>
              </w:rPr>
              <w:t>Non-GAAP Operating Margin</w:t>
            </w:r>
          </w:p>
        </w:tc>
        <w:tc>
          <w:tcPr>
            <w:tcW w:w="2260" w:type="dxa"/>
            <w:vAlign w:val="bottom"/>
          </w:tcPr>
          <w:p>
            <w:pPr>
              <w:jc w:val="center"/>
              <w:ind w:left="1022"/>
              <w:spacing w:after="0"/>
              <w:rPr>
                <w:sz w:val="20"/>
                <w:szCs w:val="20"/>
                <w:color w:val="auto"/>
              </w:rPr>
            </w:pPr>
            <w:r>
              <w:rPr>
                <w:rFonts w:ascii="Arial" w:cs="Arial" w:eastAsia="Arial" w:hAnsi="Arial"/>
                <w:sz w:val="16"/>
                <w:szCs w:val="16"/>
                <w:color w:val="auto"/>
                <w:w w:val="99"/>
              </w:rPr>
              <w:t>33%</w:t>
            </w:r>
          </w:p>
        </w:tc>
        <w:tc>
          <w:tcPr>
            <w:tcW w:w="1380" w:type="dxa"/>
            <w:vAlign w:val="bottom"/>
          </w:tcPr>
          <w:p>
            <w:pPr>
              <w:jc w:val="right"/>
              <w:ind w:right="382"/>
              <w:spacing w:after="0"/>
              <w:rPr>
                <w:sz w:val="20"/>
                <w:szCs w:val="20"/>
                <w:color w:val="auto"/>
              </w:rPr>
            </w:pPr>
            <w:r>
              <w:rPr>
                <w:rFonts w:ascii="Arial" w:cs="Arial" w:eastAsia="Arial" w:hAnsi="Arial"/>
                <w:sz w:val="16"/>
                <w:szCs w:val="16"/>
                <w:color w:val="auto"/>
              </w:rPr>
              <w:t>24.8%</w:t>
            </w:r>
          </w:p>
        </w:tc>
        <w:tc>
          <w:tcPr>
            <w:tcW w:w="1180" w:type="dxa"/>
            <w:vAlign w:val="bottom"/>
          </w:tcPr>
          <w:p>
            <w:pPr>
              <w:jc w:val="right"/>
              <w:ind w:right="282"/>
              <w:spacing w:after="0"/>
              <w:rPr>
                <w:sz w:val="20"/>
                <w:szCs w:val="20"/>
                <w:color w:val="auto"/>
              </w:rPr>
            </w:pPr>
            <w:r>
              <w:rPr>
                <w:rFonts w:ascii="Arial" w:cs="Arial" w:eastAsia="Arial" w:hAnsi="Arial"/>
                <w:sz w:val="16"/>
                <w:szCs w:val="16"/>
                <w:color w:val="auto"/>
              </w:rPr>
              <w:t>27.5%</w:t>
            </w:r>
          </w:p>
        </w:tc>
        <w:tc>
          <w:tcPr>
            <w:tcW w:w="1120" w:type="dxa"/>
            <w:vAlign w:val="bottom"/>
          </w:tcPr>
          <w:p>
            <w:pPr>
              <w:jc w:val="right"/>
              <w:ind w:right="142"/>
              <w:spacing w:after="0"/>
              <w:rPr>
                <w:sz w:val="20"/>
                <w:szCs w:val="20"/>
                <w:color w:val="auto"/>
              </w:rPr>
            </w:pPr>
            <w:r>
              <w:rPr>
                <w:rFonts w:ascii="Arial" w:cs="Arial" w:eastAsia="Arial" w:hAnsi="Arial"/>
                <w:sz w:val="16"/>
                <w:szCs w:val="16"/>
                <w:color w:val="auto"/>
              </w:rPr>
              <w:t>30.3%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546100</wp:posOffset>
            </wp:positionH>
            <wp:positionV relativeFrom="paragraph">
              <wp:posOffset>163830</wp:posOffset>
            </wp:positionV>
            <wp:extent cx="5906135" cy="15944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906135" cy="1594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720"/>
        <w:spacing w:after="0"/>
        <w:rPr>
          <w:sz w:val="20"/>
          <w:szCs w:val="20"/>
          <w:color w:val="auto"/>
        </w:rPr>
      </w:pPr>
      <w:r>
        <w:rPr>
          <w:rFonts w:ascii="Arial" w:cs="Arial" w:eastAsia="Arial" w:hAnsi="Arial"/>
          <w:sz w:val="16"/>
          <w:szCs w:val="16"/>
          <w:b w:val="1"/>
          <w:bCs w:val="1"/>
          <w:u w:val="single" w:color="auto"/>
          <w:color w:val="auto"/>
        </w:rPr>
        <w:t>Individual Performance Factor</w:t>
      </w:r>
    </w:p>
    <w:p>
      <w:pPr>
        <w:spacing w:after="0" w:line="167" w:lineRule="exact"/>
        <w:rPr>
          <w:sz w:val="20"/>
          <w:szCs w:val="20"/>
          <w:color w:val="auto"/>
        </w:rPr>
      </w:pPr>
    </w:p>
    <w:p>
      <w:pPr>
        <w:ind w:left="720" w:right="940"/>
        <w:spacing w:after="0" w:line="250" w:lineRule="auto"/>
        <w:rPr>
          <w:sz w:val="20"/>
          <w:szCs w:val="20"/>
          <w:color w:val="auto"/>
        </w:rPr>
      </w:pPr>
      <w:r>
        <w:rPr>
          <w:rFonts w:ascii="Arial" w:cs="Arial" w:eastAsia="Arial" w:hAnsi="Arial"/>
          <w:sz w:val="16"/>
          <w:szCs w:val="16"/>
          <w:color w:val="auto"/>
        </w:rPr>
        <w:t>In determining the amount of annual cash bonus payments under the 2021 Cash Bonus Plan, the compensation committee considered an evaluation of each executive officer’s individual performance for the year. Generally, this evaluation involved, in the case of our chief executive officer, an evaluation of his performance by the compensation committee and, in the case of our other executive officers, an evaluation by our chief executive officer. These evaluations were based on a review of the various individual performance goals established for our executive officers as part of our annual performance evaluation process. For our executive officers other than our chief executive officer, these goals were established, after consultation with each executive officer. These performance goals were not intended to be formulaic, but rather to serve as the framework upon which our chief executive officer could evaluate the executive officer’s overall performance. Such performance goals were established with reference to each individual executive officer’s position or function within the company and included operational metrics that could reflect corporate or departmental goals or could include specific operational goals with respect to their area of responsibility.</w:t>
      </w:r>
    </w:p>
    <w:p>
      <w:pPr>
        <w:spacing w:after="0" w:line="203" w:lineRule="exact"/>
        <w:rPr>
          <w:sz w:val="20"/>
          <w:szCs w:val="20"/>
          <w:color w:val="auto"/>
        </w:rPr>
      </w:pPr>
    </w:p>
    <w:p>
      <w:pPr>
        <w:ind w:left="720"/>
        <w:spacing w:after="0"/>
        <w:rPr>
          <w:sz w:val="20"/>
          <w:szCs w:val="20"/>
          <w:color w:val="auto"/>
        </w:rPr>
      </w:pPr>
      <w:r>
        <w:rPr>
          <w:rFonts w:ascii="Arial" w:cs="Arial" w:eastAsia="Arial" w:hAnsi="Arial"/>
          <w:sz w:val="16"/>
          <w:szCs w:val="16"/>
          <w:b w:val="1"/>
          <w:bCs w:val="1"/>
          <w:u w:val="single" w:color="auto"/>
          <w:color w:val="auto"/>
        </w:rPr>
        <w:t>2021 Annual Cash Bonus Decisions</w:t>
      </w:r>
    </w:p>
    <w:p>
      <w:pPr>
        <w:spacing w:after="0" w:line="167" w:lineRule="exact"/>
        <w:rPr>
          <w:sz w:val="20"/>
          <w:szCs w:val="20"/>
          <w:color w:val="auto"/>
        </w:rPr>
      </w:pPr>
    </w:p>
    <w:p>
      <w:pPr>
        <w:ind w:left="720" w:right="740"/>
        <w:spacing w:after="0" w:line="253" w:lineRule="auto"/>
        <w:rPr>
          <w:sz w:val="20"/>
          <w:szCs w:val="20"/>
          <w:color w:val="auto"/>
        </w:rPr>
      </w:pPr>
      <w:r>
        <w:rPr>
          <w:rFonts w:ascii="Arial" w:cs="Arial" w:eastAsia="Arial" w:hAnsi="Arial"/>
          <w:sz w:val="16"/>
          <w:szCs w:val="16"/>
          <w:color w:val="auto"/>
        </w:rPr>
        <w:t>In March 2022, the compensation committee, based on its evaluation, determined the size of the bonus pool based on our performance during 2021 and determined the cash bonus payments for our executive officers, including our named executive officers, pursuant to the 2021 Cash Bonus Plan. The compensation committee reviewed our actual annual revenue performance for 2021 and determined that we had achieved annual revenue of $2,149 million, which was 101.8% of our annual revenue target for the year. In addition, the compensation committee determined that we had achieved non-GAAP operating margin of 30.0% compared to our target of 27.5% for the year. The compensation committee approved a bonus funding percentage of 145.7% with respect to the corporate performance measure.</w:t>
      </w:r>
    </w:p>
    <w:p>
      <w:pPr>
        <w:spacing w:after="0" w:line="127" w:lineRule="exact"/>
        <w:rPr>
          <w:sz w:val="20"/>
          <w:szCs w:val="20"/>
          <w:color w:val="auto"/>
        </w:rPr>
      </w:pPr>
    </w:p>
    <w:p>
      <w:pPr>
        <w:ind w:left="720" w:right="820"/>
        <w:spacing w:after="0" w:line="254" w:lineRule="auto"/>
        <w:rPr>
          <w:sz w:val="20"/>
          <w:szCs w:val="20"/>
          <w:color w:val="auto"/>
        </w:rPr>
      </w:pPr>
      <w:r>
        <w:rPr>
          <w:rFonts w:ascii="Arial" w:cs="Arial" w:eastAsia="Arial" w:hAnsi="Arial"/>
          <w:sz w:val="16"/>
          <w:szCs w:val="16"/>
          <w:color w:val="auto"/>
        </w:rPr>
        <w:t>Our chief executive officer evaluated the achievement of each other executive officer against his or her individual performance objectives and formulated a recommendation for each such executive officer’s annual cash bonus payment for consideration by the compensation committee. These recommendations were based on our chief executive officer’s subjective assessment of each individual’s contributions against the personal performance objectives during the year. In the case of our chief executive officer, the compensation committee evaluated our financial and operational performance for 2021 and formulated a recommended annual cash bonus payment for him based on the subjective assessment of his performance.</w:t>
      </w:r>
    </w:p>
    <w:p>
      <w:pPr>
        <w:spacing w:after="0" w:line="128" w:lineRule="exact"/>
        <w:rPr>
          <w:sz w:val="20"/>
          <w:szCs w:val="20"/>
          <w:color w:val="auto"/>
        </w:rPr>
      </w:pPr>
    </w:p>
    <w:p>
      <w:pPr>
        <w:ind w:left="720" w:right="1000"/>
        <w:spacing w:after="0" w:line="266" w:lineRule="auto"/>
        <w:rPr>
          <w:sz w:val="20"/>
          <w:szCs w:val="20"/>
          <w:color w:val="auto"/>
        </w:rPr>
      </w:pPr>
      <w:r>
        <w:rPr>
          <w:rFonts w:ascii="Arial" w:cs="Arial" w:eastAsia="Arial" w:hAnsi="Arial"/>
          <w:sz w:val="16"/>
          <w:szCs w:val="16"/>
          <w:color w:val="auto"/>
        </w:rPr>
        <w:t>Based on these evaluations, the compensation committee approved the annual cash bonus payments for our named executive officers for 2021 in the table below. Since stock-based compensation expense did not exceed $305 million for the 2021 fiscal year, there was no reduction to the annual cash bonus payments.</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39</w:t>
            </w:r>
          </w:p>
        </w:tc>
      </w:tr>
      <w:tr>
        <w:trPr>
          <w:trHeight w:val="158"/>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43" w:name="page44"/>
    <w:bookmarkEnd w:id="43"/>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307340</wp:posOffset>
            </wp:positionV>
            <wp:extent cx="6077585" cy="12858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077585" cy="1285875"/>
                    </a:xfrm>
                    <a:prstGeom prst="rect">
                      <a:avLst/>
                    </a:prstGeom>
                    <a:noFill/>
                  </pic:spPr>
                </pic:pic>
              </a:graphicData>
            </a:graphic>
          </wp:anchor>
        </w:drawing>
      </w:r>
    </w:p>
    <w:p>
      <w:pPr>
        <w:spacing w:after="0" w:line="200" w:lineRule="exact"/>
        <w:rPr>
          <w:sz w:val="20"/>
          <w:szCs w:val="20"/>
          <w:color w:val="auto"/>
        </w:rPr>
      </w:pPr>
    </w:p>
    <w:p>
      <w:pPr>
        <w:spacing w:after="0" w:line="264" w:lineRule="exact"/>
        <w:rPr>
          <w:sz w:val="20"/>
          <w:szCs w:val="20"/>
          <w:color w:val="auto"/>
        </w:rPr>
      </w:pPr>
    </w:p>
    <w:tbl>
      <w:tblPr>
        <w:tblLayout w:type="fixed"/>
        <w:tblInd w:w="4" w:type="dxa"/>
        <w:tblCellMar>
          <w:top w:w="0" w:type="dxa"/>
          <w:left w:w="0" w:type="dxa"/>
          <w:bottom w:w="0" w:type="dxa"/>
          <w:right w:w="0" w:type="dxa"/>
        </w:tblCellMar>
      </w:tblPr>
      <w:tr>
        <w:trPr>
          <w:trHeight w:val="261"/>
        </w:trPr>
        <w:tc>
          <w:tcPr>
            <w:tcW w:w="2620" w:type="dxa"/>
            <w:vAlign w:val="bottom"/>
            <w:vMerge w:val="restart"/>
            <w:shd w:val="clear" w:color="auto" w:fill="0063A6"/>
          </w:tcPr>
          <w:p>
            <w:pPr>
              <w:ind w:left="60"/>
              <w:spacing w:after="0"/>
              <w:rPr>
                <w:sz w:val="20"/>
                <w:szCs w:val="20"/>
                <w:color w:val="auto"/>
              </w:rPr>
            </w:pPr>
            <w:r>
              <w:rPr>
                <w:rFonts w:ascii="Arial" w:cs="Arial" w:eastAsia="Arial" w:hAnsi="Arial"/>
                <w:sz w:val="14"/>
                <w:szCs w:val="14"/>
                <w:b w:val="1"/>
                <w:bCs w:val="1"/>
                <w:color w:val="FFFFFF"/>
              </w:rPr>
              <w:t>Named Executive Officer</w:t>
            </w:r>
            <w:r>
              <w:rPr>
                <w:rFonts w:ascii="Arial" w:cs="Arial" w:eastAsia="Arial" w:hAnsi="Arial"/>
                <w:sz w:val="23"/>
                <w:szCs w:val="23"/>
                <w:b w:val="1"/>
                <w:bCs w:val="1"/>
                <w:color w:val="FFFFFF"/>
                <w:vertAlign w:val="superscript"/>
              </w:rPr>
              <w:t>(1)</w:t>
            </w:r>
          </w:p>
        </w:tc>
        <w:tc>
          <w:tcPr>
            <w:tcW w:w="2440" w:type="dxa"/>
            <w:vAlign w:val="bottom"/>
            <w:shd w:val="clear" w:color="auto" w:fill="0063A6"/>
          </w:tcPr>
          <w:p>
            <w:pPr>
              <w:jc w:val="center"/>
              <w:ind w:left="302"/>
              <w:spacing w:after="0"/>
              <w:rPr>
                <w:sz w:val="20"/>
                <w:szCs w:val="20"/>
                <w:color w:val="auto"/>
              </w:rPr>
            </w:pPr>
            <w:r>
              <w:rPr>
                <w:rFonts w:ascii="Arial" w:cs="Arial" w:eastAsia="Arial" w:hAnsi="Arial"/>
                <w:sz w:val="14"/>
                <w:szCs w:val="14"/>
                <w:b w:val="1"/>
                <w:bCs w:val="1"/>
                <w:color w:val="FFFFFF"/>
              </w:rPr>
              <w:t>Target Annual Cash</w:t>
            </w:r>
          </w:p>
        </w:tc>
        <w:tc>
          <w:tcPr>
            <w:tcW w:w="206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Annual Cash Bonus</w:t>
            </w:r>
          </w:p>
        </w:tc>
        <w:tc>
          <w:tcPr>
            <w:tcW w:w="2440" w:type="dxa"/>
            <w:vAlign w:val="bottom"/>
            <w:shd w:val="clear" w:color="auto" w:fill="0063A6"/>
          </w:tcPr>
          <w:p>
            <w:pPr>
              <w:jc w:val="center"/>
              <w:ind w:left="122"/>
              <w:spacing w:after="0"/>
              <w:rPr>
                <w:sz w:val="20"/>
                <w:szCs w:val="20"/>
                <w:color w:val="auto"/>
              </w:rPr>
            </w:pPr>
            <w:r>
              <w:rPr>
                <w:rFonts w:ascii="Arial" w:cs="Arial" w:eastAsia="Arial" w:hAnsi="Arial"/>
                <w:sz w:val="14"/>
                <w:szCs w:val="14"/>
                <w:b w:val="1"/>
                <w:bCs w:val="1"/>
                <w:color w:val="FFFFFF"/>
              </w:rPr>
              <w:t>Percentage of Target Annual</w:t>
            </w:r>
          </w:p>
        </w:tc>
        <w:tc>
          <w:tcPr>
            <w:tcW w:w="0" w:type="dxa"/>
            <w:vAlign w:val="bottom"/>
          </w:tcPr>
          <w:p>
            <w:pPr>
              <w:spacing w:after="0"/>
              <w:rPr>
                <w:sz w:val="1"/>
                <w:szCs w:val="1"/>
                <w:color w:val="auto"/>
              </w:rPr>
            </w:pPr>
          </w:p>
        </w:tc>
      </w:tr>
      <w:tr>
        <w:trPr>
          <w:trHeight w:val="266"/>
        </w:trPr>
        <w:tc>
          <w:tcPr>
            <w:tcW w:w="2620" w:type="dxa"/>
            <w:vAlign w:val="bottom"/>
            <w:vMerge w:val="continue"/>
            <w:shd w:val="clear" w:color="auto" w:fill="0063A6"/>
          </w:tcPr>
          <w:p>
            <w:pPr>
              <w:spacing w:after="0"/>
              <w:rPr>
                <w:sz w:val="23"/>
                <w:szCs w:val="23"/>
                <w:color w:val="auto"/>
              </w:rPr>
            </w:pPr>
          </w:p>
        </w:tc>
        <w:tc>
          <w:tcPr>
            <w:tcW w:w="2440" w:type="dxa"/>
            <w:vAlign w:val="bottom"/>
            <w:shd w:val="clear" w:color="auto" w:fill="0063A6"/>
          </w:tcPr>
          <w:p>
            <w:pPr>
              <w:jc w:val="center"/>
              <w:ind w:left="342"/>
              <w:spacing w:after="0"/>
              <w:rPr>
                <w:sz w:val="20"/>
                <w:szCs w:val="20"/>
                <w:color w:val="auto"/>
              </w:rPr>
            </w:pPr>
            <w:r>
              <w:rPr>
                <w:rFonts w:ascii="Arial" w:cs="Arial" w:eastAsia="Arial" w:hAnsi="Arial"/>
                <w:sz w:val="14"/>
                <w:szCs w:val="14"/>
                <w:b w:val="1"/>
                <w:bCs w:val="1"/>
                <w:color w:val="FFFFFF"/>
              </w:rPr>
              <w:t>Bonus Payment ($)</w:t>
            </w:r>
          </w:p>
        </w:tc>
        <w:tc>
          <w:tcPr>
            <w:tcW w:w="206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Payment ($)</w:t>
            </w:r>
          </w:p>
        </w:tc>
        <w:tc>
          <w:tcPr>
            <w:tcW w:w="2440" w:type="dxa"/>
            <w:vAlign w:val="bottom"/>
            <w:shd w:val="clear" w:color="auto" w:fill="0063A6"/>
          </w:tcPr>
          <w:p>
            <w:pPr>
              <w:jc w:val="center"/>
              <w:ind w:left="182"/>
              <w:spacing w:after="0"/>
              <w:rPr>
                <w:sz w:val="20"/>
                <w:szCs w:val="20"/>
                <w:color w:val="auto"/>
              </w:rPr>
            </w:pPr>
            <w:r>
              <w:rPr>
                <w:rFonts w:ascii="Arial" w:cs="Arial" w:eastAsia="Arial" w:hAnsi="Arial"/>
                <w:sz w:val="14"/>
                <w:szCs w:val="14"/>
                <w:b w:val="1"/>
                <w:bCs w:val="1"/>
                <w:color w:val="FFFFFF"/>
              </w:rPr>
              <w:t>Cash Bonus Actually Paid</w:t>
            </w:r>
          </w:p>
        </w:tc>
        <w:tc>
          <w:tcPr>
            <w:tcW w:w="0" w:type="dxa"/>
            <w:vAlign w:val="bottom"/>
          </w:tcPr>
          <w:p>
            <w:pPr>
              <w:spacing w:after="0"/>
              <w:rPr>
                <w:sz w:val="1"/>
                <w:szCs w:val="1"/>
                <w:color w:val="auto"/>
              </w:rPr>
            </w:pPr>
          </w:p>
        </w:tc>
      </w:tr>
      <w:tr>
        <w:trPr>
          <w:trHeight w:val="295"/>
        </w:trPr>
        <w:tc>
          <w:tcPr>
            <w:tcW w:w="2620" w:type="dxa"/>
            <w:vAlign w:val="bottom"/>
            <w:shd w:val="clear" w:color="auto" w:fill="F2F2F2"/>
          </w:tcPr>
          <w:p>
            <w:pPr>
              <w:ind w:left="60"/>
              <w:spacing w:after="0"/>
              <w:rPr>
                <w:sz w:val="20"/>
                <w:szCs w:val="20"/>
                <w:color w:val="auto"/>
              </w:rPr>
            </w:pPr>
            <w:r>
              <w:rPr>
                <w:rFonts w:ascii="Arial" w:cs="Arial" w:eastAsia="Arial" w:hAnsi="Arial"/>
                <w:sz w:val="16"/>
                <w:szCs w:val="16"/>
                <w:color w:val="auto"/>
              </w:rPr>
              <w:t>Andrew W. Houston</w:t>
            </w:r>
          </w:p>
        </w:tc>
        <w:tc>
          <w:tcPr>
            <w:tcW w:w="2440" w:type="dxa"/>
            <w:vAlign w:val="bottom"/>
            <w:shd w:val="clear" w:color="auto" w:fill="F2F2F2"/>
          </w:tcPr>
          <w:p>
            <w:pPr>
              <w:jc w:val="center"/>
              <w:ind w:left="302"/>
              <w:spacing w:after="0"/>
              <w:rPr>
                <w:sz w:val="20"/>
                <w:szCs w:val="20"/>
                <w:color w:val="auto"/>
              </w:rPr>
            </w:pPr>
            <w:r>
              <w:rPr>
                <w:rFonts w:ascii="Arial" w:cs="Arial" w:eastAsia="Arial" w:hAnsi="Arial"/>
                <w:sz w:val="16"/>
                <w:szCs w:val="16"/>
                <w:color w:val="auto"/>
              </w:rPr>
              <w:t>606,506</w:t>
            </w:r>
          </w:p>
        </w:tc>
        <w:tc>
          <w:tcPr>
            <w:tcW w:w="206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883,679</w:t>
            </w:r>
          </w:p>
        </w:tc>
        <w:tc>
          <w:tcPr>
            <w:tcW w:w="2440" w:type="dxa"/>
            <w:vAlign w:val="bottom"/>
            <w:shd w:val="clear" w:color="auto" w:fill="F2F2F2"/>
          </w:tcPr>
          <w:p>
            <w:pPr>
              <w:jc w:val="center"/>
              <w:ind w:left="102"/>
              <w:spacing w:after="0"/>
              <w:rPr>
                <w:sz w:val="20"/>
                <w:szCs w:val="20"/>
                <w:color w:val="auto"/>
              </w:rPr>
            </w:pPr>
            <w:r>
              <w:rPr>
                <w:rFonts w:ascii="Arial" w:cs="Arial" w:eastAsia="Arial" w:hAnsi="Arial"/>
                <w:sz w:val="16"/>
                <w:szCs w:val="16"/>
                <w:color w:val="auto"/>
              </w:rPr>
              <w:t>146%</w:t>
            </w:r>
          </w:p>
        </w:tc>
        <w:tc>
          <w:tcPr>
            <w:tcW w:w="0" w:type="dxa"/>
            <w:vAlign w:val="bottom"/>
          </w:tcPr>
          <w:p>
            <w:pPr>
              <w:spacing w:after="0"/>
              <w:rPr>
                <w:sz w:val="1"/>
                <w:szCs w:val="1"/>
                <w:color w:val="auto"/>
              </w:rPr>
            </w:pPr>
          </w:p>
        </w:tc>
      </w:tr>
      <w:tr>
        <w:trPr>
          <w:trHeight w:val="83"/>
        </w:trPr>
        <w:tc>
          <w:tcPr>
            <w:tcW w:w="2620" w:type="dxa"/>
            <w:vAlign w:val="bottom"/>
            <w:shd w:val="clear" w:color="auto" w:fill="F2F2F2"/>
          </w:tcPr>
          <w:p>
            <w:pPr>
              <w:spacing w:after="0"/>
              <w:rPr>
                <w:sz w:val="7"/>
                <w:szCs w:val="7"/>
                <w:color w:val="auto"/>
              </w:rPr>
            </w:pPr>
          </w:p>
        </w:tc>
        <w:tc>
          <w:tcPr>
            <w:tcW w:w="2440" w:type="dxa"/>
            <w:vAlign w:val="bottom"/>
            <w:shd w:val="clear" w:color="auto" w:fill="F2F2F2"/>
          </w:tcPr>
          <w:p>
            <w:pPr>
              <w:spacing w:after="0"/>
              <w:rPr>
                <w:sz w:val="7"/>
                <w:szCs w:val="7"/>
                <w:color w:val="auto"/>
              </w:rPr>
            </w:pPr>
          </w:p>
        </w:tc>
        <w:tc>
          <w:tcPr>
            <w:tcW w:w="2060" w:type="dxa"/>
            <w:vAlign w:val="bottom"/>
            <w:shd w:val="clear" w:color="auto" w:fill="F2F2F2"/>
          </w:tcPr>
          <w:p>
            <w:pPr>
              <w:spacing w:after="0"/>
              <w:rPr>
                <w:sz w:val="7"/>
                <w:szCs w:val="7"/>
                <w:color w:val="auto"/>
              </w:rPr>
            </w:pPr>
          </w:p>
        </w:tc>
        <w:tc>
          <w:tcPr>
            <w:tcW w:w="2440" w:type="dxa"/>
            <w:vAlign w:val="bottom"/>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2620" w:type="dxa"/>
            <w:vAlign w:val="bottom"/>
          </w:tcPr>
          <w:p>
            <w:pPr>
              <w:ind w:left="60"/>
              <w:spacing w:after="0"/>
              <w:rPr>
                <w:sz w:val="20"/>
                <w:szCs w:val="20"/>
                <w:color w:val="auto"/>
              </w:rPr>
            </w:pPr>
            <w:r>
              <w:rPr>
                <w:rFonts w:ascii="Arial" w:cs="Arial" w:eastAsia="Arial" w:hAnsi="Arial"/>
                <w:sz w:val="16"/>
                <w:szCs w:val="16"/>
                <w:color w:val="auto"/>
              </w:rPr>
              <w:t>Timothy Regan</w:t>
            </w:r>
          </w:p>
        </w:tc>
        <w:tc>
          <w:tcPr>
            <w:tcW w:w="2440" w:type="dxa"/>
            <w:vAlign w:val="bottom"/>
          </w:tcPr>
          <w:p>
            <w:pPr>
              <w:jc w:val="center"/>
              <w:ind w:left="302"/>
              <w:spacing w:after="0"/>
              <w:rPr>
                <w:sz w:val="20"/>
                <w:szCs w:val="20"/>
                <w:color w:val="auto"/>
              </w:rPr>
            </w:pPr>
            <w:r>
              <w:rPr>
                <w:rFonts w:ascii="Arial" w:cs="Arial" w:eastAsia="Arial" w:hAnsi="Arial"/>
                <w:sz w:val="16"/>
                <w:szCs w:val="16"/>
                <w:color w:val="auto"/>
              </w:rPr>
              <w:t>307,369</w:t>
            </w:r>
          </w:p>
        </w:tc>
        <w:tc>
          <w:tcPr>
            <w:tcW w:w="2060" w:type="dxa"/>
            <w:vAlign w:val="bottom"/>
          </w:tcPr>
          <w:p>
            <w:pPr>
              <w:jc w:val="center"/>
              <w:spacing w:after="0"/>
              <w:rPr>
                <w:sz w:val="20"/>
                <w:szCs w:val="20"/>
                <w:color w:val="auto"/>
              </w:rPr>
            </w:pPr>
            <w:r>
              <w:rPr>
                <w:rFonts w:ascii="Arial" w:cs="Arial" w:eastAsia="Arial" w:hAnsi="Arial"/>
                <w:sz w:val="16"/>
                <w:szCs w:val="16"/>
                <w:color w:val="auto"/>
              </w:rPr>
              <w:t>515,012</w:t>
            </w:r>
          </w:p>
        </w:tc>
        <w:tc>
          <w:tcPr>
            <w:tcW w:w="2440" w:type="dxa"/>
            <w:vAlign w:val="bottom"/>
          </w:tcPr>
          <w:p>
            <w:pPr>
              <w:jc w:val="center"/>
              <w:ind w:left="102"/>
              <w:spacing w:after="0"/>
              <w:rPr>
                <w:sz w:val="20"/>
                <w:szCs w:val="20"/>
                <w:color w:val="auto"/>
              </w:rPr>
            </w:pPr>
            <w:r>
              <w:rPr>
                <w:rFonts w:ascii="Arial" w:cs="Arial" w:eastAsia="Arial" w:hAnsi="Arial"/>
                <w:sz w:val="16"/>
                <w:szCs w:val="16"/>
                <w:color w:val="auto"/>
              </w:rPr>
              <w:t>168%</w:t>
            </w:r>
          </w:p>
        </w:tc>
        <w:tc>
          <w:tcPr>
            <w:tcW w:w="0" w:type="dxa"/>
            <w:vAlign w:val="bottom"/>
          </w:tcPr>
          <w:p>
            <w:pPr>
              <w:spacing w:after="0"/>
              <w:rPr>
                <w:sz w:val="1"/>
                <w:szCs w:val="1"/>
                <w:color w:val="auto"/>
              </w:rPr>
            </w:pPr>
          </w:p>
        </w:tc>
      </w:tr>
      <w:tr>
        <w:trPr>
          <w:trHeight w:val="83"/>
        </w:trPr>
        <w:tc>
          <w:tcPr>
            <w:tcW w:w="2620" w:type="dxa"/>
            <w:vAlign w:val="bottom"/>
          </w:tcPr>
          <w:p>
            <w:pPr>
              <w:spacing w:after="0"/>
              <w:rPr>
                <w:sz w:val="7"/>
                <w:szCs w:val="7"/>
                <w:color w:val="auto"/>
              </w:rPr>
            </w:pPr>
          </w:p>
        </w:tc>
        <w:tc>
          <w:tcPr>
            <w:tcW w:w="2440" w:type="dxa"/>
            <w:vAlign w:val="bottom"/>
          </w:tcPr>
          <w:p>
            <w:pPr>
              <w:spacing w:after="0"/>
              <w:rPr>
                <w:sz w:val="7"/>
                <w:szCs w:val="7"/>
                <w:color w:val="auto"/>
              </w:rPr>
            </w:pPr>
          </w:p>
        </w:tc>
        <w:tc>
          <w:tcPr>
            <w:tcW w:w="2060" w:type="dxa"/>
            <w:vAlign w:val="bottom"/>
          </w:tcPr>
          <w:p>
            <w:pPr>
              <w:spacing w:after="0"/>
              <w:rPr>
                <w:sz w:val="7"/>
                <w:szCs w:val="7"/>
                <w:color w:val="auto"/>
              </w:rPr>
            </w:pPr>
          </w:p>
        </w:tc>
        <w:tc>
          <w:tcPr>
            <w:tcW w:w="24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2620" w:type="dxa"/>
            <w:vAlign w:val="bottom"/>
            <w:shd w:val="clear" w:color="auto" w:fill="F2F2F2"/>
          </w:tcPr>
          <w:p>
            <w:pPr>
              <w:ind w:left="60"/>
              <w:spacing w:after="0"/>
              <w:rPr>
                <w:sz w:val="20"/>
                <w:szCs w:val="20"/>
                <w:color w:val="auto"/>
              </w:rPr>
            </w:pPr>
            <w:r>
              <w:rPr>
                <w:rFonts w:ascii="Arial" w:cs="Arial" w:eastAsia="Arial" w:hAnsi="Arial"/>
                <w:sz w:val="16"/>
                <w:szCs w:val="16"/>
                <w:color w:val="auto"/>
              </w:rPr>
              <w:t>Timothy Young</w:t>
            </w:r>
          </w:p>
        </w:tc>
        <w:tc>
          <w:tcPr>
            <w:tcW w:w="2440" w:type="dxa"/>
            <w:vAlign w:val="bottom"/>
            <w:shd w:val="clear" w:color="auto" w:fill="F2F2F2"/>
          </w:tcPr>
          <w:p>
            <w:pPr>
              <w:jc w:val="center"/>
              <w:ind w:left="302"/>
              <w:spacing w:after="0"/>
              <w:rPr>
                <w:sz w:val="20"/>
                <w:szCs w:val="20"/>
                <w:color w:val="auto"/>
              </w:rPr>
            </w:pPr>
            <w:r>
              <w:rPr>
                <w:rFonts w:ascii="Arial" w:cs="Arial" w:eastAsia="Arial" w:hAnsi="Arial"/>
                <w:sz w:val="16"/>
                <w:szCs w:val="16"/>
                <w:color w:val="auto"/>
              </w:rPr>
              <w:t>600,000</w:t>
            </w:r>
          </w:p>
        </w:tc>
        <w:tc>
          <w:tcPr>
            <w:tcW w:w="206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874,200</w:t>
            </w:r>
          </w:p>
        </w:tc>
        <w:tc>
          <w:tcPr>
            <w:tcW w:w="2440" w:type="dxa"/>
            <w:vAlign w:val="bottom"/>
            <w:shd w:val="clear" w:color="auto" w:fill="F2F2F2"/>
          </w:tcPr>
          <w:p>
            <w:pPr>
              <w:jc w:val="center"/>
              <w:ind w:left="102"/>
              <w:spacing w:after="0"/>
              <w:rPr>
                <w:sz w:val="20"/>
                <w:szCs w:val="20"/>
                <w:color w:val="auto"/>
              </w:rPr>
            </w:pPr>
            <w:r>
              <w:rPr>
                <w:rFonts w:ascii="Arial" w:cs="Arial" w:eastAsia="Arial" w:hAnsi="Arial"/>
                <w:sz w:val="16"/>
                <w:szCs w:val="16"/>
                <w:color w:val="auto"/>
              </w:rPr>
              <w:t>146%</w:t>
            </w:r>
          </w:p>
        </w:tc>
        <w:tc>
          <w:tcPr>
            <w:tcW w:w="0" w:type="dxa"/>
            <w:vAlign w:val="bottom"/>
          </w:tcPr>
          <w:p>
            <w:pPr>
              <w:spacing w:after="0"/>
              <w:rPr>
                <w:sz w:val="1"/>
                <w:szCs w:val="1"/>
                <w:color w:val="auto"/>
              </w:rPr>
            </w:pPr>
          </w:p>
        </w:tc>
      </w:tr>
      <w:tr>
        <w:trPr>
          <w:trHeight w:val="83"/>
        </w:trPr>
        <w:tc>
          <w:tcPr>
            <w:tcW w:w="2620" w:type="dxa"/>
            <w:vAlign w:val="bottom"/>
            <w:shd w:val="clear" w:color="auto" w:fill="F2F2F2"/>
          </w:tcPr>
          <w:p>
            <w:pPr>
              <w:spacing w:after="0"/>
              <w:rPr>
                <w:sz w:val="7"/>
                <w:szCs w:val="7"/>
                <w:color w:val="auto"/>
              </w:rPr>
            </w:pPr>
          </w:p>
        </w:tc>
        <w:tc>
          <w:tcPr>
            <w:tcW w:w="2440" w:type="dxa"/>
            <w:vAlign w:val="bottom"/>
            <w:shd w:val="clear" w:color="auto" w:fill="F2F2F2"/>
          </w:tcPr>
          <w:p>
            <w:pPr>
              <w:spacing w:after="0"/>
              <w:rPr>
                <w:sz w:val="7"/>
                <w:szCs w:val="7"/>
                <w:color w:val="auto"/>
              </w:rPr>
            </w:pPr>
          </w:p>
        </w:tc>
        <w:tc>
          <w:tcPr>
            <w:tcW w:w="2060" w:type="dxa"/>
            <w:vAlign w:val="bottom"/>
            <w:shd w:val="clear" w:color="auto" w:fill="F2F2F2"/>
          </w:tcPr>
          <w:p>
            <w:pPr>
              <w:spacing w:after="0"/>
              <w:rPr>
                <w:sz w:val="7"/>
                <w:szCs w:val="7"/>
                <w:color w:val="auto"/>
              </w:rPr>
            </w:pPr>
          </w:p>
        </w:tc>
        <w:tc>
          <w:tcPr>
            <w:tcW w:w="2440" w:type="dxa"/>
            <w:vAlign w:val="bottom"/>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2620" w:type="dxa"/>
            <w:vAlign w:val="bottom"/>
          </w:tcPr>
          <w:p>
            <w:pPr>
              <w:ind w:left="60"/>
              <w:spacing w:after="0"/>
              <w:rPr>
                <w:sz w:val="20"/>
                <w:szCs w:val="20"/>
                <w:color w:val="auto"/>
              </w:rPr>
            </w:pPr>
            <w:r>
              <w:rPr>
                <w:rFonts w:ascii="Arial" w:cs="Arial" w:eastAsia="Arial" w:hAnsi="Arial"/>
                <w:sz w:val="16"/>
                <w:szCs w:val="16"/>
                <w:color w:val="auto"/>
              </w:rPr>
              <w:t>Bart E. Volkmer</w:t>
            </w:r>
          </w:p>
        </w:tc>
        <w:tc>
          <w:tcPr>
            <w:tcW w:w="2440" w:type="dxa"/>
            <w:vAlign w:val="bottom"/>
          </w:tcPr>
          <w:p>
            <w:pPr>
              <w:jc w:val="center"/>
              <w:ind w:left="302"/>
              <w:spacing w:after="0"/>
              <w:rPr>
                <w:sz w:val="20"/>
                <w:szCs w:val="20"/>
                <w:color w:val="auto"/>
              </w:rPr>
            </w:pPr>
            <w:r>
              <w:rPr>
                <w:rFonts w:ascii="Arial" w:cs="Arial" w:eastAsia="Arial" w:hAnsi="Arial"/>
                <w:sz w:val="16"/>
                <w:szCs w:val="16"/>
                <w:color w:val="auto"/>
              </w:rPr>
              <w:t>308,750</w:t>
            </w:r>
          </w:p>
        </w:tc>
        <w:tc>
          <w:tcPr>
            <w:tcW w:w="2060" w:type="dxa"/>
            <w:vAlign w:val="bottom"/>
          </w:tcPr>
          <w:p>
            <w:pPr>
              <w:jc w:val="center"/>
              <w:spacing w:after="0"/>
              <w:rPr>
                <w:sz w:val="20"/>
                <w:szCs w:val="20"/>
                <w:color w:val="auto"/>
              </w:rPr>
            </w:pPr>
            <w:r>
              <w:rPr>
                <w:rFonts w:ascii="Arial" w:cs="Arial" w:eastAsia="Arial" w:hAnsi="Arial"/>
                <w:sz w:val="16"/>
                <w:szCs w:val="16"/>
                <w:color w:val="auto"/>
              </w:rPr>
              <w:t>517,326</w:t>
            </w:r>
          </w:p>
        </w:tc>
        <w:tc>
          <w:tcPr>
            <w:tcW w:w="2440" w:type="dxa"/>
            <w:vAlign w:val="bottom"/>
          </w:tcPr>
          <w:p>
            <w:pPr>
              <w:jc w:val="center"/>
              <w:ind w:left="102"/>
              <w:spacing w:after="0"/>
              <w:rPr>
                <w:sz w:val="20"/>
                <w:szCs w:val="20"/>
                <w:color w:val="auto"/>
              </w:rPr>
            </w:pPr>
            <w:r>
              <w:rPr>
                <w:rFonts w:ascii="Arial" w:cs="Arial" w:eastAsia="Arial" w:hAnsi="Arial"/>
                <w:sz w:val="16"/>
                <w:szCs w:val="16"/>
                <w:color w:val="auto"/>
              </w:rPr>
              <w:t>168%</w:t>
            </w:r>
          </w:p>
        </w:tc>
        <w:tc>
          <w:tcPr>
            <w:tcW w:w="0" w:type="dxa"/>
            <w:vAlign w:val="bottom"/>
          </w:tcPr>
          <w:p>
            <w:pPr>
              <w:spacing w:after="0"/>
              <w:rPr>
                <w:sz w:val="1"/>
                <w:szCs w:val="1"/>
                <w:color w:val="auto"/>
              </w:rPr>
            </w:pPr>
          </w:p>
        </w:tc>
      </w:tr>
    </w:tbl>
    <w:p>
      <w:pPr>
        <w:spacing w:after="0" w:line="92" w:lineRule="exact"/>
        <w:rPr>
          <w:sz w:val="20"/>
          <w:szCs w:val="20"/>
          <w:color w:val="auto"/>
        </w:rPr>
      </w:pPr>
    </w:p>
    <w:p>
      <w:pPr>
        <w:ind w:left="244" w:hanging="244"/>
        <w:spacing w:after="0"/>
        <w:tabs>
          <w:tab w:leader="none" w:pos="244" w:val="left"/>
        </w:tabs>
        <w:numPr>
          <w:ilvl w:val="0"/>
          <w:numId w:val="65"/>
        </w:numPr>
        <w:rPr>
          <w:rFonts w:ascii="Arial" w:cs="Arial" w:eastAsia="Arial" w:hAnsi="Arial"/>
          <w:sz w:val="22"/>
          <w:szCs w:val="22"/>
          <w:color w:val="auto"/>
          <w:vertAlign w:val="superscript"/>
        </w:rPr>
      </w:pPr>
      <w:r>
        <w:rPr>
          <w:rFonts w:ascii="Arial" w:cs="Arial" w:eastAsia="Arial" w:hAnsi="Arial"/>
          <w:sz w:val="14"/>
          <w:szCs w:val="14"/>
          <w:color w:val="auto"/>
        </w:rPr>
        <w:t>Ms. Nottebohm resigned from the company in February 2021 and therefore was ineligible to receive an annual cash bonus payment in 2021.</w:t>
      </w:r>
    </w:p>
    <w:p>
      <w:pPr>
        <w:spacing w:after="0" w:line="129" w:lineRule="exact"/>
        <w:rPr>
          <w:sz w:val="20"/>
          <w:szCs w:val="20"/>
          <w:color w:val="auto"/>
        </w:rPr>
      </w:pPr>
    </w:p>
    <w:p>
      <w:pPr>
        <w:ind w:left="4" w:right="80"/>
        <w:spacing w:after="0" w:line="286" w:lineRule="auto"/>
        <w:rPr>
          <w:sz w:val="20"/>
          <w:szCs w:val="20"/>
          <w:color w:val="auto"/>
        </w:rPr>
      </w:pPr>
      <w:r>
        <w:rPr>
          <w:rFonts w:ascii="Arial" w:cs="Arial" w:eastAsia="Arial" w:hAnsi="Arial"/>
          <w:sz w:val="16"/>
          <w:szCs w:val="16"/>
          <w:color w:val="auto"/>
        </w:rPr>
        <w:t>The annual cash bonus payments made to our named executive officers for 2021 are set forth in the “</w:t>
      </w:r>
      <w:r>
        <w:rPr>
          <w:rFonts w:ascii="Arial" w:cs="Arial" w:eastAsia="Arial" w:hAnsi="Arial"/>
          <w:sz w:val="16"/>
          <w:szCs w:val="16"/>
          <w:i w:val="1"/>
          <w:iCs w:val="1"/>
          <w:color w:val="auto"/>
        </w:rPr>
        <w:t>Summary Compensation Table</w:t>
      </w:r>
      <w:r>
        <w:rPr>
          <w:rFonts w:ascii="Arial" w:cs="Arial" w:eastAsia="Arial" w:hAnsi="Arial"/>
          <w:sz w:val="16"/>
          <w:szCs w:val="16"/>
          <w:color w:val="auto"/>
        </w:rPr>
        <w:t xml:space="preserve"> </w:t>
      </w:r>
      <w:r>
        <w:rPr>
          <w:rFonts w:ascii="Arial" w:cs="Arial" w:eastAsia="Arial" w:hAnsi="Arial"/>
          <w:sz w:val="16"/>
          <w:szCs w:val="16"/>
          <w:i w:val="1"/>
          <w:iCs w:val="1"/>
          <w:color w:val="auto"/>
        </w:rPr>
        <w:t>for Fiscal Year 2021</w:t>
      </w:r>
      <w:r>
        <w:rPr>
          <w:rFonts w:ascii="Arial" w:cs="Arial" w:eastAsia="Arial" w:hAnsi="Arial"/>
          <w:sz w:val="16"/>
          <w:szCs w:val="16"/>
          <w:color w:val="auto"/>
        </w:rPr>
        <w:t>” below.</w:t>
      </w:r>
    </w:p>
    <w:p>
      <w:pPr>
        <w:spacing w:after="0" w:line="318"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Long-Term Equity Incentive Compensation</w:t>
      </w:r>
    </w:p>
    <w:p>
      <w:pPr>
        <w:spacing w:after="0" w:line="46" w:lineRule="exact"/>
        <w:rPr>
          <w:sz w:val="20"/>
          <w:szCs w:val="20"/>
          <w:color w:val="auto"/>
        </w:rPr>
      </w:pPr>
    </w:p>
    <w:p>
      <w:pPr>
        <w:ind w:left="4" w:right="60"/>
        <w:spacing w:after="0" w:line="266" w:lineRule="auto"/>
        <w:rPr>
          <w:sz w:val="20"/>
          <w:szCs w:val="20"/>
          <w:color w:val="auto"/>
        </w:rPr>
      </w:pPr>
      <w:r>
        <w:rPr>
          <w:rFonts w:ascii="Arial" w:cs="Arial" w:eastAsia="Arial" w:hAnsi="Arial"/>
          <w:sz w:val="16"/>
          <w:szCs w:val="16"/>
          <w:color w:val="auto"/>
        </w:rPr>
        <w:t>We view long-term equity incentive compensation as a critical element of our executive compensation program. The realized value of these equity awards bears a direct relationship to our stock price, and, therefore, these awards are an incentive for our executive officers to create value for our stockholders. Equity awards also help us retain qualified executive officers in a competitive market.</w:t>
      </w:r>
    </w:p>
    <w:p>
      <w:pPr>
        <w:spacing w:after="0" w:line="117" w:lineRule="exact"/>
        <w:rPr>
          <w:sz w:val="20"/>
          <w:szCs w:val="20"/>
          <w:color w:val="auto"/>
        </w:rPr>
      </w:pPr>
    </w:p>
    <w:p>
      <w:pPr>
        <w:ind w:left="4"/>
        <w:spacing w:after="0" w:line="259" w:lineRule="auto"/>
        <w:rPr>
          <w:sz w:val="20"/>
          <w:szCs w:val="20"/>
          <w:color w:val="auto"/>
        </w:rPr>
      </w:pPr>
      <w:r>
        <w:rPr>
          <w:rFonts w:ascii="Arial" w:cs="Arial" w:eastAsia="Arial" w:hAnsi="Arial"/>
          <w:sz w:val="16"/>
          <w:szCs w:val="16"/>
          <w:color w:val="auto"/>
        </w:rPr>
        <w:t>The amount and forms of the equity awards granted to our executive officers are determined after considering the factors described in “</w:t>
      </w:r>
      <w:r>
        <w:rPr>
          <w:rFonts w:ascii="Arial" w:cs="Arial" w:eastAsia="Arial" w:hAnsi="Arial"/>
          <w:sz w:val="16"/>
          <w:szCs w:val="16"/>
          <w:i w:val="1"/>
          <w:iCs w:val="1"/>
          <w:color w:val="auto"/>
        </w:rPr>
        <w:t>Compensation-Setting Process</w:t>
      </w:r>
      <w:r>
        <w:rPr>
          <w:rFonts w:ascii="Arial" w:cs="Arial" w:eastAsia="Arial" w:hAnsi="Arial"/>
          <w:sz w:val="16"/>
          <w:szCs w:val="16"/>
          <w:color w:val="auto"/>
        </w:rPr>
        <w:t>” above. The size of the equity awards is also intended to be competitive and result in target total direct compensation opportunities that we believe are reasonable and appropriate taking into consideration the factors described in the preceding sentence.</w:t>
      </w:r>
    </w:p>
    <w:p>
      <w:pPr>
        <w:spacing w:after="0" w:line="124" w:lineRule="exact"/>
        <w:rPr>
          <w:sz w:val="20"/>
          <w:szCs w:val="20"/>
          <w:color w:val="auto"/>
        </w:rPr>
      </w:pPr>
    </w:p>
    <w:p>
      <w:pPr>
        <w:ind w:left="4"/>
        <w:spacing w:after="0"/>
        <w:rPr>
          <w:sz w:val="20"/>
          <w:szCs w:val="20"/>
          <w:color w:val="auto"/>
        </w:rPr>
      </w:pPr>
      <w:r>
        <w:rPr>
          <w:rFonts w:ascii="Arial" w:cs="Arial" w:eastAsia="Arial" w:hAnsi="Arial"/>
          <w:sz w:val="16"/>
          <w:szCs w:val="16"/>
          <w:color w:val="auto"/>
        </w:rPr>
        <w:t>In March 2021, the compensation committee approved equity grants in the form of restricted stock awards (“</w:t>
      </w:r>
      <w:r>
        <w:rPr>
          <w:rFonts w:ascii="Arial" w:cs="Arial" w:eastAsia="Arial" w:hAnsi="Arial"/>
          <w:sz w:val="16"/>
          <w:szCs w:val="16"/>
          <w:b w:val="1"/>
          <w:bCs w:val="1"/>
          <w:i w:val="1"/>
          <w:iCs w:val="1"/>
          <w:color w:val="auto"/>
        </w:rPr>
        <w:t>RSAs</w:t>
      </w:r>
      <w:r>
        <w:rPr>
          <w:rFonts w:ascii="Arial" w:cs="Arial" w:eastAsia="Arial" w:hAnsi="Arial"/>
          <w:sz w:val="16"/>
          <w:szCs w:val="16"/>
          <w:color w:val="auto"/>
        </w:rPr>
        <w:t>”) to Messrs.</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color w:val="auto"/>
        </w:rPr>
        <w:t>Regan and Volkmer, each of which were effective April 1, 2021.</w:t>
      </w:r>
    </w:p>
    <w:p>
      <w:pPr>
        <w:spacing w:after="0" w:line="151" w:lineRule="exact"/>
        <w:rPr>
          <w:sz w:val="20"/>
          <w:szCs w:val="20"/>
          <w:color w:val="auto"/>
        </w:rPr>
      </w:pPr>
    </w:p>
    <w:p>
      <w:pPr>
        <w:ind w:left="4"/>
        <w:spacing w:after="0" w:line="254" w:lineRule="auto"/>
        <w:rPr>
          <w:sz w:val="20"/>
          <w:szCs w:val="20"/>
          <w:color w:val="auto"/>
        </w:rPr>
      </w:pPr>
      <w:r>
        <w:rPr>
          <w:rFonts w:ascii="Arial" w:cs="Arial" w:eastAsia="Arial" w:hAnsi="Arial"/>
          <w:sz w:val="16"/>
          <w:szCs w:val="16"/>
          <w:color w:val="auto"/>
        </w:rPr>
        <w:t>Differentiation was made among our executive officers based on the compensation committee’s review of the competitive market data for their respective positions, internal equity, past performance, and expected future contributions. Mr. Houston does not receive equity-based compensation in light of his significant ownership position in the company and the Co-Founder Grant he received in 2017. Mr. Young was not granted an equity award in 2021 because he was granted a meaningful performance-based equity award in late 2020 in connection with his promotion to President. The equity awards granted to our named executive officers in 2021 were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90170</wp:posOffset>
            </wp:positionV>
            <wp:extent cx="6077585" cy="12858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6077585" cy="1285875"/>
                    </a:xfrm>
                    <a:prstGeom prst="rect">
                      <a:avLst/>
                    </a:prstGeom>
                    <a:noFill/>
                  </pic:spPr>
                </pic:pic>
              </a:graphicData>
            </a:graphic>
          </wp:anchor>
        </w:drawing>
      </w:r>
    </w:p>
    <w:p>
      <w:pPr>
        <w:spacing w:after="0" w:line="122" w:lineRule="exact"/>
        <w:rPr>
          <w:sz w:val="20"/>
          <w:szCs w:val="20"/>
          <w:color w:val="auto"/>
        </w:rPr>
      </w:pPr>
    </w:p>
    <w:tbl>
      <w:tblPr>
        <w:tblLayout w:type="fixed"/>
        <w:tblInd w:w="4" w:type="dxa"/>
        <w:tblCellMar>
          <w:top w:w="0" w:type="dxa"/>
          <w:left w:w="0" w:type="dxa"/>
          <w:bottom w:w="0" w:type="dxa"/>
          <w:right w:w="0" w:type="dxa"/>
        </w:tblCellMar>
      </w:tblPr>
      <w:tr>
        <w:trPr>
          <w:trHeight w:val="261"/>
        </w:trPr>
        <w:tc>
          <w:tcPr>
            <w:tcW w:w="4000" w:type="dxa"/>
            <w:vAlign w:val="bottom"/>
            <w:vMerge w:val="restart"/>
            <w:shd w:val="clear" w:color="auto" w:fill="0063A6"/>
          </w:tcPr>
          <w:p>
            <w:pPr>
              <w:ind w:left="80"/>
              <w:spacing w:after="0"/>
              <w:rPr>
                <w:sz w:val="20"/>
                <w:szCs w:val="20"/>
                <w:color w:val="auto"/>
              </w:rPr>
            </w:pPr>
            <w:r>
              <w:rPr>
                <w:rFonts w:ascii="Arial" w:cs="Arial" w:eastAsia="Arial" w:hAnsi="Arial"/>
                <w:sz w:val="14"/>
                <w:szCs w:val="14"/>
                <w:b w:val="1"/>
                <w:bCs w:val="1"/>
                <w:color w:val="FFFFFF"/>
              </w:rPr>
              <w:t>Named Executive Officer</w:t>
            </w:r>
            <w:r>
              <w:rPr>
                <w:rFonts w:ascii="Arial" w:cs="Arial" w:eastAsia="Arial" w:hAnsi="Arial"/>
                <w:sz w:val="23"/>
                <w:szCs w:val="23"/>
                <w:b w:val="1"/>
                <w:bCs w:val="1"/>
                <w:color w:val="FFFFFF"/>
                <w:vertAlign w:val="superscript"/>
              </w:rPr>
              <w:t>(1)</w:t>
            </w:r>
          </w:p>
        </w:tc>
        <w:tc>
          <w:tcPr>
            <w:tcW w:w="3280" w:type="dxa"/>
            <w:vAlign w:val="bottom"/>
            <w:vMerge w:val="restart"/>
            <w:shd w:val="clear" w:color="auto" w:fill="0063A6"/>
          </w:tcPr>
          <w:p>
            <w:pPr>
              <w:ind w:left="2120"/>
              <w:spacing w:after="0"/>
              <w:rPr>
                <w:sz w:val="20"/>
                <w:szCs w:val="20"/>
                <w:color w:val="auto"/>
              </w:rPr>
            </w:pPr>
            <w:r>
              <w:rPr>
                <w:rFonts w:ascii="Arial" w:cs="Arial" w:eastAsia="Arial" w:hAnsi="Arial"/>
                <w:sz w:val="14"/>
                <w:szCs w:val="14"/>
                <w:b w:val="1"/>
                <w:bCs w:val="1"/>
                <w:color w:val="FFFFFF"/>
              </w:rPr>
              <w:t>RSAs</w:t>
            </w:r>
            <w:r>
              <w:rPr>
                <w:rFonts w:ascii="Arial" w:cs="Arial" w:eastAsia="Arial" w:hAnsi="Arial"/>
                <w:sz w:val="23"/>
                <w:szCs w:val="23"/>
                <w:b w:val="1"/>
                <w:bCs w:val="1"/>
                <w:color w:val="FFFFFF"/>
                <w:vertAlign w:val="superscript"/>
              </w:rPr>
              <w:t>(2)</w:t>
            </w:r>
          </w:p>
        </w:tc>
        <w:tc>
          <w:tcPr>
            <w:tcW w:w="2280" w:type="dxa"/>
            <w:vAlign w:val="bottom"/>
            <w:shd w:val="clear" w:color="auto" w:fill="0063A6"/>
          </w:tcPr>
          <w:p>
            <w:pPr>
              <w:jc w:val="center"/>
              <w:ind w:left="22"/>
              <w:spacing w:after="0"/>
              <w:rPr>
                <w:sz w:val="20"/>
                <w:szCs w:val="20"/>
                <w:color w:val="auto"/>
              </w:rPr>
            </w:pPr>
            <w:r>
              <w:rPr>
                <w:rFonts w:ascii="Arial" w:cs="Arial" w:eastAsia="Arial" w:hAnsi="Arial"/>
                <w:sz w:val="14"/>
                <w:szCs w:val="14"/>
                <w:b w:val="1"/>
                <w:bCs w:val="1"/>
                <w:color w:val="FFFFFF"/>
              </w:rPr>
              <w:t>Aggregate Grant</w:t>
            </w:r>
          </w:p>
        </w:tc>
        <w:tc>
          <w:tcPr>
            <w:tcW w:w="0" w:type="dxa"/>
            <w:vAlign w:val="bottom"/>
          </w:tcPr>
          <w:p>
            <w:pPr>
              <w:spacing w:after="0"/>
              <w:rPr>
                <w:sz w:val="1"/>
                <w:szCs w:val="1"/>
                <w:color w:val="auto"/>
              </w:rPr>
            </w:pPr>
          </w:p>
        </w:tc>
      </w:tr>
      <w:tr>
        <w:trPr>
          <w:trHeight w:val="266"/>
        </w:trPr>
        <w:tc>
          <w:tcPr>
            <w:tcW w:w="4000" w:type="dxa"/>
            <w:vAlign w:val="bottom"/>
            <w:vMerge w:val="continue"/>
            <w:shd w:val="clear" w:color="auto" w:fill="0063A6"/>
          </w:tcPr>
          <w:p>
            <w:pPr>
              <w:spacing w:after="0"/>
              <w:rPr>
                <w:sz w:val="23"/>
                <w:szCs w:val="23"/>
                <w:color w:val="auto"/>
              </w:rPr>
            </w:pPr>
          </w:p>
        </w:tc>
        <w:tc>
          <w:tcPr>
            <w:tcW w:w="3280" w:type="dxa"/>
            <w:vAlign w:val="bottom"/>
            <w:vMerge w:val="continue"/>
            <w:shd w:val="clear" w:color="auto" w:fill="0063A6"/>
          </w:tcPr>
          <w:p>
            <w:pPr>
              <w:spacing w:after="0"/>
              <w:rPr>
                <w:sz w:val="23"/>
                <w:szCs w:val="23"/>
                <w:color w:val="auto"/>
              </w:rPr>
            </w:pPr>
          </w:p>
        </w:tc>
        <w:tc>
          <w:tcPr>
            <w:tcW w:w="2280" w:type="dxa"/>
            <w:vAlign w:val="bottom"/>
            <w:shd w:val="clear" w:color="auto" w:fill="0063A6"/>
          </w:tcPr>
          <w:p>
            <w:pPr>
              <w:jc w:val="center"/>
              <w:ind w:left="62"/>
              <w:spacing w:after="0"/>
              <w:rPr>
                <w:sz w:val="20"/>
                <w:szCs w:val="20"/>
                <w:color w:val="auto"/>
              </w:rPr>
            </w:pPr>
            <w:r>
              <w:rPr>
                <w:rFonts w:ascii="Arial" w:cs="Arial" w:eastAsia="Arial" w:hAnsi="Arial"/>
                <w:sz w:val="14"/>
                <w:szCs w:val="14"/>
                <w:b w:val="1"/>
                <w:bCs w:val="1"/>
                <w:color w:val="FFFFFF"/>
              </w:rPr>
              <w:t>Date Fair Value ($)</w:t>
            </w:r>
          </w:p>
        </w:tc>
        <w:tc>
          <w:tcPr>
            <w:tcW w:w="0" w:type="dxa"/>
            <w:vAlign w:val="bottom"/>
          </w:tcPr>
          <w:p>
            <w:pPr>
              <w:spacing w:after="0"/>
              <w:rPr>
                <w:sz w:val="1"/>
                <w:szCs w:val="1"/>
                <w:color w:val="auto"/>
              </w:rPr>
            </w:pPr>
          </w:p>
        </w:tc>
      </w:tr>
      <w:tr>
        <w:trPr>
          <w:trHeight w:val="295"/>
        </w:trPr>
        <w:tc>
          <w:tcPr>
            <w:tcW w:w="4000" w:type="dxa"/>
            <w:vAlign w:val="bottom"/>
            <w:shd w:val="clear" w:color="auto" w:fill="F2F2F2"/>
          </w:tcPr>
          <w:p>
            <w:pPr>
              <w:ind w:left="80"/>
              <w:spacing w:after="0"/>
              <w:rPr>
                <w:sz w:val="20"/>
                <w:szCs w:val="20"/>
                <w:color w:val="auto"/>
              </w:rPr>
            </w:pPr>
            <w:r>
              <w:rPr>
                <w:rFonts w:ascii="Arial" w:cs="Arial" w:eastAsia="Arial" w:hAnsi="Arial"/>
                <w:sz w:val="16"/>
                <w:szCs w:val="16"/>
                <w:color w:val="auto"/>
              </w:rPr>
              <w:t>Andrew W. Houston</w:t>
            </w:r>
          </w:p>
        </w:tc>
        <w:tc>
          <w:tcPr>
            <w:tcW w:w="3280" w:type="dxa"/>
            <w:vAlign w:val="bottom"/>
            <w:shd w:val="clear" w:color="auto" w:fill="F2F2F2"/>
          </w:tcPr>
          <w:p>
            <w:pPr>
              <w:jc w:val="center"/>
              <w:ind w:left="1401"/>
              <w:spacing w:after="0"/>
              <w:rPr>
                <w:sz w:val="20"/>
                <w:szCs w:val="20"/>
                <w:color w:val="auto"/>
              </w:rPr>
            </w:pPr>
            <w:r>
              <w:rPr>
                <w:rFonts w:ascii="Arial" w:cs="Arial" w:eastAsia="Arial" w:hAnsi="Arial"/>
                <w:sz w:val="16"/>
                <w:szCs w:val="16"/>
                <w:color w:val="auto"/>
                <w:w w:val="99"/>
              </w:rPr>
              <w:t>—</w:t>
            </w:r>
          </w:p>
        </w:tc>
        <w:tc>
          <w:tcPr>
            <w:tcW w:w="2280" w:type="dxa"/>
            <w:vAlign w:val="bottom"/>
            <w:shd w:val="clear" w:color="auto" w:fill="F2F2F2"/>
          </w:tcPr>
          <w:p>
            <w:pPr>
              <w:jc w:val="center"/>
              <w:ind w:left="62"/>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83"/>
        </w:trPr>
        <w:tc>
          <w:tcPr>
            <w:tcW w:w="4000" w:type="dxa"/>
            <w:vAlign w:val="bottom"/>
            <w:shd w:val="clear" w:color="auto" w:fill="F2F2F2"/>
          </w:tcPr>
          <w:p>
            <w:pPr>
              <w:spacing w:after="0"/>
              <w:rPr>
                <w:sz w:val="7"/>
                <w:szCs w:val="7"/>
                <w:color w:val="auto"/>
              </w:rPr>
            </w:pPr>
          </w:p>
        </w:tc>
        <w:tc>
          <w:tcPr>
            <w:tcW w:w="3280" w:type="dxa"/>
            <w:vAlign w:val="bottom"/>
            <w:shd w:val="clear" w:color="auto" w:fill="F2F2F2"/>
          </w:tcPr>
          <w:p>
            <w:pPr>
              <w:spacing w:after="0"/>
              <w:rPr>
                <w:sz w:val="7"/>
                <w:szCs w:val="7"/>
                <w:color w:val="auto"/>
              </w:rPr>
            </w:pPr>
          </w:p>
        </w:tc>
        <w:tc>
          <w:tcPr>
            <w:tcW w:w="2280" w:type="dxa"/>
            <w:vAlign w:val="bottom"/>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309"/>
        </w:trPr>
        <w:tc>
          <w:tcPr>
            <w:tcW w:w="4000" w:type="dxa"/>
            <w:vAlign w:val="bottom"/>
          </w:tcPr>
          <w:p>
            <w:pPr>
              <w:ind w:left="80"/>
              <w:spacing w:after="0"/>
              <w:rPr>
                <w:sz w:val="20"/>
                <w:szCs w:val="20"/>
                <w:color w:val="auto"/>
              </w:rPr>
            </w:pPr>
            <w:r>
              <w:rPr>
                <w:rFonts w:ascii="Arial" w:cs="Arial" w:eastAsia="Arial" w:hAnsi="Arial"/>
                <w:sz w:val="16"/>
                <w:szCs w:val="16"/>
                <w:color w:val="auto"/>
              </w:rPr>
              <w:t>Timothy Regan</w:t>
            </w:r>
          </w:p>
        </w:tc>
        <w:tc>
          <w:tcPr>
            <w:tcW w:w="3280" w:type="dxa"/>
            <w:vAlign w:val="bottom"/>
          </w:tcPr>
          <w:p>
            <w:pPr>
              <w:jc w:val="center"/>
              <w:ind w:left="1421"/>
              <w:spacing w:after="0"/>
              <w:rPr>
                <w:sz w:val="20"/>
                <w:szCs w:val="20"/>
                <w:color w:val="auto"/>
              </w:rPr>
            </w:pPr>
            <w:r>
              <w:rPr>
                <w:rFonts w:ascii="Arial" w:cs="Arial" w:eastAsia="Arial" w:hAnsi="Arial"/>
                <w:sz w:val="16"/>
                <w:szCs w:val="16"/>
                <w:color w:val="auto"/>
              </w:rPr>
              <w:t>175,207</w:t>
            </w:r>
          </w:p>
        </w:tc>
        <w:tc>
          <w:tcPr>
            <w:tcW w:w="2280" w:type="dxa"/>
            <w:vAlign w:val="bottom"/>
          </w:tcPr>
          <w:p>
            <w:pPr>
              <w:jc w:val="center"/>
              <w:ind w:left="82"/>
              <w:spacing w:after="0"/>
              <w:rPr>
                <w:sz w:val="20"/>
                <w:szCs w:val="20"/>
                <w:color w:val="auto"/>
              </w:rPr>
            </w:pPr>
            <w:r>
              <w:rPr>
                <w:rFonts w:ascii="Arial" w:cs="Arial" w:eastAsia="Arial" w:hAnsi="Arial"/>
                <w:sz w:val="16"/>
                <w:szCs w:val="16"/>
                <w:color w:val="auto"/>
              </w:rPr>
              <w:t>4,671,019</w:t>
            </w:r>
          </w:p>
        </w:tc>
        <w:tc>
          <w:tcPr>
            <w:tcW w:w="0" w:type="dxa"/>
            <w:vAlign w:val="bottom"/>
          </w:tcPr>
          <w:p>
            <w:pPr>
              <w:spacing w:after="0"/>
              <w:rPr>
                <w:sz w:val="1"/>
                <w:szCs w:val="1"/>
                <w:color w:val="auto"/>
              </w:rPr>
            </w:pPr>
          </w:p>
        </w:tc>
      </w:tr>
      <w:tr>
        <w:trPr>
          <w:trHeight w:val="70"/>
        </w:trPr>
        <w:tc>
          <w:tcPr>
            <w:tcW w:w="4000" w:type="dxa"/>
            <w:vAlign w:val="bottom"/>
          </w:tcPr>
          <w:p>
            <w:pPr>
              <w:spacing w:after="0"/>
              <w:rPr>
                <w:sz w:val="6"/>
                <w:szCs w:val="6"/>
                <w:color w:val="auto"/>
              </w:rPr>
            </w:pPr>
          </w:p>
        </w:tc>
        <w:tc>
          <w:tcPr>
            <w:tcW w:w="3280" w:type="dxa"/>
            <w:vAlign w:val="bottom"/>
          </w:tcPr>
          <w:p>
            <w:pPr>
              <w:spacing w:after="0"/>
              <w:rPr>
                <w:sz w:val="6"/>
                <w:szCs w:val="6"/>
                <w:color w:val="auto"/>
              </w:rPr>
            </w:pPr>
          </w:p>
        </w:tc>
        <w:tc>
          <w:tcPr>
            <w:tcW w:w="22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95"/>
        </w:trPr>
        <w:tc>
          <w:tcPr>
            <w:tcW w:w="4000" w:type="dxa"/>
            <w:vAlign w:val="bottom"/>
            <w:shd w:val="clear" w:color="auto" w:fill="F2F2F2"/>
          </w:tcPr>
          <w:p>
            <w:pPr>
              <w:ind w:left="80"/>
              <w:spacing w:after="0"/>
              <w:rPr>
                <w:sz w:val="20"/>
                <w:szCs w:val="20"/>
                <w:color w:val="auto"/>
              </w:rPr>
            </w:pPr>
            <w:r>
              <w:rPr>
                <w:rFonts w:ascii="Arial" w:cs="Arial" w:eastAsia="Arial" w:hAnsi="Arial"/>
                <w:sz w:val="16"/>
                <w:szCs w:val="16"/>
                <w:color w:val="auto"/>
              </w:rPr>
              <w:t>Timothy Young</w:t>
            </w:r>
          </w:p>
        </w:tc>
        <w:tc>
          <w:tcPr>
            <w:tcW w:w="3280" w:type="dxa"/>
            <w:vAlign w:val="bottom"/>
            <w:shd w:val="clear" w:color="auto" w:fill="F2F2F2"/>
          </w:tcPr>
          <w:p>
            <w:pPr>
              <w:jc w:val="center"/>
              <w:ind w:left="1401"/>
              <w:spacing w:after="0"/>
              <w:rPr>
                <w:sz w:val="20"/>
                <w:szCs w:val="20"/>
                <w:color w:val="auto"/>
              </w:rPr>
            </w:pPr>
            <w:r>
              <w:rPr>
                <w:rFonts w:ascii="Arial" w:cs="Arial" w:eastAsia="Arial" w:hAnsi="Arial"/>
                <w:sz w:val="16"/>
                <w:szCs w:val="16"/>
                <w:color w:val="auto"/>
                <w:w w:val="99"/>
              </w:rPr>
              <w:t>—</w:t>
            </w:r>
          </w:p>
        </w:tc>
        <w:tc>
          <w:tcPr>
            <w:tcW w:w="2280" w:type="dxa"/>
            <w:vAlign w:val="bottom"/>
            <w:shd w:val="clear" w:color="auto" w:fill="F2F2F2"/>
          </w:tcPr>
          <w:p>
            <w:pPr>
              <w:jc w:val="center"/>
              <w:ind w:left="62"/>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83"/>
        </w:trPr>
        <w:tc>
          <w:tcPr>
            <w:tcW w:w="4000" w:type="dxa"/>
            <w:vAlign w:val="bottom"/>
            <w:shd w:val="clear" w:color="auto" w:fill="F2F2F2"/>
          </w:tcPr>
          <w:p>
            <w:pPr>
              <w:spacing w:after="0"/>
              <w:rPr>
                <w:sz w:val="7"/>
                <w:szCs w:val="7"/>
                <w:color w:val="auto"/>
              </w:rPr>
            </w:pPr>
          </w:p>
        </w:tc>
        <w:tc>
          <w:tcPr>
            <w:tcW w:w="3280" w:type="dxa"/>
            <w:vAlign w:val="bottom"/>
            <w:shd w:val="clear" w:color="auto" w:fill="F2F2F2"/>
          </w:tcPr>
          <w:p>
            <w:pPr>
              <w:spacing w:after="0"/>
              <w:rPr>
                <w:sz w:val="7"/>
                <w:szCs w:val="7"/>
                <w:color w:val="auto"/>
              </w:rPr>
            </w:pPr>
          </w:p>
        </w:tc>
        <w:tc>
          <w:tcPr>
            <w:tcW w:w="2280" w:type="dxa"/>
            <w:vAlign w:val="bottom"/>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4000" w:type="dxa"/>
            <w:vAlign w:val="bottom"/>
          </w:tcPr>
          <w:p>
            <w:pPr>
              <w:ind w:left="80"/>
              <w:spacing w:after="0"/>
              <w:rPr>
                <w:sz w:val="20"/>
                <w:szCs w:val="20"/>
                <w:color w:val="auto"/>
              </w:rPr>
            </w:pPr>
            <w:r>
              <w:rPr>
                <w:rFonts w:ascii="Arial" w:cs="Arial" w:eastAsia="Arial" w:hAnsi="Arial"/>
                <w:sz w:val="16"/>
                <w:szCs w:val="16"/>
                <w:color w:val="auto"/>
              </w:rPr>
              <w:t>Bart E. Volkmer</w:t>
            </w:r>
          </w:p>
        </w:tc>
        <w:tc>
          <w:tcPr>
            <w:tcW w:w="3280" w:type="dxa"/>
            <w:vAlign w:val="bottom"/>
          </w:tcPr>
          <w:p>
            <w:pPr>
              <w:jc w:val="center"/>
              <w:ind w:left="1401"/>
              <w:spacing w:after="0"/>
              <w:rPr>
                <w:sz w:val="20"/>
                <w:szCs w:val="20"/>
                <w:color w:val="auto"/>
              </w:rPr>
            </w:pPr>
            <w:r>
              <w:rPr>
                <w:rFonts w:ascii="Arial" w:cs="Arial" w:eastAsia="Arial" w:hAnsi="Arial"/>
                <w:sz w:val="16"/>
                <w:szCs w:val="16"/>
                <w:color w:val="auto"/>
                <w:w w:val="96"/>
              </w:rPr>
              <w:t>116,804</w:t>
            </w:r>
          </w:p>
        </w:tc>
        <w:tc>
          <w:tcPr>
            <w:tcW w:w="2280" w:type="dxa"/>
            <w:vAlign w:val="bottom"/>
          </w:tcPr>
          <w:p>
            <w:pPr>
              <w:jc w:val="center"/>
              <w:ind w:left="62"/>
              <w:spacing w:after="0"/>
              <w:rPr>
                <w:sz w:val="20"/>
                <w:szCs w:val="20"/>
                <w:color w:val="auto"/>
              </w:rPr>
            </w:pPr>
            <w:r>
              <w:rPr>
                <w:rFonts w:ascii="Arial" w:cs="Arial" w:eastAsia="Arial" w:hAnsi="Arial"/>
                <w:sz w:val="16"/>
                <w:szCs w:val="16"/>
                <w:color w:val="auto"/>
                <w:w w:val="98"/>
              </w:rPr>
              <w:t>3,113,995</w:t>
            </w:r>
          </w:p>
        </w:tc>
        <w:tc>
          <w:tcPr>
            <w:tcW w:w="0" w:type="dxa"/>
            <w:vAlign w:val="bottom"/>
          </w:tcPr>
          <w:p>
            <w:pPr>
              <w:spacing w:after="0"/>
              <w:rPr>
                <w:sz w:val="1"/>
                <w:szCs w:val="1"/>
                <w:color w:val="auto"/>
              </w:rPr>
            </w:pPr>
          </w:p>
        </w:tc>
      </w:tr>
    </w:tbl>
    <w:p>
      <w:pPr>
        <w:spacing w:after="0" w:line="91" w:lineRule="exact"/>
        <w:rPr>
          <w:sz w:val="20"/>
          <w:szCs w:val="20"/>
          <w:color w:val="auto"/>
        </w:rPr>
      </w:pPr>
    </w:p>
    <w:p>
      <w:pPr>
        <w:ind w:left="244" w:hanging="244"/>
        <w:spacing w:after="0"/>
        <w:tabs>
          <w:tab w:leader="none" w:pos="244" w:val="left"/>
        </w:tabs>
        <w:numPr>
          <w:ilvl w:val="0"/>
          <w:numId w:val="66"/>
        </w:numPr>
        <w:rPr>
          <w:rFonts w:ascii="Arial" w:cs="Arial" w:eastAsia="Arial" w:hAnsi="Arial"/>
          <w:sz w:val="22"/>
          <w:szCs w:val="22"/>
          <w:color w:val="auto"/>
          <w:vertAlign w:val="superscript"/>
        </w:rPr>
      </w:pPr>
      <w:r>
        <w:rPr>
          <w:rFonts w:ascii="Arial" w:cs="Arial" w:eastAsia="Arial" w:hAnsi="Arial"/>
          <w:sz w:val="14"/>
          <w:szCs w:val="14"/>
          <w:color w:val="auto"/>
        </w:rPr>
        <w:t>Ms. Nottebohm resigned from the company in February 2021 and therefore did not receive an equity award in 2021.</w:t>
      </w:r>
    </w:p>
    <w:p>
      <w:pPr>
        <w:ind w:left="244" w:hanging="244"/>
        <w:spacing w:after="0" w:line="183" w:lineRule="auto"/>
        <w:tabs>
          <w:tab w:leader="none" w:pos="244" w:val="left"/>
        </w:tabs>
        <w:numPr>
          <w:ilvl w:val="0"/>
          <w:numId w:val="66"/>
        </w:numPr>
        <w:rPr>
          <w:rFonts w:ascii="Arial" w:cs="Arial" w:eastAsia="Arial" w:hAnsi="Arial"/>
          <w:sz w:val="20"/>
          <w:szCs w:val="20"/>
          <w:color w:val="auto"/>
          <w:vertAlign w:val="superscript"/>
        </w:rPr>
      </w:pPr>
      <w:r>
        <w:rPr>
          <w:rFonts w:ascii="Arial" w:cs="Arial" w:eastAsia="Arial" w:hAnsi="Arial"/>
          <w:sz w:val="14"/>
          <w:szCs w:val="14"/>
          <w:color w:val="auto"/>
        </w:rPr>
        <w:t>The time-based RSA awards granted to Messrs. Regan and Volkmer vest over a four-year period in equal quarterly installments.</w:t>
      </w:r>
    </w:p>
    <w:p>
      <w:pPr>
        <w:spacing w:after="0" w:line="130" w:lineRule="exact"/>
        <w:rPr>
          <w:sz w:val="20"/>
          <w:szCs w:val="20"/>
          <w:color w:val="auto"/>
        </w:rPr>
      </w:pPr>
    </w:p>
    <w:p>
      <w:pPr>
        <w:ind w:left="4" w:right="80"/>
        <w:spacing w:after="0" w:line="286" w:lineRule="auto"/>
        <w:rPr>
          <w:sz w:val="20"/>
          <w:szCs w:val="20"/>
          <w:color w:val="auto"/>
        </w:rPr>
      </w:pPr>
      <w:r>
        <w:rPr>
          <w:rFonts w:ascii="Arial" w:cs="Arial" w:eastAsia="Arial" w:hAnsi="Arial"/>
          <w:sz w:val="16"/>
          <w:szCs w:val="16"/>
          <w:color w:val="auto"/>
        </w:rPr>
        <w:t>The equity awards granted to our named executive officers during 2021 are set forth in the “</w:t>
      </w:r>
      <w:r>
        <w:rPr>
          <w:rFonts w:ascii="Arial" w:cs="Arial" w:eastAsia="Arial" w:hAnsi="Arial"/>
          <w:sz w:val="16"/>
          <w:szCs w:val="16"/>
          <w:i w:val="1"/>
          <w:iCs w:val="1"/>
          <w:color w:val="auto"/>
        </w:rPr>
        <w:t>Summary Compensation Table for Fiscal</w:t>
      </w:r>
      <w:r>
        <w:rPr>
          <w:rFonts w:ascii="Arial" w:cs="Arial" w:eastAsia="Arial" w:hAnsi="Arial"/>
          <w:sz w:val="16"/>
          <w:szCs w:val="16"/>
          <w:color w:val="auto"/>
        </w:rPr>
        <w:t xml:space="preserve"> </w:t>
      </w:r>
      <w:r>
        <w:rPr>
          <w:rFonts w:ascii="Arial" w:cs="Arial" w:eastAsia="Arial" w:hAnsi="Arial"/>
          <w:sz w:val="16"/>
          <w:szCs w:val="16"/>
          <w:i w:val="1"/>
          <w:iCs w:val="1"/>
          <w:color w:val="auto"/>
        </w:rPr>
        <w:t>Year 2021</w:t>
      </w:r>
      <w:r>
        <w:rPr>
          <w:rFonts w:ascii="Arial" w:cs="Arial" w:eastAsia="Arial" w:hAnsi="Arial"/>
          <w:sz w:val="16"/>
          <w:szCs w:val="16"/>
          <w:color w:val="auto"/>
        </w:rPr>
        <w:t>” and under “</w:t>
      </w:r>
      <w:r>
        <w:rPr>
          <w:rFonts w:ascii="Arial" w:cs="Arial" w:eastAsia="Arial" w:hAnsi="Arial"/>
          <w:sz w:val="16"/>
          <w:szCs w:val="16"/>
          <w:i w:val="1"/>
          <w:iCs w:val="1"/>
          <w:color w:val="auto"/>
        </w:rPr>
        <w:t>Grants of Plan-Based Awards in 2021</w:t>
      </w:r>
      <w:r>
        <w:rPr>
          <w:rFonts w:ascii="Arial" w:cs="Arial" w:eastAsia="Arial" w:hAnsi="Arial"/>
          <w:sz w:val="16"/>
          <w:szCs w:val="16"/>
          <w:color w:val="auto"/>
        </w:rPr>
        <w:t>” below.</w:t>
      </w:r>
    </w:p>
    <w:p>
      <w:pPr>
        <w:spacing w:after="0" w:line="160" w:lineRule="exact"/>
        <w:rPr>
          <w:sz w:val="20"/>
          <w:szCs w:val="20"/>
          <w:color w:val="auto"/>
        </w:rPr>
      </w:pPr>
    </w:p>
    <w:p>
      <w:pPr>
        <w:ind w:left="524" w:hanging="524"/>
        <w:spacing w:after="0"/>
        <w:tabs>
          <w:tab w:leader="none" w:pos="524" w:val="left"/>
        </w:tabs>
        <w:numPr>
          <w:ilvl w:val="0"/>
          <w:numId w:val="67"/>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44" w:name="page45"/>
    <w:bookmarkEnd w:id="44"/>
    <w:p>
      <w:pPr>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spacing w:after="0"/>
        <w:rPr>
          <w:sz w:val="20"/>
          <w:szCs w:val="20"/>
          <w:color w:val="auto"/>
        </w:rPr>
      </w:pPr>
      <w:r>
        <w:rPr>
          <w:rFonts w:ascii="Arial" w:cs="Arial" w:eastAsia="Arial" w:hAnsi="Arial"/>
          <w:sz w:val="16"/>
          <w:szCs w:val="16"/>
          <w:b w:val="1"/>
          <w:bCs w:val="1"/>
          <w:color w:val="0063A6"/>
        </w:rPr>
        <w:t>Performance Achievement of Mr. Houston’s Co-Founder Grant</w:t>
      </w:r>
    </w:p>
    <w:p>
      <w:pPr>
        <w:spacing w:after="0" w:line="39" w:lineRule="exact"/>
        <w:rPr>
          <w:sz w:val="20"/>
          <w:szCs w:val="20"/>
          <w:color w:val="auto"/>
        </w:rPr>
      </w:pPr>
    </w:p>
    <w:p>
      <w:pPr>
        <w:ind w:right="200"/>
        <w:spacing w:after="0" w:line="254" w:lineRule="auto"/>
        <w:rPr>
          <w:sz w:val="20"/>
          <w:szCs w:val="20"/>
          <w:color w:val="auto"/>
        </w:rPr>
      </w:pPr>
      <w:r>
        <w:rPr>
          <w:rFonts w:ascii="Arial" w:cs="Arial" w:eastAsia="Arial" w:hAnsi="Arial"/>
          <w:sz w:val="16"/>
          <w:szCs w:val="16"/>
          <w:color w:val="auto"/>
        </w:rPr>
        <w:t>In December 2017, our board approved a grant to Mr. Houston (our co-founder, chief executive officer and chairman of the board of directors) of an RSA with respect to 10.3 million shares of Class A common stock in the aggregate (the “</w:t>
      </w:r>
      <w:r>
        <w:rPr>
          <w:rFonts w:ascii="Arial" w:cs="Arial" w:eastAsia="Arial" w:hAnsi="Arial"/>
          <w:sz w:val="16"/>
          <w:szCs w:val="16"/>
          <w:b w:val="1"/>
          <w:bCs w:val="1"/>
          <w:i w:val="1"/>
          <w:iCs w:val="1"/>
          <w:color w:val="auto"/>
        </w:rPr>
        <w:t>Co-Founder Grant</w:t>
      </w:r>
      <w:r>
        <w:rPr>
          <w:rFonts w:ascii="Arial" w:cs="Arial" w:eastAsia="Arial" w:hAnsi="Arial"/>
          <w:sz w:val="16"/>
          <w:szCs w:val="16"/>
          <w:color w:val="auto"/>
        </w:rPr>
        <w:t>”). The Co-Founder Grant has service-based, market-based, and performance-based vesting conditions. The Co-Founder Grant is comprised of nine tranches that are eligible to vest based on the achievement of stock price goals (each, a “</w:t>
      </w:r>
      <w:r>
        <w:rPr>
          <w:rFonts w:ascii="Arial" w:cs="Arial" w:eastAsia="Arial" w:hAnsi="Arial"/>
          <w:sz w:val="16"/>
          <w:szCs w:val="16"/>
          <w:b w:val="1"/>
          <w:bCs w:val="1"/>
          <w:i w:val="1"/>
          <w:iCs w:val="1"/>
          <w:color w:val="auto"/>
        </w:rPr>
        <w:t>Stock Price Target</w:t>
      </w:r>
      <w:r>
        <w:rPr>
          <w:rFonts w:ascii="Arial" w:cs="Arial" w:eastAsia="Arial" w:hAnsi="Arial"/>
          <w:sz w:val="16"/>
          <w:szCs w:val="16"/>
          <w:color w:val="auto"/>
        </w:rPr>
        <w:t>”), measured over a consecutive thirty-day trading period during the Performance Period (defined below),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1537335</wp:posOffset>
            </wp:positionH>
            <wp:positionV relativeFrom="paragraph">
              <wp:posOffset>38100</wp:posOffset>
            </wp:positionV>
            <wp:extent cx="2991485" cy="22802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2991485" cy="2280285"/>
                    </a:xfrm>
                    <a:prstGeom prst="rect">
                      <a:avLst/>
                    </a:prstGeom>
                    <a:noFill/>
                  </pic:spPr>
                </pic:pic>
              </a:graphicData>
            </a:graphic>
          </wp:anchor>
        </w:drawing>
      </w:r>
    </w:p>
    <w:p>
      <w:pPr>
        <w:spacing w:after="0" w:line="40" w:lineRule="exact"/>
        <w:rPr>
          <w:sz w:val="20"/>
          <w:szCs w:val="20"/>
          <w:color w:val="auto"/>
        </w:rPr>
      </w:pPr>
    </w:p>
    <w:tbl>
      <w:tblPr>
        <w:tblLayout w:type="fixed"/>
        <w:tblInd w:w="2420" w:type="dxa"/>
        <w:tblCellMar>
          <w:top w:w="0" w:type="dxa"/>
          <w:left w:w="0" w:type="dxa"/>
          <w:bottom w:w="0" w:type="dxa"/>
          <w:right w:w="0" w:type="dxa"/>
        </w:tblCellMar>
      </w:tblPr>
      <w:tr>
        <w:trPr>
          <w:trHeight w:val="261"/>
        </w:trPr>
        <w:tc>
          <w:tcPr>
            <w:tcW w:w="2720" w:type="dxa"/>
            <w:vAlign w:val="bottom"/>
            <w:shd w:val="clear" w:color="auto" w:fill="0063A6"/>
          </w:tcPr>
          <w:p>
            <w:pPr>
              <w:spacing w:after="0"/>
              <w:rPr>
                <w:sz w:val="22"/>
                <w:szCs w:val="22"/>
                <w:color w:val="auto"/>
              </w:rPr>
            </w:pPr>
          </w:p>
        </w:tc>
        <w:tc>
          <w:tcPr>
            <w:tcW w:w="20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Shares Eligible to</w:t>
            </w:r>
          </w:p>
        </w:tc>
      </w:tr>
      <w:tr>
        <w:trPr>
          <w:trHeight w:val="162"/>
        </w:trPr>
        <w:tc>
          <w:tcPr>
            <w:tcW w:w="2720" w:type="dxa"/>
            <w:vAlign w:val="bottom"/>
            <w:shd w:val="clear" w:color="auto" w:fill="0063A6"/>
          </w:tcPr>
          <w:p>
            <w:pPr>
              <w:spacing w:after="0"/>
              <w:rPr>
                <w:sz w:val="14"/>
                <w:szCs w:val="14"/>
                <w:color w:val="auto"/>
              </w:rPr>
            </w:pPr>
          </w:p>
        </w:tc>
        <w:tc>
          <w:tcPr>
            <w:tcW w:w="20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Vest for</w:t>
            </w:r>
          </w:p>
        </w:tc>
      </w:tr>
      <w:tr>
        <w:trPr>
          <w:trHeight w:val="219"/>
        </w:trPr>
        <w:tc>
          <w:tcPr>
            <w:tcW w:w="2720" w:type="dxa"/>
            <w:vAlign w:val="bottom"/>
            <w:tcBorders>
              <w:bottom w:val="single" w:sz="8" w:color="0063A6"/>
            </w:tcBorders>
            <w:shd w:val="clear" w:color="auto" w:fill="0063A6"/>
          </w:tcPr>
          <w:p>
            <w:pPr>
              <w:jc w:val="center"/>
              <w:spacing w:after="0"/>
              <w:rPr>
                <w:sz w:val="20"/>
                <w:szCs w:val="20"/>
                <w:color w:val="auto"/>
              </w:rPr>
            </w:pPr>
            <w:r>
              <w:rPr>
                <w:rFonts w:ascii="Arial" w:cs="Arial" w:eastAsia="Arial" w:hAnsi="Arial"/>
                <w:sz w:val="14"/>
                <w:szCs w:val="14"/>
                <w:b w:val="1"/>
                <w:bCs w:val="1"/>
                <w:color w:val="FFFFFF"/>
              </w:rPr>
              <w:t>Company Stock Price Target</w:t>
            </w:r>
          </w:p>
        </w:tc>
        <w:tc>
          <w:tcPr>
            <w:tcW w:w="2000" w:type="dxa"/>
            <w:vAlign w:val="bottom"/>
            <w:tcBorders>
              <w:bottom w:val="single" w:sz="8" w:color="0063A6"/>
            </w:tcBorders>
            <w:shd w:val="clear" w:color="auto" w:fill="0063A6"/>
          </w:tcPr>
          <w:p>
            <w:pPr>
              <w:jc w:val="center"/>
              <w:spacing w:after="0"/>
              <w:rPr>
                <w:sz w:val="20"/>
                <w:szCs w:val="20"/>
                <w:color w:val="auto"/>
              </w:rPr>
            </w:pPr>
            <w:r>
              <w:rPr>
                <w:rFonts w:ascii="Arial" w:cs="Arial" w:eastAsia="Arial" w:hAnsi="Arial"/>
                <w:sz w:val="14"/>
                <w:szCs w:val="14"/>
                <w:b w:val="1"/>
                <w:bCs w:val="1"/>
                <w:color w:val="FFFFFF"/>
              </w:rPr>
              <w:t>Mr. Houston</w:t>
            </w:r>
          </w:p>
        </w:tc>
      </w:tr>
      <w:tr>
        <w:trPr>
          <w:trHeight w:val="304"/>
        </w:trPr>
        <w:tc>
          <w:tcPr>
            <w:tcW w:w="272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$30.00</w:t>
            </w:r>
          </w:p>
        </w:tc>
        <w:tc>
          <w:tcPr>
            <w:tcW w:w="200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2,066,667</w:t>
            </w:r>
          </w:p>
        </w:tc>
      </w:tr>
      <w:tr>
        <w:trPr>
          <w:trHeight w:val="268"/>
        </w:trPr>
        <w:tc>
          <w:tcPr>
            <w:tcW w:w="2720" w:type="dxa"/>
            <w:vAlign w:val="bottom"/>
          </w:tcPr>
          <w:p>
            <w:pPr>
              <w:jc w:val="center"/>
              <w:spacing w:after="0"/>
              <w:rPr>
                <w:sz w:val="20"/>
                <w:szCs w:val="20"/>
                <w:color w:val="auto"/>
              </w:rPr>
            </w:pPr>
            <w:r>
              <w:rPr>
                <w:rFonts w:ascii="Arial" w:cs="Arial" w:eastAsia="Arial" w:hAnsi="Arial"/>
                <w:sz w:val="16"/>
                <w:szCs w:val="16"/>
                <w:color w:val="auto"/>
              </w:rPr>
              <w:t>$37.50</w:t>
            </w:r>
          </w:p>
        </w:tc>
        <w:tc>
          <w:tcPr>
            <w:tcW w:w="2000" w:type="dxa"/>
            <w:vAlign w:val="bottom"/>
          </w:tcPr>
          <w:p>
            <w:pPr>
              <w:jc w:val="center"/>
              <w:spacing w:after="0"/>
              <w:rPr>
                <w:sz w:val="20"/>
                <w:szCs w:val="20"/>
                <w:color w:val="auto"/>
              </w:rPr>
            </w:pPr>
            <w:r>
              <w:rPr>
                <w:rFonts w:ascii="Arial" w:cs="Arial" w:eastAsia="Arial" w:hAnsi="Arial"/>
                <w:sz w:val="16"/>
                <w:szCs w:val="16"/>
                <w:color w:val="auto"/>
              </w:rPr>
              <w:t>1,033,334</w:t>
            </w:r>
          </w:p>
        </w:tc>
      </w:tr>
      <w:tr>
        <w:trPr>
          <w:trHeight w:val="56"/>
        </w:trPr>
        <w:tc>
          <w:tcPr>
            <w:tcW w:w="2720" w:type="dxa"/>
            <w:vAlign w:val="bottom"/>
          </w:tcPr>
          <w:p>
            <w:pPr>
              <w:spacing w:after="0"/>
              <w:rPr>
                <w:sz w:val="4"/>
                <w:szCs w:val="4"/>
                <w:color w:val="auto"/>
              </w:rPr>
            </w:pPr>
          </w:p>
        </w:tc>
        <w:tc>
          <w:tcPr>
            <w:tcW w:w="2000" w:type="dxa"/>
            <w:vAlign w:val="bottom"/>
          </w:tcPr>
          <w:p>
            <w:pPr>
              <w:spacing w:after="0"/>
              <w:rPr>
                <w:sz w:val="4"/>
                <w:szCs w:val="4"/>
                <w:color w:val="auto"/>
              </w:rPr>
            </w:pPr>
          </w:p>
        </w:tc>
      </w:tr>
      <w:tr>
        <w:trPr>
          <w:trHeight w:val="304"/>
        </w:trPr>
        <w:tc>
          <w:tcPr>
            <w:tcW w:w="272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$45.00</w:t>
            </w:r>
          </w:p>
        </w:tc>
        <w:tc>
          <w:tcPr>
            <w:tcW w:w="200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1,033,334</w:t>
            </w:r>
          </w:p>
        </w:tc>
      </w:tr>
      <w:tr>
        <w:trPr>
          <w:trHeight w:val="268"/>
        </w:trPr>
        <w:tc>
          <w:tcPr>
            <w:tcW w:w="2720" w:type="dxa"/>
            <w:vAlign w:val="bottom"/>
          </w:tcPr>
          <w:p>
            <w:pPr>
              <w:jc w:val="center"/>
              <w:spacing w:after="0"/>
              <w:rPr>
                <w:sz w:val="20"/>
                <w:szCs w:val="20"/>
                <w:color w:val="auto"/>
              </w:rPr>
            </w:pPr>
            <w:r>
              <w:rPr>
                <w:rFonts w:ascii="Arial" w:cs="Arial" w:eastAsia="Arial" w:hAnsi="Arial"/>
                <w:sz w:val="16"/>
                <w:szCs w:val="16"/>
                <w:color w:val="auto"/>
              </w:rPr>
              <w:t>$52.50</w:t>
            </w:r>
          </w:p>
        </w:tc>
        <w:tc>
          <w:tcPr>
            <w:tcW w:w="2000" w:type="dxa"/>
            <w:vAlign w:val="bottom"/>
          </w:tcPr>
          <w:p>
            <w:pPr>
              <w:jc w:val="center"/>
              <w:spacing w:after="0"/>
              <w:rPr>
                <w:sz w:val="20"/>
                <w:szCs w:val="20"/>
                <w:color w:val="auto"/>
              </w:rPr>
            </w:pPr>
            <w:r>
              <w:rPr>
                <w:rFonts w:ascii="Arial" w:cs="Arial" w:eastAsia="Arial" w:hAnsi="Arial"/>
                <w:sz w:val="16"/>
                <w:szCs w:val="16"/>
                <w:color w:val="auto"/>
              </w:rPr>
              <w:t>1,033,333</w:t>
            </w:r>
          </w:p>
        </w:tc>
      </w:tr>
      <w:tr>
        <w:trPr>
          <w:trHeight w:val="56"/>
        </w:trPr>
        <w:tc>
          <w:tcPr>
            <w:tcW w:w="2720" w:type="dxa"/>
            <w:vAlign w:val="bottom"/>
          </w:tcPr>
          <w:p>
            <w:pPr>
              <w:spacing w:after="0"/>
              <w:rPr>
                <w:sz w:val="4"/>
                <w:szCs w:val="4"/>
                <w:color w:val="auto"/>
              </w:rPr>
            </w:pPr>
          </w:p>
        </w:tc>
        <w:tc>
          <w:tcPr>
            <w:tcW w:w="2000" w:type="dxa"/>
            <w:vAlign w:val="bottom"/>
          </w:tcPr>
          <w:p>
            <w:pPr>
              <w:spacing w:after="0"/>
              <w:rPr>
                <w:sz w:val="4"/>
                <w:szCs w:val="4"/>
                <w:color w:val="auto"/>
              </w:rPr>
            </w:pPr>
          </w:p>
        </w:tc>
      </w:tr>
      <w:tr>
        <w:trPr>
          <w:trHeight w:val="304"/>
        </w:trPr>
        <w:tc>
          <w:tcPr>
            <w:tcW w:w="272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$60.00</w:t>
            </w:r>
          </w:p>
        </w:tc>
        <w:tc>
          <w:tcPr>
            <w:tcW w:w="200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1,033,333</w:t>
            </w:r>
          </w:p>
        </w:tc>
      </w:tr>
      <w:tr>
        <w:trPr>
          <w:trHeight w:val="268"/>
        </w:trPr>
        <w:tc>
          <w:tcPr>
            <w:tcW w:w="2720" w:type="dxa"/>
            <w:vAlign w:val="bottom"/>
          </w:tcPr>
          <w:p>
            <w:pPr>
              <w:jc w:val="center"/>
              <w:spacing w:after="0"/>
              <w:rPr>
                <w:sz w:val="20"/>
                <w:szCs w:val="20"/>
                <w:color w:val="auto"/>
              </w:rPr>
            </w:pPr>
            <w:r>
              <w:rPr>
                <w:rFonts w:ascii="Arial" w:cs="Arial" w:eastAsia="Arial" w:hAnsi="Arial"/>
                <w:sz w:val="16"/>
                <w:szCs w:val="16"/>
                <w:color w:val="auto"/>
              </w:rPr>
              <w:t>$67.50</w:t>
            </w:r>
          </w:p>
        </w:tc>
        <w:tc>
          <w:tcPr>
            <w:tcW w:w="2000" w:type="dxa"/>
            <w:vAlign w:val="bottom"/>
          </w:tcPr>
          <w:p>
            <w:pPr>
              <w:jc w:val="center"/>
              <w:spacing w:after="0"/>
              <w:rPr>
                <w:sz w:val="20"/>
                <w:szCs w:val="20"/>
                <w:color w:val="auto"/>
              </w:rPr>
            </w:pPr>
            <w:r>
              <w:rPr>
                <w:rFonts w:ascii="Arial" w:cs="Arial" w:eastAsia="Arial" w:hAnsi="Arial"/>
                <w:sz w:val="16"/>
                <w:szCs w:val="16"/>
                <w:color w:val="auto"/>
              </w:rPr>
              <w:t>1,033,333</w:t>
            </w:r>
          </w:p>
        </w:tc>
      </w:tr>
      <w:tr>
        <w:trPr>
          <w:trHeight w:val="56"/>
        </w:trPr>
        <w:tc>
          <w:tcPr>
            <w:tcW w:w="2720" w:type="dxa"/>
            <w:vAlign w:val="bottom"/>
          </w:tcPr>
          <w:p>
            <w:pPr>
              <w:spacing w:after="0"/>
              <w:rPr>
                <w:sz w:val="4"/>
                <w:szCs w:val="4"/>
                <w:color w:val="auto"/>
              </w:rPr>
            </w:pPr>
          </w:p>
        </w:tc>
        <w:tc>
          <w:tcPr>
            <w:tcW w:w="2000" w:type="dxa"/>
            <w:vAlign w:val="bottom"/>
          </w:tcPr>
          <w:p>
            <w:pPr>
              <w:spacing w:after="0"/>
              <w:rPr>
                <w:sz w:val="4"/>
                <w:szCs w:val="4"/>
                <w:color w:val="auto"/>
              </w:rPr>
            </w:pPr>
          </w:p>
        </w:tc>
      </w:tr>
      <w:tr>
        <w:trPr>
          <w:trHeight w:val="304"/>
        </w:trPr>
        <w:tc>
          <w:tcPr>
            <w:tcW w:w="272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$75.00</w:t>
            </w:r>
          </w:p>
        </w:tc>
        <w:tc>
          <w:tcPr>
            <w:tcW w:w="2000" w:type="dxa"/>
            <w:vAlign w:val="bottom"/>
            <w:tcBorders>
              <w:bottom w:val="single" w:sz="8" w:color="F2F2F2"/>
            </w:tcBorders>
            <w:shd w:val="clear" w:color="auto" w:fill="F2F2F2"/>
          </w:tcPr>
          <w:p>
            <w:pPr>
              <w:jc w:val="center"/>
              <w:spacing w:after="0"/>
              <w:rPr>
                <w:sz w:val="20"/>
                <w:szCs w:val="20"/>
                <w:color w:val="auto"/>
              </w:rPr>
            </w:pPr>
            <w:r>
              <w:rPr>
                <w:rFonts w:ascii="Arial" w:cs="Arial" w:eastAsia="Arial" w:hAnsi="Arial"/>
                <w:sz w:val="16"/>
                <w:szCs w:val="16"/>
                <w:color w:val="auto"/>
              </w:rPr>
              <w:t>1,033,333</w:t>
            </w:r>
          </w:p>
        </w:tc>
      </w:tr>
      <w:tr>
        <w:trPr>
          <w:trHeight w:val="268"/>
        </w:trPr>
        <w:tc>
          <w:tcPr>
            <w:tcW w:w="2720" w:type="dxa"/>
            <w:vAlign w:val="bottom"/>
          </w:tcPr>
          <w:p>
            <w:pPr>
              <w:jc w:val="center"/>
              <w:spacing w:after="0"/>
              <w:rPr>
                <w:sz w:val="20"/>
                <w:szCs w:val="20"/>
                <w:color w:val="auto"/>
              </w:rPr>
            </w:pPr>
            <w:r>
              <w:rPr>
                <w:rFonts w:ascii="Arial" w:cs="Arial" w:eastAsia="Arial" w:hAnsi="Arial"/>
                <w:sz w:val="16"/>
                <w:szCs w:val="16"/>
                <w:color w:val="auto"/>
              </w:rPr>
              <w:t>$82.50</w:t>
            </w:r>
          </w:p>
        </w:tc>
        <w:tc>
          <w:tcPr>
            <w:tcW w:w="2000" w:type="dxa"/>
            <w:vAlign w:val="bottom"/>
          </w:tcPr>
          <w:p>
            <w:pPr>
              <w:jc w:val="center"/>
              <w:spacing w:after="0"/>
              <w:rPr>
                <w:sz w:val="20"/>
                <w:szCs w:val="20"/>
                <w:color w:val="auto"/>
              </w:rPr>
            </w:pPr>
            <w:r>
              <w:rPr>
                <w:rFonts w:ascii="Arial" w:cs="Arial" w:eastAsia="Arial" w:hAnsi="Arial"/>
                <w:sz w:val="16"/>
                <w:szCs w:val="16"/>
                <w:color w:val="auto"/>
              </w:rPr>
              <w:t>1,033,333</w:t>
            </w:r>
          </w:p>
        </w:tc>
      </w:tr>
      <w:tr>
        <w:trPr>
          <w:trHeight w:val="56"/>
        </w:trPr>
        <w:tc>
          <w:tcPr>
            <w:tcW w:w="2720" w:type="dxa"/>
            <w:vAlign w:val="bottom"/>
          </w:tcPr>
          <w:p>
            <w:pPr>
              <w:spacing w:after="0"/>
              <w:rPr>
                <w:sz w:val="4"/>
                <w:szCs w:val="4"/>
                <w:color w:val="auto"/>
              </w:rPr>
            </w:pPr>
          </w:p>
        </w:tc>
        <w:tc>
          <w:tcPr>
            <w:tcW w:w="2000" w:type="dxa"/>
            <w:vAlign w:val="bottom"/>
          </w:tcPr>
          <w:p>
            <w:pPr>
              <w:spacing w:after="0"/>
              <w:rPr>
                <w:sz w:val="4"/>
                <w:szCs w:val="4"/>
                <w:color w:val="auto"/>
              </w:rPr>
            </w:pPr>
          </w:p>
        </w:tc>
      </w:tr>
      <w:tr>
        <w:trPr>
          <w:trHeight w:val="268"/>
        </w:trPr>
        <w:tc>
          <w:tcPr>
            <w:tcW w:w="27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$90.00</w:t>
            </w:r>
          </w:p>
        </w:tc>
        <w:tc>
          <w:tcPr>
            <w:tcW w:w="20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1,033,333</w:t>
            </w:r>
          </w:p>
        </w:tc>
      </w:tr>
      <w:tr>
        <w:trPr>
          <w:trHeight w:val="56"/>
        </w:trPr>
        <w:tc>
          <w:tcPr>
            <w:tcW w:w="2720" w:type="dxa"/>
            <w:vAlign w:val="bottom"/>
            <w:shd w:val="clear" w:color="auto" w:fill="F2F2F2"/>
          </w:tcPr>
          <w:p>
            <w:pPr>
              <w:spacing w:after="0"/>
              <w:rPr>
                <w:sz w:val="4"/>
                <w:szCs w:val="4"/>
                <w:color w:val="auto"/>
              </w:rPr>
            </w:pPr>
          </w:p>
        </w:tc>
        <w:tc>
          <w:tcPr>
            <w:tcW w:w="2000" w:type="dxa"/>
            <w:vAlign w:val="bottom"/>
            <w:shd w:val="clear" w:color="auto" w:fill="F2F2F2"/>
          </w:tcPr>
          <w:p>
            <w:pPr>
              <w:spacing w:after="0"/>
              <w:rPr>
                <w:sz w:val="4"/>
                <w:szCs w:val="4"/>
                <w:color w:val="auto"/>
              </w:rPr>
            </w:pPr>
          </w:p>
        </w:tc>
      </w:tr>
    </w:tbl>
    <w:p>
      <w:pPr>
        <w:spacing w:after="0" w:line="161" w:lineRule="exact"/>
        <w:rPr>
          <w:sz w:val="20"/>
          <w:szCs w:val="20"/>
          <w:color w:val="auto"/>
        </w:rPr>
      </w:pPr>
    </w:p>
    <w:p>
      <w:pPr>
        <w:ind w:right="20"/>
        <w:spacing w:after="0" w:line="266" w:lineRule="auto"/>
        <w:rPr>
          <w:sz w:val="20"/>
          <w:szCs w:val="20"/>
          <w:color w:val="auto"/>
        </w:rPr>
      </w:pPr>
      <w:r>
        <w:rPr>
          <w:rFonts w:ascii="Arial" w:cs="Arial" w:eastAsia="Arial" w:hAnsi="Arial"/>
          <w:sz w:val="16"/>
          <w:szCs w:val="16"/>
          <w:color w:val="auto"/>
        </w:rPr>
        <w:t>During 2021, the $30.00 price target was achieved. As a result, on November 15, 2021, Mr. Houston vested into 2,066,667 shares. The remaining tranches covering 8,266,666 shares remain outstanding and eligible to vest based on the achievement of the applicable stock price goals and fulfilling the service-based condition. See “</w:t>
      </w:r>
      <w:r>
        <w:rPr>
          <w:rFonts w:ascii="Arial" w:cs="Arial" w:eastAsia="Arial" w:hAnsi="Arial"/>
          <w:sz w:val="16"/>
          <w:szCs w:val="16"/>
          <w:i w:val="1"/>
          <w:iCs w:val="1"/>
          <w:color w:val="auto"/>
        </w:rPr>
        <w:t>Co-Founder Grant</w:t>
      </w:r>
      <w:r>
        <w:rPr>
          <w:rFonts w:ascii="Arial" w:cs="Arial" w:eastAsia="Arial" w:hAnsi="Arial"/>
          <w:sz w:val="16"/>
          <w:szCs w:val="16"/>
          <w:color w:val="auto"/>
        </w:rPr>
        <w:t>” description below for additional details.</w:t>
      </w:r>
    </w:p>
    <w:p>
      <w:pPr>
        <w:spacing w:after="0" w:line="212" w:lineRule="exact"/>
        <w:rPr>
          <w:sz w:val="20"/>
          <w:szCs w:val="20"/>
          <w:color w:val="auto"/>
        </w:rPr>
      </w:pPr>
    </w:p>
    <w:p>
      <w:pPr>
        <w:spacing w:after="0"/>
        <w:rPr>
          <w:sz w:val="20"/>
          <w:szCs w:val="20"/>
          <w:color w:val="auto"/>
        </w:rPr>
      </w:pPr>
      <w:r>
        <w:rPr>
          <w:rFonts w:ascii="Arial" w:cs="Arial" w:eastAsia="Arial" w:hAnsi="Arial"/>
          <w:sz w:val="16"/>
          <w:szCs w:val="16"/>
          <w:b w:val="1"/>
          <w:bCs w:val="1"/>
          <w:color w:val="0063A6"/>
        </w:rPr>
        <w:t>Performance Achievement of Mr. Young’s Performance RSA</w:t>
      </w:r>
    </w:p>
    <w:p>
      <w:pPr>
        <w:spacing w:after="0" w:line="46" w:lineRule="exact"/>
        <w:rPr>
          <w:sz w:val="20"/>
          <w:szCs w:val="20"/>
          <w:color w:val="auto"/>
        </w:rPr>
      </w:pPr>
    </w:p>
    <w:p>
      <w:pPr>
        <w:ind w:right="20"/>
        <w:spacing w:after="0" w:line="252" w:lineRule="auto"/>
        <w:rPr>
          <w:sz w:val="20"/>
          <w:szCs w:val="20"/>
          <w:color w:val="auto"/>
        </w:rPr>
      </w:pPr>
      <w:r>
        <w:rPr>
          <w:rFonts w:ascii="Arial" w:cs="Arial" w:eastAsia="Arial" w:hAnsi="Arial"/>
          <w:sz w:val="16"/>
          <w:szCs w:val="16"/>
          <w:color w:val="auto"/>
        </w:rPr>
        <w:t>In December 2020, Mr. Young was granted a performance-based RSA in connection with his promotion to President. The performance-based RSA granted to Mr. Young is subject to service-based and market-based vesting conditions and may become eligible to vest over an approximately three-year performance period beginning January 1, 2021. The target number of shares subject to the performance-based RSA are divided into three equal tranches, and the shares subject to a tranche may become eligible to vest based on the achievement of stock price targets measured over a consecutive thirty-day trading period during a twelve-month measurement period that begins one month following the one-year anniversary of the grant date of the performance-based RSA (or in the case of the first measurement period, one month following the grant date) and ends one month following the next anniversary of the grant date, as indicated in the tables below.</w:t>
      </w:r>
    </w:p>
    <w:p>
      <w:pPr>
        <w:spacing w:after="0" w:line="129" w:lineRule="exact"/>
        <w:rPr>
          <w:sz w:val="20"/>
          <w:szCs w:val="20"/>
          <w:color w:val="auto"/>
        </w:rPr>
      </w:pPr>
    </w:p>
    <w:p>
      <w:pPr>
        <w:ind w:right="60"/>
        <w:spacing w:after="0" w:line="256" w:lineRule="auto"/>
        <w:rPr>
          <w:sz w:val="20"/>
          <w:szCs w:val="20"/>
          <w:color w:val="auto"/>
        </w:rPr>
      </w:pPr>
      <w:r>
        <w:rPr>
          <w:rFonts w:ascii="Arial" w:cs="Arial" w:eastAsia="Arial" w:hAnsi="Arial"/>
          <w:sz w:val="16"/>
          <w:szCs w:val="16"/>
          <w:color w:val="auto"/>
        </w:rPr>
        <w:t>The measurement period for the first tranche was completed on December 31, 2021, and 200% of the target number of shares covered by the first tranche became eligible to vest based on the achievement of the $30.00 stock price target. As a result, Mr. Young vested into 353,046 shares on February 15, 2022. The remaining shares subject to the RSA (which are the shares covered by the second and third tranches) remain outstanding and eligible to vest subject to achieving certain price targets and remaining a service provider through the applicable vesting dates.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28575</wp:posOffset>
            </wp:positionV>
            <wp:extent cx="6077585" cy="24688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6077585" cy="2468880"/>
                    </a:xfrm>
                    <a:prstGeom prst="rect">
                      <a:avLst/>
                    </a:prstGeom>
                    <a:noFill/>
                  </pic:spPr>
                </pic:pic>
              </a:graphicData>
            </a:graphic>
          </wp:anchor>
        </w:drawing>
      </w:r>
    </w:p>
    <w:p>
      <w:pPr>
        <w:spacing w:after="0" w:line="25" w:lineRule="exact"/>
        <w:rPr>
          <w:sz w:val="20"/>
          <w:szCs w:val="20"/>
          <w:color w:val="auto"/>
        </w:rPr>
      </w:pPr>
    </w:p>
    <w:tbl>
      <w:tblPr>
        <w:tblLayout w:type="fixed"/>
        <w:tblInd w:w="0" w:type="dxa"/>
        <w:tblCellMar>
          <w:top w:w="0" w:type="dxa"/>
          <w:left w:w="0" w:type="dxa"/>
          <w:bottom w:w="0" w:type="dxa"/>
          <w:right w:w="0" w:type="dxa"/>
        </w:tblCellMar>
      </w:tblPr>
      <w:tr>
        <w:trPr>
          <w:trHeight w:val="263"/>
        </w:trPr>
        <w:tc>
          <w:tcPr>
            <w:tcW w:w="2160" w:type="dxa"/>
            <w:vAlign w:val="bottom"/>
            <w:shd w:val="clear" w:color="auto" w:fill="0063A6"/>
          </w:tcPr>
          <w:p>
            <w:pPr>
              <w:jc w:val="center"/>
              <w:ind w:left="901"/>
              <w:spacing w:after="0"/>
              <w:rPr>
                <w:sz w:val="20"/>
                <w:szCs w:val="20"/>
                <w:color w:val="auto"/>
              </w:rPr>
            </w:pPr>
            <w:r>
              <w:rPr>
                <w:rFonts w:ascii="Arial" w:cs="Arial" w:eastAsia="Arial" w:hAnsi="Arial"/>
                <w:sz w:val="14"/>
                <w:szCs w:val="14"/>
                <w:b w:val="1"/>
                <w:bCs w:val="1"/>
                <w:color w:val="FFFFFF"/>
              </w:rPr>
              <w:t>First Tranche</w:t>
            </w:r>
          </w:p>
        </w:tc>
        <w:tc>
          <w:tcPr>
            <w:tcW w:w="1020" w:type="dxa"/>
            <w:vAlign w:val="bottom"/>
            <w:shd w:val="clear" w:color="auto" w:fill="0063A6"/>
          </w:tcPr>
          <w:p>
            <w:pPr>
              <w:spacing w:after="0"/>
              <w:rPr>
                <w:sz w:val="22"/>
                <w:szCs w:val="22"/>
                <w:color w:val="auto"/>
              </w:rPr>
            </w:pPr>
          </w:p>
        </w:tc>
        <w:tc>
          <w:tcPr>
            <w:tcW w:w="2220" w:type="dxa"/>
            <w:vAlign w:val="bottom"/>
            <w:shd w:val="clear" w:color="auto" w:fill="0063A6"/>
          </w:tcPr>
          <w:p>
            <w:pPr>
              <w:jc w:val="center"/>
              <w:ind w:left="861"/>
              <w:spacing w:after="0"/>
              <w:rPr>
                <w:sz w:val="20"/>
                <w:szCs w:val="20"/>
                <w:color w:val="auto"/>
              </w:rPr>
            </w:pPr>
            <w:r>
              <w:rPr>
                <w:rFonts w:ascii="Arial" w:cs="Arial" w:eastAsia="Arial" w:hAnsi="Arial"/>
                <w:sz w:val="14"/>
                <w:szCs w:val="14"/>
                <w:b w:val="1"/>
                <w:bCs w:val="1"/>
                <w:color w:val="FFFFFF"/>
              </w:rPr>
              <w:t>Second Tranche</w:t>
            </w:r>
          </w:p>
        </w:tc>
        <w:tc>
          <w:tcPr>
            <w:tcW w:w="980" w:type="dxa"/>
            <w:vAlign w:val="bottom"/>
            <w:shd w:val="clear" w:color="auto" w:fill="0063A6"/>
          </w:tcPr>
          <w:p>
            <w:pPr>
              <w:spacing w:after="0"/>
              <w:rPr>
                <w:sz w:val="22"/>
                <w:szCs w:val="22"/>
                <w:color w:val="auto"/>
              </w:rPr>
            </w:pPr>
          </w:p>
        </w:tc>
        <w:tc>
          <w:tcPr>
            <w:tcW w:w="2160" w:type="dxa"/>
            <w:vAlign w:val="bottom"/>
            <w:shd w:val="clear" w:color="auto" w:fill="0063A6"/>
          </w:tcPr>
          <w:p>
            <w:pPr>
              <w:jc w:val="center"/>
              <w:ind w:left="881"/>
              <w:spacing w:after="0"/>
              <w:rPr>
                <w:sz w:val="20"/>
                <w:szCs w:val="20"/>
                <w:color w:val="auto"/>
              </w:rPr>
            </w:pPr>
            <w:r>
              <w:rPr>
                <w:rFonts w:ascii="Arial" w:cs="Arial" w:eastAsia="Arial" w:hAnsi="Arial"/>
                <w:sz w:val="14"/>
                <w:szCs w:val="14"/>
                <w:b w:val="1"/>
                <w:bCs w:val="1"/>
                <w:color w:val="FFFFFF"/>
              </w:rPr>
              <w:t>Third Tranche</w:t>
            </w:r>
          </w:p>
        </w:tc>
        <w:tc>
          <w:tcPr>
            <w:tcW w:w="1020" w:type="dxa"/>
            <w:vAlign w:val="bottom"/>
            <w:shd w:val="clear" w:color="auto" w:fill="0063A6"/>
          </w:tcPr>
          <w:p>
            <w:pPr>
              <w:spacing w:after="0"/>
              <w:rPr>
                <w:sz w:val="22"/>
                <w:szCs w:val="22"/>
                <w:color w:val="auto"/>
              </w:rPr>
            </w:pPr>
          </w:p>
        </w:tc>
      </w:tr>
      <w:tr>
        <w:trPr>
          <w:trHeight w:val="188"/>
        </w:trPr>
        <w:tc>
          <w:tcPr>
            <w:tcW w:w="3180" w:type="dxa"/>
            <w:vAlign w:val="bottom"/>
            <w:gridSpan w:val="2"/>
            <w:shd w:val="clear" w:color="auto" w:fill="0063A6"/>
          </w:tcPr>
          <w:p>
            <w:pPr>
              <w:jc w:val="center"/>
              <w:spacing w:after="0"/>
              <w:rPr>
                <w:sz w:val="20"/>
                <w:szCs w:val="20"/>
                <w:color w:val="auto"/>
              </w:rPr>
            </w:pPr>
            <w:r>
              <w:rPr>
                <w:rFonts w:ascii="Arial" w:cs="Arial" w:eastAsia="Arial" w:hAnsi="Arial"/>
                <w:sz w:val="14"/>
                <w:szCs w:val="14"/>
                <w:i w:val="1"/>
                <w:iCs w:val="1"/>
                <w:color w:val="FFFFFF"/>
              </w:rPr>
              <w:t>Measurement Period: 1/1/2021 – 12/31/2021</w:t>
            </w:r>
          </w:p>
        </w:tc>
        <w:tc>
          <w:tcPr>
            <w:tcW w:w="3200" w:type="dxa"/>
            <w:vAlign w:val="bottom"/>
            <w:gridSpan w:val="2"/>
            <w:shd w:val="clear" w:color="auto" w:fill="0063A6"/>
          </w:tcPr>
          <w:p>
            <w:pPr>
              <w:jc w:val="center"/>
              <w:spacing w:after="0"/>
              <w:rPr>
                <w:sz w:val="20"/>
                <w:szCs w:val="20"/>
                <w:color w:val="auto"/>
              </w:rPr>
            </w:pPr>
            <w:r>
              <w:rPr>
                <w:rFonts w:ascii="Arial" w:cs="Arial" w:eastAsia="Arial" w:hAnsi="Arial"/>
                <w:sz w:val="14"/>
                <w:szCs w:val="14"/>
                <w:i w:val="1"/>
                <w:iCs w:val="1"/>
                <w:color w:val="FFFFFF"/>
              </w:rPr>
              <w:t>Measurement Period: 1/1/2022 – 12/31/2022</w:t>
            </w:r>
          </w:p>
        </w:tc>
        <w:tc>
          <w:tcPr>
            <w:tcW w:w="3180" w:type="dxa"/>
            <w:vAlign w:val="bottom"/>
            <w:gridSpan w:val="2"/>
            <w:shd w:val="clear" w:color="auto" w:fill="0063A6"/>
          </w:tcPr>
          <w:p>
            <w:pPr>
              <w:jc w:val="center"/>
              <w:spacing w:after="0"/>
              <w:rPr>
                <w:sz w:val="20"/>
                <w:szCs w:val="20"/>
                <w:color w:val="auto"/>
              </w:rPr>
            </w:pPr>
            <w:r>
              <w:rPr>
                <w:rFonts w:ascii="Arial" w:cs="Arial" w:eastAsia="Arial" w:hAnsi="Arial"/>
                <w:sz w:val="14"/>
                <w:szCs w:val="14"/>
                <w:i w:val="1"/>
                <w:iCs w:val="1"/>
                <w:color w:val="FFFFFF"/>
              </w:rPr>
              <w:t>Measurement Period: 1/1/2023 – 12/31/2023</w:t>
            </w:r>
          </w:p>
        </w:tc>
      </w:tr>
      <w:tr>
        <w:trPr>
          <w:trHeight w:val="357"/>
        </w:trPr>
        <w:tc>
          <w:tcPr>
            <w:tcW w:w="2160" w:type="dxa"/>
            <w:vAlign w:val="bottom"/>
            <w:shd w:val="clear" w:color="auto" w:fill="0063A6"/>
          </w:tcPr>
          <w:p>
            <w:pPr>
              <w:jc w:val="center"/>
              <w:ind w:right="61"/>
              <w:spacing w:after="0"/>
              <w:rPr>
                <w:sz w:val="20"/>
                <w:szCs w:val="20"/>
                <w:color w:val="auto"/>
              </w:rPr>
            </w:pPr>
            <w:r>
              <w:rPr>
                <w:rFonts w:ascii="Arial" w:cs="Arial" w:eastAsia="Arial" w:hAnsi="Arial"/>
                <w:sz w:val="14"/>
                <w:szCs w:val="14"/>
                <w:b w:val="1"/>
                <w:bCs w:val="1"/>
                <w:color w:val="FFFFFF"/>
              </w:rPr>
              <w:t>Price Target</w:t>
            </w:r>
          </w:p>
        </w:tc>
        <w:tc>
          <w:tcPr>
            <w:tcW w:w="1020" w:type="dxa"/>
            <w:vAlign w:val="bottom"/>
            <w:shd w:val="clear" w:color="auto" w:fill="0063A6"/>
          </w:tcPr>
          <w:p>
            <w:pPr>
              <w:ind w:left="160"/>
              <w:spacing w:after="0"/>
              <w:rPr>
                <w:sz w:val="20"/>
                <w:szCs w:val="20"/>
                <w:color w:val="auto"/>
              </w:rPr>
            </w:pPr>
            <w:r>
              <w:rPr>
                <w:rFonts w:ascii="Arial" w:cs="Arial" w:eastAsia="Arial" w:hAnsi="Arial"/>
                <w:sz w:val="14"/>
                <w:szCs w:val="14"/>
                <w:b w:val="1"/>
                <w:bCs w:val="1"/>
                <w:color w:val="FFFFFF"/>
              </w:rPr>
              <w:t>Multiplier</w:t>
            </w:r>
          </w:p>
        </w:tc>
        <w:tc>
          <w:tcPr>
            <w:tcW w:w="2220" w:type="dxa"/>
            <w:vAlign w:val="bottom"/>
            <w:shd w:val="clear" w:color="auto" w:fill="0063A6"/>
          </w:tcPr>
          <w:p>
            <w:pPr>
              <w:jc w:val="center"/>
              <w:ind w:right="41"/>
              <w:spacing w:after="0"/>
              <w:rPr>
                <w:sz w:val="20"/>
                <w:szCs w:val="20"/>
                <w:color w:val="auto"/>
              </w:rPr>
            </w:pPr>
            <w:r>
              <w:rPr>
                <w:rFonts w:ascii="Arial" w:cs="Arial" w:eastAsia="Arial" w:hAnsi="Arial"/>
                <w:sz w:val="14"/>
                <w:szCs w:val="14"/>
                <w:b w:val="1"/>
                <w:bCs w:val="1"/>
                <w:color w:val="FFFFFF"/>
              </w:rPr>
              <w:t>Price Target</w:t>
            </w:r>
          </w:p>
        </w:tc>
        <w:tc>
          <w:tcPr>
            <w:tcW w:w="980" w:type="dxa"/>
            <w:vAlign w:val="bottom"/>
            <w:shd w:val="clear" w:color="auto" w:fill="0063A6"/>
          </w:tcPr>
          <w:p>
            <w:pPr>
              <w:ind w:left="100"/>
              <w:spacing w:after="0"/>
              <w:rPr>
                <w:sz w:val="20"/>
                <w:szCs w:val="20"/>
                <w:color w:val="auto"/>
              </w:rPr>
            </w:pPr>
            <w:r>
              <w:rPr>
                <w:rFonts w:ascii="Arial" w:cs="Arial" w:eastAsia="Arial" w:hAnsi="Arial"/>
                <w:sz w:val="14"/>
                <w:szCs w:val="14"/>
                <w:b w:val="1"/>
                <w:bCs w:val="1"/>
                <w:color w:val="FFFFFF"/>
              </w:rPr>
              <w:t>Multiplier</w:t>
            </w:r>
          </w:p>
        </w:tc>
        <w:tc>
          <w:tcPr>
            <w:tcW w:w="2160" w:type="dxa"/>
            <w:vAlign w:val="bottom"/>
            <w:shd w:val="clear" w:color="auto" w:fill="0063A6"/>
          </w:tcPr>
          <w:p>
            <w:pPr>
              <w:jc w:val="center"/>
              <w:ind w:right="61"/>
              <w:spacing w:after="0"/>
              <w:rPr>
                <w:sz w:val="20"/>
                <w:szCs w:val="20"/>
                <w:color w:val="auto"/>
              </w:rPr>
            </w:pPr>
            <w:r>
              <w:rPr>
                <w:rFonts w:ascii="Arial" w:cs="Arial" w:eastAsia="Arial" w:hAnsi="Arial"/>
                <w:sz w:val="14"/>
                <w:szCs w:val="14"/>
                <w:b w:val="1"/>
                <w:bCs w:val="1"/>
                <w:color w:val="FFFFFF"/>
              </w:rPr>
              <w:t>Price Target</w:t>
            </w:r>
          </w:p>
        </w:tc>
        <w:tc>
          <w:tcPr>
            <w:tcW w:w="1020" w:type="dxa"/>
            <w:vAlign w:val="bottom"/>
            <w:shd w:val="clear" w:color="auto" w:fill="0063A6"/>
          </w:tcPr>
          <w:p>
            <w:pPr>
              <w:ind w:left="120"/>
              <w:spacing w:after="0"/>
              <w:rPr>
                <w:sz w:val="20"/>
                <w:szCs w:val="20"/>
                <w:color w:val="auto"/>
              </w:rPr>
            </w:pPr>
            <w:r>
              <w:rPr>
                <w:rFonts w:ascii="Arial" w:cs="Arial" w:eastAsia="Arial" w:hAnsi="Arial"/>
                <w:sz w:val="14"/>
                <w:szCs w:val="14"/>
                <w:b w:val="1"/>
                <w:bCs w:val="1"/>
                <w:color w:val="FFFFFF"/>
              </w:rPr>
              <w:t>Multiplier</w:t>
            </w:r>
          </w:p>
        </w:tc>
      </w:tr>
      <w:tr>
        <w:trPr>
          <w:trHeight w:val="69"/>
        </w:trPr>
        <w:tc>
          <w:tcPr>
            <w:tcW w:w="2160" w:type="dxa"/>
            <w:vAlign w:val="bottom"/>
            <w:shd w:val="clear" w:color="auto" w:fill="0063A6"/>
          </w:tcPr>
          <w:p>
            <w:pPr>
              <w:spacing w:after="0"/>
              <w:rPr>
                <w:sz w:val="6"/>
                <w:szCs w:val="6"/>
                <w:color w:val="auto"/>
              </w:rPr>
            </w:pPr>
          </w:p>
        </w:tc>
        <w:tc>
          <w:tcPr>
            <w:tcW w:w="1020" w:type="dxa"/>
            <w:vAlign w:val="bottom"/>
            <w:shd w:val="clear" w:color="auto" w:fill="0063A6"/>
          </w:tcPr>
          <w:p>
            <w:pPr>
              <w:spacing w:after="0"/>
              <w:rPr>
                <w:sz w:val="6"/>
                <w:szCs w:val="6"/>
                <w:color w:val="auto"/>
              </w:rPr>
            </w:pPr>
          </w:p>
        </w:tc>
        <w:tc>
          <w:tcPr>
            <w:tcW w:w="2220" w:type="dxa"/>
            <w:vAlign w:val="bottom"/>
            <w:shd w:val="clear" w:color="auto" w:fill="0063A6"/>
          </w:tcPr>
          <w:p>
            <w:pPr>
              <w:spacing w:after="0"/>
              <w:rPr>
                <w:sz w:val="6"/>
                <w:szCs w:val="6"/>
                <w:color w:val="auto"/>
              </w:rPr>
            </w:pPr>
          </w:p>
        </w:tc>
        <w:tc>
          <w:tcPr>
            <w:tcW w:w="980" w:type="dxa"/>
            <w:vAlign w:val="bottom"/>
            <w:shd w:val="clear" w:color="auto" w:fill="0063A6"/>
          </w:tcPr>
          <w:p>
            <w:pPr>
              <w:spacing w:after="0"/>
              <w:rPr>
                <w:sz w:val="6"/>
                <w:szCs w:val="6"/>
                <w:color w:val="auto"/>
              </w:rPr>
            </w:pPr>
          </w:p>
        </w:tc>
        <w:tc>
          <w:tcPr>
            <w:tcW w:w="2160" w:type="dxa"/>
            <w:vAlign w:val="bottom"/>
            <w:shd w:val="clear" w:color="auto" w:fill="0063A6"/>
          </w:tcPr>
          <w:p>
            <w:pPr>
              <w:spacing w:after="0"/>
              <w:rPr>
                <w:sz w:val="6"/>
                <w:szCs w:val="6"/>
                <w:color w:val="auto"/>
              </w:rPr>
            </w:pPr>
          </w:p>
        </w:tc>
        <w:tc>
          <w:tcPr>
            <w:tcW w:w="1020" w:type="dxa"/>
            <w:vAlign w:val="bottom"/>
            <w:shd w:val="clear" w:color="auto" w:fill="0063A6"/>
          </w:tcPr>
          <w:p>
            <w:pPr>
              <w:spacing w:after="0"/>
              <w:rPr>
                <w:sz w:val="6"/>
                <w:szCs w:val="6"/>
                <w:color w:val="auto"/>
              </w:rPr>
            </w:pPr>
          </w:p>
        </w:tc>
      </w:tr>
      <w:tr>
        <w:trPr>
          <w:trHeight w:val="295"/>
        </w:trPr>
        <w:tc>
          <w:tcPr>
            <w:tcW w:w="2160" w:type="dxa"/>
            <w:vAlign w:val="bottom"/>
            <w:shd w:val="clear" w:color="auto" w:fill="F2F2F2"/>
          </w:tcPr>
          <w:p>
            <w:pPr>
              <w:jc w:val="center"/>
              <w:ind w:right="81"/>
              <w:spacing w:after="0"/>
              <w:rPr>
                <w:sz w:val="20"/>
                <w:szCs w:val="20"/>
                <w:color w:val="auto"/>
              </w:rPr>
            </w:pPr>
            <w:r>
              <w:rPr>
                <w:rFonts w:ascii="Arial" w:cs="Arial" w:eastAsia="Arial" w:hAnsi="Arial"/>
                <w:sz w:val="16"/>
                <w:szCs w:val="16"/>
                <w:color w:val="auto"/>
              </w:rPr>
              <w:t>Less than $10.00</w:t>
            </w:r>
          </w:p>
        </w:tc>
        <w:tc>
          <w:tcPr>
            <w:tcW w:w="10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4"/>
              </w:rPr>
              <w:t>0%</w:t>
            </w:r>
          </w:p>
        </w:tc>
        <w:tc>
          <w:tcPr>
            <w:tcW w:w="2220" w:type="dxa"/>
            <w:vAlign w:val="bottom"/>
            <w:shd w:val="clear" w:color="auto" w:fill="F2F2F2"/>
          </w:tcPr>
          <w:p>
            <w:pPr>
              <w:jc w:val="center"/>
              <w:ind w:right="61"/>
              <w:spacing w:after="0"/>
              <w:rPr>
                <w:sz w:val="20"/>
                <w:szCs w:val="20"/>
                <w:color w:val="auto"/>
              </w:rPr>
            </w:pPr>
            <w:r>
              <w:rPr>
                <w:rFonts w:ascii="Arial" w:cs="Arial" w:eastAsia="Arial" w:hAnsi="Arial"/>
                <w:sz w:val="16"/>
                <w:szCs w:val="16"/>
                <w:color w:val="auto"/>
              </w:rPr>
              <w:t>Less than $10.00</w:t>
            </w:r>
          </w:p>
        </w:tc>
        <w:tc>
          <w:tcPr>
            <w:tcW w:w="980" w:type="dxa"/>
            <w:vAlign w:val="bottom"/>
            <w:shd w:val="clear" w:color="auto" w:fill="F2F2F2"/>
          </w:tcPr>
          <w:p>
            <w:pPr>
              <w:jc w:val="center"/>
              <w:ind w:right="80"/>
              <w:spacing w:after="0"/>
              <w:rPr>
                <w:sz w:val="20"/>
                <w:szCs w:val="20"/>
                <w:color w:val="auto"/>
              </w:rPr>
            </w:pPr>
            <w:r>
              <w:rPr>
                <w:rFonts w:ascii="Arial" w:cs="Arial" w:eastAsia="Arial" w:hAnsi="Arial"/>
                <w:sz w:val="16"/>
                <w:szCs w:val="16"/>
                <w:color w:val="auto"/>
                <w:w w:val="94"/>
              </w:rPr>
              <w:t>0%</w:t>
            </w:r>
          </w:p>
        </w:tc>
        <w:tc>
          <w:tcPr>
            <w:tcW w:w="2160" w:type="dxa"/>
            <w:vAlign w:val="bottom"/>
            <w:shd w:val="clear" w:color="auto" w:fill="F2F2F2"/>
          </w:tcPr>
          <w:p>
            <w:pPr>
              <w:jc w:val="center"/>
              <w:ind w:right="41"/>
              <w:spacing w:after="0"/>
              <w:rPr>
                <w:sz w:val="20"/>
                <w:szCs w:val="20"/>
                <w:color w:val="auto"/>
              </w:rPr>
            </w:pPr>
            <w:r>
              <w:rPr>
                <w:rFonts w:ascii="Arial" w:cs="Arial" w:eastAsia="Arial" w:hAnsi="Arial"/>
                <w:sz w:val="16"/>
                <w:szCs w:val="16"/>
                <w:color w:val="auto"/>
              </w:rPr>
              <w:t>Less than $10.00</w:t>
            </w:r>
          </w:p>
        </w:tc>
        <w:tc>
          <w:tcPr>
            <w:tcW w:w="1020" w:type="dxa"/>
            <w:vAlign w:val="bottom"/>
            <w:shd w:val="clear" w:color="auto" w:fill="F2F2F2"/>
          </w:tcPr>
          <w:p>
            <w:pPr>
              <w:jc w:val="center"/>
              <w:ind w:right="60"/>
              <w:spacing w:after="0"/>
              <w:rPr>
                <w:sz w:val="20"/>
                <w:szCs w:val="20"/>
                <w:color w:val="auto"/>
              </w:rPr>
            </w:pPr>
            <w:r>
              <w:rPr>
                <w:rFonts w:ascii="Arial" w:cs="Arial" w:eastAsia="Arial" w:hAnsi="Arial"/>
                <w:sz w:val="16"/>
                <w:szCs w:val="16"/>
                <w:color w:val="auto"/>
              </w:rPr>
              <w:t>0%</w:t>
            </w:r>
          </w:p>
        </w:tc>
      </w:tr>
      <w:tr>
        <w:trPr>
          <w:trHeight w:val="83"/>
        </w:trPr>
        <w:tc>
          <w:tcPr>
            <w:tcW w:w="216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c>
          <w:tcPr>
            <w:tcW w:w="2220" w:type="dxa"/>
            <w:vAlign w:val="bottom"/>
            <w:shd w:val="clear" w:color="auto" w:fill="F2F2F2"/>
          </w:tcPr>
          <w:p>
            <w:pPr>
              <w:spacing w:after="0"/>
              <w:rPr>
                <w:sz w:val="7"/>
                <w:szCs w:val="7"/>
                <w:color w:val="auto"/>
              </w:rPr>
            </w:pPr>
          </w:p>
        </w:tc>
        <w:tc>
          <w:tcPr>
            <w:tcW w:w="980" w:type="dxa"/>
            <w:vAlign w:val="bottom"/>
            <w:shd w:val="clear" w:color="auto" w:fill="F2F2F2"/>
          </w:tcPr>
          <w:p>
            <w:pPr>
              <w:spacing w:after="0"/>
              <w:rPr>
                <w:sz w:val="7"/>
                <w:szCs w:val="7"/>
                <w:color w:val="auto"/>
              </w:rPr>
            </w:pPr>
          </w:p>
        </w:tc>
        <w:tc>
          <w:tcPr>
            <w:tcW w:w="216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r>
      <w:tr>
        <w:trPr>
          <w:trHeight w:val="295"/>
        </w:trPr>
        <w:tc>
          <w:tcPr>
            <w:tcW w:w="2160" w:type="dxa"/>
            <w:vAlign w:val="bottom"/>
          </w:tcPr>
          <w:p>
            <w:pPr>
              <w:jc w:val="center"/>
              <w:ind w:right="61"/>
              <w:spacing w:after="0"/>
              <w:rPr>
                <w:sz w:val="20"/>
                <w:szCs w:val="20"/>
                <w:color w:val="auto"/>
              </w:rPr>
            </w:pPr>
            <w:r>
              <w:rPr>
                <w:rFonts w:ascii="Arial" w:cs="Arial" w:eastAsia="Arial" w:hAnsi="Arial"/>
                <w:sz w:val="16"/>
                <w:szCs w:val="16"/>
                <w:color w:val="auto"/>
              </w:rPr>
              <w:t>$10.00</w:t>
            </w:r>
          </w:p>
        </w:tc>
        <w:tc>
          <w:tcPr>
            <w:tcW w:w="1020" w:type="dxa"/>
            <w:vAlign w:val="bottom"/>
          </w:tcPr>
          <w:p>
            <w:pPr>
              <w:jc w:val="center"/>
              <w:spacing w:after="0"/>
              <w:rPr>
                <w:sz w:val="20"/>
                <w:szCs w:val="20"/>
                <w:color w:val="auto"/>
              </w:rPr>
            </w:pPr>
            <w:r>
              <w:rPr>
                <w:rFonts w:ascii="Arial" w:cs="Arial" w:eastAsia="Arial" w:hAnsi="Arial"/>
                <w:sz w:val="16"/>
                <w:szCs w:val="16"/>
                <w:color w:val="auto"/>
              </w:rPr>
              <w:t>25%</w:t>
            </w:r>
          </w:p>
        </w:tc>
        <w:tc>
          <w:tcPr>
            <w:tcW w:w="2220" w:type="dxa"/>
            <w:vAlign w:val="bottom"/>
          </w:tcPr>
          <w:p>
            <w:pPr>
              <w:jc w:val="center"/>
              <w:ind w:right="41"/>
              <w:spacing w:after="0"/>
              <w:rPr>
                <w:sz w:val="20"/>
                <w:szCs w:val="20"/>
                <w:color w:val="auto"/>
              </w:rPr>
            </w:pPr>
            <w:r>
              <w:rPr>
                <w:rFonts w:ascii="Arial" w:cs="Arial" w:eastAsia="Arial" w:hAnsi="Arial"/>
                <w:sz w:val="16"/>
                <w:szCs w:val="16"/>
                <w:color w:val="auto"/>
              </w:rPr>
              <w:t>$10.00</w:t>
            </w:r>
          </w:p>
        </w:tc>
        <w:tc>
          <w:tcPr>
            <w:tcW w:w="980" w:type="dxa"/>
            <w:vAlign w:val="bottom"/>
          </w:tcPr>
          <w:p>
            <w:pPr>
              <w:jc w:val="center"/>
              <w:ind w:right="80"/>
              <w:spacing w:after="0"/>
              <w:rPr>
                <w:sz w:val="20"/>
                <w:szCs w:val="20"/>
                <w:color w:val="auto"/>
              </w:rPr>
            </w:pPr>
            <w:r>
              <w:rPr>
                <w:rFonts w:ascii="Arial" w:cs="Arial" w:eastAsia="Arial" w:hAnsi="Arial"/>
                <w:sz w:val="16"/>
                <w:szCs w:val="16"/>
                <w:color w:val="auto"/>
              </w:rPr>
              <w:t>25%</w:t>
            </w:r>
          </w:p>
        </w:tc>
        <w:tc>
          <w:tcPr>
            <w:tcW w:w="2160" w:type="dxa"/>
            <w:vAlign w:val="bottom"/>
          </w:tcPr>
          <w:p>
            <w:pPr>
              <w:jc w:val="center"/>
              <w:ind w:right="61"/>
              <w:spacing w:after="0"/>
              <w:rPr>
                <w:sz w:val="20"/>
                <w:szCs w:val="20"/>
                <w:color w:val="auto"/>
              </w:rPr>
            </w:pPr>
            <w:r>
              <w:rPr>
                <w:rFonts w:ascii="Arial" w:cs="Arial" w:eastAsia="Arial" w:hAnsi="Arial"/>
                <w:sz w:val="16"/>
                <w:szCs w:val="16"/>
                <w:color w:val="auto"/>
              </w:rPr>
              <w:t>$10.00</w:t>
            </w:r>
          </w:p>
        </w:tc>
        <w:tc>
          <w:tcPr>
            <w:tcW w:w="1020" w:type="dxa"/>
            <w:vAlign w:val="bottom"/>
          </w:tcPr>
          <w:p>
            <w:pPr>
              <w:jc w:val="center"/>
              <w:ind w:right="60"/>
              <w:spacing w:after="0"/>
              <w:rPr>
                <w:sz w:val="20"/>
                <w:szCs w:val="20"/>
                <w:color w:val="auto"/>
              </w:rPr>
            </w:pPr>
            <w:r>
              <w:rPr>
                <w:rFonts w:ascii="Arial" w:cs="Arial" w:eastAsia="Arial" w:hAnsi="Arial"/>
                <w:sz w:val="16"/>
                <w:szCs w:val="16"/>
                <w:color w:val="auto"/>
                <w:w w:val="99"/>
              </w:rPr>
              <w:t>25%</w:t>
            </w:r>
          </w:p>
        </w:tc>
      </w:tr>
      <w:tr>
        <w:trPr>
          <w:trHeight w:val="83"/>
        </w:trPr>
        <w:tc>
          <w:tcPr>
            <w:tcW w:w="2160" w:type="dxa"/>
            <w:vAlign w:val="bottom"/>
          </w:tcPr>
          <w:p>
            <w:pPr>
              <w:spacing w:after="0"/>
              <w:rPr>
                <w:sz w:val="7"/>
                <w:szCs w:val="7"/>
                <w:color w:val="auto"/>
              </w:rPr>
            </w:pPr>
          </w:p>
        </w:tc>
        <w:tc>
          <w:tcPr>
            <w:tcW w:w="1020" w:type="dxa"/>
            <w:vAlign w:val="bottom"/>
          </w:tcPr>
          <w:p>
            <w:pPr>
              <w:spacing w:after="0"/>
              <w:rPr>
                <w:sz w:val="7"/>
                <w:szCs w:val="7"/>
                <w:color w:val="auto"/>
              </w:rPr>
            </w:pPr>
          </w:p>
        </w:tc>
        <w:tc>
          <w:tcPr>
            <w:tcW w:w="2220" w:type="dxa"/>
            <w:vAlign w:val="bottom"/>
          </w:tcPr>
          <w:p>
            <w:pPr>
              <w:spacing w:after="0"/>
              <w:rPr>
                <w:sz w:val="7"/>
                <w:szCs w:val="7"/>
                <w:color w:val="auto"/>
              </w:rPr>
            </w:pPr>
          </w:p>
        </w:tc>
        <w:tc>
          <w:tcPr>
            <w:tcW w:w="980" w:type="dxa"/>
            <w:vAlign w:val="bottom"/>
          </w:tcPr>
          <w:p>
            <w:pPr>
              <w:spacing w:after="0"/>
              <w:rPr>
                <w:sz w:val="7"/>
                <w:szCs w:val="7"/>
                <w:color w:val="auto"/>
              </w:rPr>
            </w:pPr>
          </w:p>
        </w:tc>
        <w:tc>
          <w:tcPr>
            <w:tcW w:w="2160" w:type="dxa"/>
            <w:vAlign w:val="bottom"/>
          </w:tcPr>
          <w:p>
            <w:pPr>
              <w:spacing w:after="0"/>
              <w:rPr>
                <w:sz w:val="7"/>
                <w:szCs w:val="7"/>
                <w:color w:val="auto"/>
              </w:rPr>
            </w:pPr>
          </w:p>
        </w:tc>
        <w:tc>
          <w:tcPr>
            <w:tcW w:w="1020" w:type="dxa"/>
            <w:vAlign w:val="bottom"/>
          </w:tcPr>
          <w:p>
            <w:pPr>
              <w:spacing w:after="0"/>
              <w:rPr>
                <w:sz w:val="7"/>
                <w:szCs w:val="7"/>
                <w:color w:val="auto"/>
              </w:rPr>
            </w:pPr>
          </w:p>
        </w:tc>
      </w:tr>
      <w:tr>
        <w:trPr>
          <w:trHeight w:val="295"/>
        </w:trPr>
        <w:tc>
          <w:tcPr>
            <w:tcW w:w="2160" w:type="dxa"/>
            <w:vAlign w:val="bottom"/>
            <w:shd w:val="clear" w:color="auto" w:fill="F2F2F2"/>
          </w:tcPr>
          <w:p>
            <w:pPr>
              <w:jc w:val="center"/>
              <w:ind w:right="61"/>
              <w:spacing w:after="0"/>
              <w:rPr>
                <w:sz w:val="20"/>
                <w:szCs w:val="20"/>
                <w:color w:val="auto"/>
              </w:rPr>
            </w:pPr>
            <w:r>
              <w:rPr>
                <w:rFonts w:ascii="Arial" w:cs="Arial" w:eastAsia="Arial" w:hAnsi="Arial"/>
                <w:sz w:val="16"/>
                <w:szCs w:val="16"/>
                <w:color w:val="auto"/>
              </w:rPr>
              <w:t>$15.00</w:t>
            </w:r>
          </w:p>
        </w:tc>
        <w:tc>
          <w:tcPr>
            <w:tcW w:w="10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50%</w:t>
            </w:r>
          </w:p>
        </w:tc>
        <w:tc>
          <w:tcPr>
            <w:tcW w:w="2220" w:type="dxa"/>
            <w:vAlign w:val="bottom"/>
            <w:shd w:val="clear" w:color="auto" w:fill="F2F2F2"/>
          </w:tcPr>
          <w:p>
            <w:pPr>
              <w:jc w:val="center"/>
              <w:ind w:right="41"/>
              <w:spacing w:after="0"/>
              <w:rPr>
                <w:sz w:val="20"/>
                <w:szCs w:val="20"/>
                <w:color w:val="auto"/>
              </w:rPr>
            </w:pPr>
            <w:r>
              <w:rPr>
                <w:rFonts w:ascii="Arial" w:cs="Arial" w:eastAsia="Arial" w:hAnsi="Arial"/>
                <w:sz w:val="16"/>
                <w:szCs w:val="16"/>
                <w:color w:val="auto"/>
              </w:rPr>
              <w:t>$15.00</w:t>
            </w:r>
          </w:p>
        </w:tc>
        <w:tc>
          <w:tcPr>
            <w:tcW w:w="980" w:type="dxa"/>
            <w:vAlign w:val="bottom"/>
            <w:shd w:val="clear" w:color="auto" w:fill="F2F2F2"/>
          </w:tcPr>
          <w:p>
            <w:pPr>
              <w:jc w:val="center"/>
              <w:ind w:right="80"/>
              <w:spacing w:after="0"/>
              <w:rPr>
                <w:sz w:val="20"/>
                <w:szCs w:val="20"/>
                <w:color w:val="auto"/>
              </w:rPr>
            </w:pPr>
            <w:r>
              <w:rPr>
                <w:rFonts w:ascii="Arial" w:cs="Arial" w:eastAsia="Arial" w:hAnsi="Arial"/>
                <w:sz w:val="16"/>
                <w:szCs w:val="16"/>
                <w:color w:val="auto"/>
              </w:rPr>
              <w:t>50%</w:t>
            </w:r>
          </w:p>
        </w:tc>
        <w:tc>
          <w:tcPr>
            <w:tcW w:w="2160" w:type="dxa"/>
            <w:vAlign w:val="bottom"/>
            <w:shd w:val="clear" w:color="auto" w:fill="F2F2F2"/>
          </w:tcPr>
          <w:p>
            <w:pPr>
              <w:jc w:val="center"/>
              <w:ind w:right="61"/>
              <w:spacing w:after="0"/>
              <w:rPr>
                <w:sz w:val="20"/>
                <w:szCs w:val="20"/>
                <w:color w:val="auto"/>
              </w:rPr>
            </w:pPr>
            <w:r>
              <w:rPr>
                <w:rFonts w:ascii="Arial" w:cs="Arial" w:eastAsia="Arial" w:hAnsi="Arial"/>
                <w:sz w:val="16"/>
                <w:szCs w:val="16"/>
                <w:color w:val="auto"/>
              </w:rPr>
              <w:t>$15.00</w:t>
            </w:r>
          </w:p>
        </w:tc>
        <w:tc>
          <w:tcPr>
            <w:tcW w:w="1020" w:type="dxa"/>
            <w:vAlign w:val="bottom"/>
            <w:shd w:val="clear" w:color="auto" w:fill="F2F2F2"/>
          </w:tcPr>
          <w:p>
            <w:pPr>
              <w:jc w:val="center"/>
              <w:ind w:right="60"/>
              <w:spacing w:after="0"/>
              <w:rPr>
                <w:sz w:val="20"/>
                <w:szCs w:val="20"/>
                <w:color w:val="auto"/>
              </w:rPr>
            </w:pPr>
            <w:r>
              <w:rPr>
                <w:rFonts w:ascii="Arial" w:cs="Arial" w:eastAsia="Arial" w:hAnsi="Arial"/>
                <w:sz w:val="16"/>
                <w:szCs w:val="16"/>
                <w:color w:val="auto"/>
                <w:w w:val="99"/>
              </w:rPr>
              <w:t>50%</w:t>
            </w:r>
          </w:p>
        </w:tc>
      </w:tr>
      <w:tr>
        <w:trPr>
          <w:trHeight w:val="83"/>
        </w:trPr>
        <w:tc>
          <w:tcPr>
            <w:tcW w:w="216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c>
          <w:tcPr>
            <w:tcW w:w="2220" w:type="dxa"/>
            <w:vAlign w:val="bottom"/>
            <w:shd w:val="clear" w:color="auto" w:fill="F2F2F2"/>
          </w:tcPr>
          <w:p>
            <w:pPr>
              <w:spacing w:after="0"/>
              <w:rPr>
                <w:sz w:val="7"/>
                <w:szCs w:val="7"/>
                <w:color w:val="auto"/>
              </w:rPr>
            </w:pPr>
          </w:p>
        </w:tc>
        <w:tc>
          <w:tcPr>
            <w:tcW w:w="980" w:type="dxa"/>
            <w:vAlign w:val="bottom"/>
            <w:shd w:val="clear" w:color="auto" w:fill="F2F2F2"/>
          </w:tcPr>
          <w:p>
            <w:pPr>
              <w:spacing w:after="0"/>
              <w:rPr>
                <w:sz w:val="7"/>
                <w:szCs w:val="7"/>
                <w:color w:val="auto"/>
              </w:rPr>
            </w:pPr>
          </w:p>
        </w:tc>
        <w:tc>
          <w:tcPr>
            <w:tcW w:w="216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r>
      <w:tr>
        <w:trPr>
          <w:trHeight w:val="295"/>
        </w:trPr>
        <w:tc>
          <w:tcPr>
            <w:tcW w:w="2160" w:type="dxa"/>
            <w:vAlign w:val="bottom"/>
          </w:tcPr>
          <w:p>
            <w:pPr>
              <w:jc w:val="center"/>
              <w:ind w:right="61"/>
              <w:spacing w:after="0"/>
              <w:rPr>
                <w:sz w:val="20"/>
                <w:szCs w:val="20"/>
                <w:color w:val="auto"/>
              </w:rPr>
            </w:pPr>
            <w:r>
              <w:rPr>
                <w:rFonts w:ascii="Arial" w:cs="Arial" w:eastAsia="Arial" w:hAnsi="Arial"/>
                <w:sz w:val="16"/>
                <w:szCs w:val="16"/>
                <w:color w:val="auto"/>
              </w:rPr>
              <w:t>$20.00</w:t>
            </w:r>
          </w:p>
        </w:tc>
        <w:tc>
          <w:tcPr>
            <w:tcW w:w="1020" w:type="dxa"/>
            <w:vAlign w:val="bottom"/>
          </w:tcPr>
          <w:p>
            <w:pPr>
              <w:jc w:val="center"/>
              <w:spacing w:after="0"/>
              <w:rPr>
                <w:sz w:val="20"/>
                <w:szCs w:val="20"/>
                <w:color w:val="auto"/>
              </w:rPr>
            </w:pPr>
            <w:r>
              <w:rPr>
                <w:rFonts w:ascii="Arial" w:cs="Arial" w:eastAsia="Arial" w:hAnsi="Arial"/>
                <w:sz w:val="16"/>
                <w:szCs w:val="16"/>
                <w:color w:val="auto"/>
              </w:rPr>
              <w:t>100%</w:t>
            </w:r>
          </w:p>
        </w:tc>
        <w:tc>
          <w:tcPr>
            <w:tcW w:w="2220" w:type="dxa"/>
            <w:vAlign w:val="bottom"/>
          </w:tcPr>
          <w:p>
            <w:pPr>
              <w:jc w:val="center"/>
              <w:ind w:right="41"/>
              <w:spacing w:after="0"/>
              <w:rPr>
                <w:sz w:val="20"/>
                <w:szCs w:val="20"/>
                <w:color w:val="auto"/>
              </w:rPr>
            </w:pPr>
            <w:r>
              <w:rPr>
                <w:rFonts w:ascii="Arial" w:cs="Arial" w:eastAsia="Arial" w:hAnsi="Arial"/>
                <w:sz w:val="16"/>
                <w:szCs w:val="16"/>
                <w:color w:val="auto"/>
              </w:rPr>
              <w:t>$21.50</w:t>
            </w:r>
          </w:p>
        </w:tc>
        <w:tc>
          <w:tcPr>
            <w:tcW w:w="980" w:type="dxa"/>
            <w:vAlign w:val="bottom"/>
          </w:tcPr>
          <w:p>
            <w:pPr>
              <w:jc w:val="center"/>
              <w:ind w:right="80"/>
              <w:spacing w:after="0"/>
              <w:rPr>
                <w:sz w:val="20"/>
                <w:szCs w:val="20"/>
                <w:color w:val="auto"/>
              </w:rPr>
            </w:pPr>
            <w:r>
              <w:rPr>
                <w:rFonts w:ascii="Arial" w:cs="Arial" w:eastAsia="Arial" w:hAnsi="Arial"/>
                <w:sz w:val="16"/>
                <w:szCs w:val="16"/>
                <w:color w:val="auto"/>
              </w:rPr>
              <w:t>100%</w:t>
            </w:r>
          </w:p>
        </w:tc>
        <w:tc>
          <w:tcPr>
            <w:tcW w:w="2160" w:type="dxa"/>
            <w:vAlign w:val="bottom"/>
          </w:tcPr>
          <w:p>
            <w:pPr>
              <w:jc w:val="center"/>
              <w:ind w:right="61"/>
              <w:spacing w:after="0"/>
              <w:rPr>
                <w:sz w:val="20"/>
                <w:szCs w:val="20"/>
                <w:color w:val="auto"/>
              </w:rPr>
            </w:pPr>
            <w:r>
              <w:rPr>
                <w:rFonts w:ascii="Arial" w:cs="Arial" w:eastAsia="Arial" w:hAnsi="Arial"/>
                <w:sz w:val="16"/>
                <w:szCs w:val="16"/>
                <w:color w:val="auto"/>
              </w:rPr>
              <w:t>$23.50</w:t>
            </w:r>
          </w:p>
        </w:tc>
        <w:tc>
          <w:tcPr>
            <w:tcW w:w="1020" w:type="dxa"/>
            <w:vAlign w:val="bottom"/>
          </w:tcPr>
          <w:p>
            <w:pPr>
              <w:jc w:val="center"/>
              <w:ind w:right="60"/>
              <w:spacing w:after="0"/>
              <w:rPr>
                <w:sz w:val="20"/>
                <w:szCs w:val="20"/>
                <w:color w:val="auto"/>
              </w:rPr>
            </w:pPr>
            <w:r>
              <w:rPr>
                <w:rFonts w:ascii="Arial" w:cs="Arial" w:eastAsia="Arial" w:hAnsi="Arial"/>
                <w:sz w:val="16"/>
                <w:szCs w:val="16"/>
                <w:color w:val="auto"/>
                <w:w w:val="97"/>
              </w:rPr>
              <w:t>100%</w:t>
            </w:r>
          </w:p>
        </w:tc>
      </w:tr>
      <w:tr>
        <w:trPr>
          <w:trHeight w:val="83"/>
        </w:trPr>
        <w:tc>
          <w:tcPr>
            <w:tcW w:w="2160" w:type="dxa"/>
            <w:vAlign w:val="bottom"/>
          </w:tcPr>
          <w:p>
            <w:pPr>
              <w:spacing w:after="0"/>
              <w:rPr>
                <w:sz w:val="7"/>
                <w:szCs w:val="7"/>
                <w:color w:val="auto"/>
              </w:rPr>
            </w:pPr>
          </w:p>
        </w:tc>
        <w:tc>
          <w:tcPr>
            <w:tcW w:w="1020" w:type="dxa"/>
            <w:vAlign w:val="bottom"/>
          </w:tcPr>
          <w:p>
            <w:pPr>
              <w:spacing w:after="0"/>
              <w:rPr>
                <w:sz w:val="7"/>
                <w:szCs w:val="7"/>
                <w:color w:val="auto"/>
              </w:rPr>
            </w:pPr>
          </w:p>
        </w:tc>
        <w:tc>
          <w:tcPr>
            <w:tcW w:w="2220" w:type="dxa"/>
            <w:vAlign w:val="bottom"/>
          </w:tcPr>
          <w:p>
            <w:pPr>
              <w:spacing w:after="0"/>
              <w:rPr>
                <w:sz w:val="7"/>
                <w:szCs w:val="7"/>
                <w:color w:val="auto"/>
              </w:rPr>
            </w:pPr>
          </w:p>
        </w:tc>
        <w:tc>
          <w:tcPr>
            <w:tcW w:w="980" w:type="dxa"/>
            <w:vAlign w:val="bottom"/>
          </w:tcPr>
          <w:p>
            <w:pPr>
              <w:spacing w:after="0"/>
              <w:rPr>
                <w:sz w:val="7"/>
                <w:szCs w:val="7"/>
                <w:color w:val="auto"/>
              </w:rPr>
            </w:pPr>
          </w:p>
        </w:tc>
        <w:tc>
          <w:tcPr>
            <w:tcW w:w="2160" w:type="dxa"/>
            <w:vAlign w:val="bottom"/>
          </w:tcPr>
          <w:p>
            <w:pPr>
              <w:spacing w:after="0"/>
              <w:rPr>
                <w:sz w:val="7"/>
                <w:szCs w:val="7"/>
                <w:color w:val="auto"/>
              </w:rPr>
            </w:pPr>
          </w:p>
        </w:tc>
        <w:tc>
          <w:tcPr>
            <w:tcW w:w="1020" w:type="dxa"/>
            <w:vAlign w:val="bottom"/>
          </w:tcPr>
          <w:p>
            <w:pPr>
              <w:spacing w:after="0"/>
              <w:rPr>
                <w:sz w:val="7"/>
                <w:szCs w:val="7"/>
                <w:color w:val="auto"/>
              </w:rPr>
            </w:pPr>
          </w:p>
        </w:tc>
      </w:tr>
      <w:tr>
        <w:trPr>
          <w:trHeight w:val="295"/>
        </w:trPr>
        <w:tc>
          <w:tcPr>
            <w:tcW w:w="2160" w:type="dxa"/>
            <w:vAlign w:val="bottom"/>
            <w:shd w:val="clear" w:color="auto" w:fill="F2F2F2"/>
          </w:tcPr>
          <w:p>
            <w:pPr>
              <w:jc w:val="center"/>
              <w:ind w:right="61"/>
              <w:spacing w:after="0"/>
              <w:rPr>
                <w:sz w:val="20"/>
                <w:szCs w:val="20"/>
                <w:color w:val="auto"/>
              </w:rPr>
            </w:pPr>
            <w:r>
              <w:rPr>
                <w:rFonts w:ascii="Arial" w:cs="Arial" w:eastAsia="Arial" w:hAnsi="Arial"/>
                <w:sz w:val="16"/>
                <w:szCs w:val="16"/>
                <w:color w:val="auto"/>
              </w:rPr>
              <w:t>$25.00</w:t>
            </w:r>
          </w:p>
        </w:tc>
        <w:tc>
          <w:tcPr>
            <w:tcW w:w="10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150%</w:t>
            </w:r>
          </w:p>
        </w:tc>
        <w:tc>
          <w:tcPr>
            <w:tcW w:w="2220" w:type="dxa"/>
            <w:vAlign w:val="bottom"/>
            <w:shd w:val="clear" w:color="auto" w:fill="F2F2F2"/>
          </w:tcPr>
          <w:p>
            <w:pPr>
              <w:jc w:val="center"/>
              <w:ind w:right="41"/>
              <w:spacing w:after="0"/>
              <w:rPr>
                <w:sz w:val="20"/>
                <w:szCs w:val="20"/>
                <w:color w:val="auto"/>
              </w:rPr>
            </w:pPr>
            <w:r>
              <w:rPr>
                <w:rFonts w:ascii="Arial" w:cs="Arial" w:eastAsia="Arial" w:hAnsi="Arial"/>
                <w:sz w:val="16"/>
                <w:szCs w:val="16"/>
                <w:color w:val="auto"/>
              </w:rPr>
              <w:t>$25.00</w:t>
            </w:r>
          </w:p>
        </w:tc>
        <w:tc>
          <w:tcPr>
            <w:tcW w:w="980" w:type="dxa"/>
            <w:vAlign w:val="bottom"/>
            <w:shd w:val="clear" w:color="auto" w:fill="F2F2F2"/>
          </w:tcPr>
          <w:p>
            <w:pPr>
              <w:jc w:val="center"/>
              <w:ind w:right="80"/>
              <w:spacing w:after="0"/>
              <w:rPr>
                <w:sz w:val="20"/>
                <w:szCs w:val="20"/>
                <w:color w:val="auto"/>
              </w:rPr>
            </w:pPr>
            <w:r>
              <w:rPr>
                <w:rFonts w:ascii="Arial" w:cs="Arial" w:eastAsia="Arial" w:hAnsi="Arial"/>
                <w:sz w:val="16"/>
                <w:szCs w:val="16"/>
                <w:color w:val="auto"/>
              </w:rPr>
              <w:t>150%</w:t>
            </w:r>
          </w:p>
        </w:tc>
        <w:tc>
          <w:tcPr>
            <w:tcW w:w="2160" w:type="dxa"/>
            <w:vAlign w:val="bottom"/>
            <w:shd w:val="clear" w:color="auto" w:fill="F2F2F2"/>
          </w:tcPr>
          <w:p>
            <w:pPr>
              <w:jc w:val="center"/>
              <w:ind w:right="61"/>
              <w:spacing w:after="0"/>
              <w:rPr>
                <w:sz w:val="20"/>
                <w:szCs w:val="20"/>
                <w:color w:val="auto"/>
              </w:rPr>
            </w:pPr>
            <w:r>
              <w:rPr>
                <w:rFonts w:ascii="Arial" w:cs="Arial" w:eastAsia="Arial" w:hAnsi="Arial"/>
                <w:sz w:val="16"/>
                <w:szCs w:val="16"/>
                <w:color w:val="auto"/>
              </w:rPr>
              <w:t>$25.00</w:t>
            </w:r>
          </w:p>
        </w:tc>
        <w:tc>
          <w:tcPr>
            <w:tcW w:w="1020" w:type="dxa"/>
            <w:vAlign w:val="bottom"/>
            <w:shd w:val="clear" w:color="auto" w:fill="F2F2F2"/>
          </w:tcPr>
          <w:p>
            <w:pPr>
              <w:jc w:val="center"/>
              <w:ind w:right="60"/>
              <w:spacing w:after="0"/>
              <w:rPr>
                <w:sz w:val="20"/>
                <w:szCs w:val="20"/>
                <w:color w:val="auto"/>
              </w:rPr>
            </w:pPr>
            <w:r>
              <w:rPr>
                <w:rFonts w:ascii="Arial" w:cs="Arial" w:eastAsia="Arial" w:hAnsi="Arial"/>
                <w:sz w:val="16"/>
                <w:szCs w:val="16"/>
                <w:color w:val="auto"/>
                <w:w w:val="97"/>
              </w:rPr>
              <w:t>150%</w:t>
            </w:r>
          </w:p>
        </w:tc>
      </w:tr>
      <w:tr>
        <w:trPr>
          <w:trHeight w:val="83"/>
        </w:trPr>
        <w:tc>
          <w:tcPr>
            <w:tcW w:w="216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c>
          <w:tcPr>
            <w:tcW w:w="2220" w:type="dxa"/>
            <w:vAlign w:val="bottom"/>
            <w:shd w:val="clear" w:color="auto" w:fill="F2F2F2"/>
          </w:tcPr>
          <w:p>
            <w:pPr>
              <w:spacing w:after="0"/>
              <w:rPr>
                <w:sz w:val="7"/>
                <w:szCs w:val="7"/>
                <w:color w:val="auto"/>
              </w:rPr>
            </w:pPr>
          </w:p>
        </w:tc>
        <w:tc>
          <w:tcPr>
            <w:tcW w:w="980" w:type="dxa"/>
            <w:vAlign w:val="bottom"/>
            <w:shd w:val="clear" w:color="auto" w:fill="F2F2F2"/>
          </w:tcPr>
          <w:p>
            <w:pPr>
              <w:spacing w:after="0"/>
              <w:rPr>
                <w:sz w:val="7"/>
                <w:szCs w:val="7"/>
                <w:color w:val="auto"/>
              </w:rPr>
            </w:pPr>
          </w:p>
        </w:tc>
        <w:tc>
          <w:tcPr>
            <w:tcW w:w="216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r>
      <w:tr>
        <w:trPr>
          <w:trHeight w:val="295"/>
        </w:trPr>
        <w:tc>
          <w:tcPr>
            <w:tcW w:w="2160" w:type="dxa"/>
            <w:vAlign w:val="bottom"/>
          </w:tcPr>
          <w:p>
            <w:pPr>
              <w:jc w:val="center"/>
              <w:ind w:right="61"/>
              <w:spacing w:after="0"/>
              <w:rPr>
                <w:sz w:val="20"/>
                <w:szCs w:val="20"/>
                <w:color w:val="auto"/>
              </w:rPr>
            </w:pPr>
            <w:r>
              <w:rPr>
                <w:rFonts w:ascii="Arial" w:cs="Arial" w:eastAsia="Arial" w:hAnsi="Arial"/>
                <w:sz w:val="16"/>
                <w:szCs w:val="16"/>
                <w:color w:val="auto"/>
              </w:rPr>
              <w:t>$30.00</w:t>
            </w:r>
          </w:p>
        </w:tc>
        <w:tc>
          <w:tcPr>
            <w:tcW w:w="1020" w:type="dxa"/>
            <w:vAlign w:val="bottom"/>
          </w:tcPr>
          <w:p>
            <w:pPr>
              <w:jc w:val="center"/>
              <w:spacing w:after="0"/>
              <w:rPr>
                <w:sz w:val="20"/>
                <w:szCs w:val="20"/>
                <w:color w:val="auto"/>
              </w:rPr>
            </w:pPr>
            <w:r>
              <w:rPr>
                <w:rFonts w:ascii="Arial" w:cs="Arial" w:eastAsia="Arial" w:hAnsi="Arial"/>
                <w:sz w:val="16"/>
                <w:szCs w:val="16"/>
                <w:color w:val="auto"/>
              </w:rPr>
              <w:t>200%</w:t>
            </w:r>
          </w:p>
        </w:tc>
        <w:tc>
          <w:tcPr>
            <w:tcW w:w="2220" w:type="dxa"/>
            <w:vAlign w:val="bottom"/>
          </w:tcPr>
          <w:p>
            <w:pPr>
              <w:jc w:val="center"/>
              <w:ind w:right="41"/>
              <w:spacing w:after="0"/>
              <w:rPr>
                <w:sz w:val="20"/>
                <w:szCs w:val="20"/>
                <w:color w:val="auto"/>
              </w:rPr>
            </w:pPr>
            <w:r>
              <w:rPr>
                <w:rFonts w:ascii="Arial" w:cs="Arial" w:eastAsia="Arial" w:hAnsi="Arial"/>
                <w:sz w:val="16"/>
                <w:szCs w:val="16"/>
                <w:color w:val="auto"/>
              </w:rPr>
              <w:t>$30.00</w:t>
            </w:r>
          </w:p>
        </w:tc>
        <w:tc>
          <w:tcPr>
            <w:tcW w:w="980" w:type="dxa"/>
            <w:vAlign w:val="bottom"/>
          </w:tcPr>
          <w:p>
            <w:pPr>
              <w:jc w:val="center"/>
              <w:ind w:right="80"/>
              <w:spacing w:after="0"/>
              <w:rPr>
                <w:sz w:val="20"/>
                <w:szCs w:val="20"/>
                <w:color w:val="auto"/>
              </w:rPr>
            </w:pPr>
            <w:r>
              <w:rPr>
                <w:rFonts w:ascii="Arial" w:cs="Arial" w:eastAsia="Arial" w:hAnsi="Arial"/>
                <w:sz w:val="16"/>
                <w:szCs w:val="16"/>
                <w:color w:val="auto"/>
              </w:rPr>
              <w:t>200%</w:t>
            </w:r>
          </w:p>
        </w:tc>
        <w:tc>
          <w:tcPr>
            <w:tcW w:w="2160" w:type="dxa"/>
            <w:vAlign w:val="bottom"/>
          </w:tcPr>
          <w:p>
            <w:pPr>
              <w:jc w:val="center"/>
              <w:ind w:right="61"/>
              <w:spacing w:after="0"/>
              <w:rPr>
                <w:sz w:val="20"/>
                <w:szCs w:val="20"/>
                <w:color w:val="auto"/>
              </w:rPr>
            </w:pPr>
            <w:r>
              <w:rPr>
                <w:rFonts w:ascii="Arial" w:cs="Arial" w:eastAsia="Arial" w:hAnsi="Arial"/>
                <w:sz w:val="16"/>
                <w:szCs w:val="16"/>
                <w:color w:val="auto"/>
              </w:rPr>
              <w:t>$30.00</w:t>
            </w:r>
          </w:p>
        </w:tc>
        <w:tc>
          <w:tcPr>
            <w:tcW w:w="1020" w:type="dxa"/>
            <w:vAlign w:val="bottom"/>
          </w:tcPr>
          <w:p>
            <w:pPr>
              <w:jc w:val="center"/>
              <w:ind w:right="60"/>
              <w:spacing w:after="0"/>
              <w:rPr>
                <w:sz w:val="20"/>
                <w:szCs w:val="20"/>
                <w:color w:val="auto"/>
              </w:rPr>
            </w:pPr>
            <w:r>
              <w:rPr>
                <w:rFonts w:ascii="Arial" w:cs="Arial" w:eastAsia="Arial" w:hAnsi="Arial"/>
                <w:sz w:val="16"/>
                <w:szCs w:val="16"/>
                <w:color w:val="auto"/>
                <w:w w:val="97"/>
              </w:rPr>
              <w:t>200%</w:t>
            </w:r>
          </w:p>
        </w:tc>
      </w:tr>
      <w:tr>
        <w:trPr>
          <w:trHeight w:val="83"/>
        </w:trPr>
        <w:tc>
          <w:tcPr>
            <w:tcW w:w="2160" w:type="dxa"/>
            <w:vAlign w:val="bottom"/>
          </w:tcPr>
          <w:p>
            <w:pPr>
              <w:spacing w:after="0"/>
              <w:rPr>
                <w:sz w:val="7"/>
                <w:szCs w:val="7"/>
                <w:color w:val="auto"/>
              </w:rPr>
            </w:pPr>
          </w:p>
        </w:tc>
        <w:tc>
          <w:tcPr>
            <w:tcW w:w="1020" w:type="dxa"/>
            <w:vAlign w:val="bottom"/>
          </w:tcPr>
          <w:p>
            <w:pPr>
              <w:spacing w:after="0"/>
              <w:rPr>
                <w:sz w:val="7"/>
                <w:szCs w:val="7"/>
                <w:color w:val="auto"/>
              </w:rPr>
            </w:pPr>
          </w:p>
        </w:tc>
        <w:tc>
          <w:tcPr>
            <w:tcW w:w="2220" w:type="dxa"/>
            <w:vAlign w:val="bottom"/>
          </w:tcPr>
          <w:p>
            <w:pPr>
              <w:spacing w:after="0"/>
              <w:rPr>
                <w:sz w:val="7"/>
                <w:szCs w:val="7"/>
                <w:color w:val="auto"/>
              </w:rPr>
            </w:pPr>
          </w:p>
        </w:tc>
        <w:tc>
          <w:tcPr>
            <w:tcW w:w="980" w:type="dxa"/>
            <w:vAlign w:val="bottom"/>
          </w:tcPr>
          <w:p>
            <w:pPr>
              <w:spacing w:after="0"/>
              <w:rPr>
                <w:sz w:val="7"/>
                <w:szCs w:val="7"/>
                <w:color w:val="auto"/>
              </w:rPr>
            </w:pPr>
          </w:p>
        </w:tc>
        <w:tc>
          <w:tcPr>
            <w:tcW w:w="2160" w:type="dxa"/>
            <w:vAlign w:val="bottom"/>
          </w:tcPr>
          <w:p>
            <w:pPr>
              <w:spacing w:after="0"/>
              <w:rPr>
                <w:sz w:val="7"/>
                <w:szCs w:val="7"/>
                <w:color w:val="auto"/>
              </w:rPr>
            </w:pPr>
          </w:p>
        </w:tc>
        <w:tc>
          <w:tcPr>
            <w:tcW w:w="1020" w:type="dxa"/>
            <w:vAlign w:val="bottom"/>
          </w:tcPr>
          <w:p>
            <w:pPr>
              <w:spacing w:after="0"/>
              <w:rPr>
                <w:sz w:val="7"/>
                <w:szCs w:val="7"/>
                <w:color w:val="auto"/>
              </w:rPr>
            </w:pPr>
          </w:p>
        </w:tc>
      </w:tr>
      <w:tr>
        <w:trPr>
          <w:trHeight w:val="295"/>
        </w:trPr>
        <w:tc>
          <w:tcPr>
            <w:tcW w:w="2160" w:type="dxa"/>
            <w:vAlign w:val="bottom"/>
            <w:shd w:val="clear" w:color="auto" w:fill="F2F2F2"/>
          </w:tcPr>
          <w:p>
            <w:pPr>
              <w:jc w:val="center"/>
              <w:ind w:right="61"/>
              <w:spacing w:after="0"/>
              <w:rPr>
                <w:sz w:val="20"/>
                <w:szCs w:val="20"/>
                <w:color w:val="auto"/>
              </w:rPr>
            </w:pPr>
            <w:r>
              <w:rPr>
                <w:rFonts w:ascii="Arial" w:cs="Arial" w:eastAsia="Arial" w:hAnsi="Arial"/>
                <w:sz w:val="16"/>
                <w:szCs w:val="16"/>
                <w:color w:val="auto"/>
              </w:rPr>
              <w:t>$35.00</w:t>
            </w:r>
          </w:p>
        </w:tc>
        <w:tc>
          <w:tcPr>
            <w:tcW w:w="10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250%</w:t>
            </w:r>
          </w:p>
        </w:tc>
        <w:tc>
          <w:tcPr>
            <w:tcW w:w="2220" w:type="dxa"/>
            <w:vAlign w:val="bottom"/>
            <w:shd w:val="clear" w:color="auto" w:fill="F2F2F2"/>
          </w:tcPr>
          <w:p>
            <w:pPr>
              <w:jc w:val="center"/>
              <w:ind w:right="41"/>
              <w:spacing w:after="0"/>
              <w:rPr>
                <w:sz w:val="20"/>
                <w:szCs w:val="20"/>
                <w:color w:val="auto"/>
              </w:rPr>
            </w:pPr>
            <w:r>
              <w:rPr>
                <w:rFonts w:ascii="Arial" w:cs="Arial" w:eastAsia="Arial" w:hAnsi="Arial"/>
                <w:sz w:val="16"/>
                <w:szCs w:val="16"/>
                <w:color w:val="auto"/>
              </w:rPr>
              <w:t>$35.00</w:t>
            </w:r>
          </w:p>
        </w:tc>
        <w:tc>
          <w:tcPr>
            <w:tcW w:w="980" w:type="dxa"/>
            <w:vAlign w:val="bottom"/>
            <w:shd w:val="clear" w:color="auto" w:fill="F2F2F2"/>
          </w:tcPr>
          <w:p>
            <w:pPr>
              <w:jc w:val="center"/>
              <w:ind w:right="80"/>
              <w:spacing w:after="0"/>
              <w:rPr>
                <w:sz w:val="20"/>
                <w:szCs w:val="20"/>
                <w:color w:val="auto"/>
              </w:rPr>
            </w:pPr>
            <w:r>
              <w:rPr>
                <w:rFonts w:ascii="Arial" w:cs="Arial" w:eastAsia="Arial" w:hAnsi="Arial"/>
                <w:sz w:val="16"/>
                <w:szCs w:val="16"/>
                <w:color w:val="auto"/>
              </w:rPr>
              <w:t>250%</w:t>
            </w:r>
          </w:p>
        </w:tc>
        <w:tc>
          <w:tcPr>
            <w:tcW w:w="2160" w:type="dxa"/>
            <w:vAlign w:val="bottom"/>
            <w:shd w:val="clear" w:color="auto" w:fill="F2F2F2"/>
          </w:tcPr>
          <w:p>
            <w:pPr>
              <w:jc w:val="center"/>
              <w:ind w:right="61"/>
              <w:spacing w:after="0"/>
              <w:rPr>
                <w:sz w:val="20"/>
                <w:szCs w:val="20"/>
                <w:color w:val="auto"/>
              </w:rPr>
            </w:pPr>
            <w:r>
              <w:rPr>
                <w:rFonts w:ascii="Arial" w:cs="Arial" w:eastAsia="Arial" w:hAnsi="Arial"/>
                <w:sz w:val="16"/>
                <w:szCs w:val="16"/>
                <w:color w:val="auto"/>
              </w:rPr>
              <w:t>$35.00</w:t>
            </w:r>
          </w:p>
        </w:tc>
        <w:tc>
          <w:tcPr>
            <w:tcW w:w="1020" w:type="dxa"/>
            <w:vAlign w:val="bottom"/>
            <w:shd w:val="clear" w:color="auto" w:fill="F2F2F2"/>
          </w:tcPr>
          <w:p>
            <w:pPr>
              <w:jc w:val="center"/>
              <w:ind w:right="60"/>
              <w:spacing w:after="0"/>
              <w:rPr>
                <w:sz w:val="20"/>
                <w:szCs w:val="20"/>
                <w:color w:val="auto"/>
              </w:rPr>
            </w:pPr>
            <w:r>
              <w:rPr>
                <w:rFonts w:ascii="Arial" w:cs="Arial" w:eastAsia="Arial" w:hAnsi="Arial"/>
                <w:sz w:val="16"/>
                <w:szCs w:val="16"/>
                <w:color w:val="auto"/>
                <w:w w:val="97"/>
              </w:rPr>
              <w:t>250%</w:t>
            </w:r>
          </w:p>
        </w:tc>
      </w:tr>
      <w:tr>
        <w:trPr>
          <w:trHeight w:val="83"/>
        </w:trPr>
        <w:tc>
          <w:tcPr>
            <w:tcW w:w="216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c>
          <w:tcPr>
            <w:tcW w:w="2220" w:type="dxa"/>
            <w:vAlign w:val="bottom"/>
            <w:shd w:val="clear" w:color="auto" w:fill="F2F2F2"/>
          </w:tcPr>
          <w:p>
            <w:pPr>
              <w:spacing w:after="0"/>
              <w:rPr>
                <w:sz w:val="7"/>
                <w:szCs w:val="7"/>
                <w:color w:val="auto"/>
              </w:rPr>
            </w:pPr>
          </w:p>
        </w:tc>
        <w:tc>
          <w:tcPr>
            <w:tcW w:w="980" w:type="dxa"/>
            <w:vAlign w:val="bottom"/>
            <w:shd w:val="clear" w:color="auto" w:fill="F2F2F2"/>
          </w:tcPr>
          <w:p>
            <w:pPr>
              <w:spacing w:after="0"/>
              <w:rPr>
                <w:sz w:val="7"/>
                <w:szCs w:val="7"/>
                <w:color w:val="auto"/>
              </w:rPr>
            </w:pPr>
          </w:p>
        </w:tc>
        <w:tc>
          <w:tcPr>
            <w:tcW w:w="216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r>
      <w:tr>
        <w:trPr>
          <w:trHeight w:val="295"/>
        </w:trPr>
        <w:tc>
          <w:tcPr>
            <w:tcW w:w="2160" w:type="dxa"/>
            <w:vAlign w:val="bottom"/>
          </w:tcPr>
          <w:p>
            <w:pPr>
              <w:jc w:val="center"/>
              <w:ind w:right="61"/>
              <w:spacing w:after="0"/>
              <w:rPr>
                <w:sz w:val="20"/>
                <w:szCs w:val="20"/>
                <w:color w:val="auto"/>
              </w:rPr>
            </w:pPr>
            <w:r>
              <w:rPr>
                <w:rFonts w:ascii="Arial" w:cs="Arial" w:eastAsia="Arial" w:hAnsi="Arial"/>
                <w:sz w:val="16"/>
                <w:szCs w:val="16"/>
                <w:color w:val="auto"/>
              </w:rPr>
              <w:t>$40.00</w:t>
            </w:r>
          </w:p>
        </w:tc>
        <w:tc>
          <w:tcPr>
            <w:tcW w:w="1020" w:type="dxa"/>
            <w:vAlign w:val="bottom"/>
          </w:tcPr>
          <w:p>
            <w:pPr>
              <w:jc w:val="center"/>
              <w:spacing w:after="0"/>
              <w:rPr>
                <w:sz w:val="20"/>
                <w:szCs w:val="20"/>
                <w:color w:val="auto"/>
              </w:rPr>
            </w:pPr>
            <w:r>
              <w:rPr>
                <w:rFonts w:ascii="Arial" w:cs="Arial" w:eastAsia="Arial" w:hAnsi="Arial"/>
                <w:sz w:val="16"/>
                <w:szCs w:val="16"/>
                <w:color w:val="auto"/>
              </w:rPr>
              <w:t>300%</w:t>
            </w:r>
          </w:p>
        </w:tc>
        <w:tc>
          <w:tcPr>
            <w:tcW w:w="2220" w:type="dxa"/>
            <w:vAlign w:val="bottom"/>
          </w:tcPr>
          <w:p>
            <w:pPr>
              <w:jc w:val="center"/>
              <w:ind w:right="41"/>
              <w:spacing w:after="0"/>
              <w:rPr>
                <w:sz w:val="20"/>
                <w:szCs w:val="20"/>
                <w:color w:val="auto"/>
              </w:rPr>
            </w:pPr>
            <w:r>
              <w:rPr>
                <w:rFonts w:ascii="Arial" w:cs="Arial" w:eastAsia="Arial" w:hAnsi="Arial"/>
                <w:sz w:val="16"/>
                <w:szCs w:val="16"/>
                <w:color w:val="auto"/>
              </w:rPr>
              <w:t>$40.00</w:t>
            </w:r>
          </w:p>
        </w:tc>
        <w:tc>
          <w:tcPr>
            <w:tcW w:w="980" w:type="dxa"/>
            <w:vAlign w:val="bottom"/>
          </w:tcPr>
          <w:p>
            <w:pPr>
              <w:jc w:val="center"/>
              <w:ind w:right="80"/>
              <w:spacing w:after="0"/>
              <w:rPr>
                <w:sz w:val="20"/>
                <w:szCs w:val="20"/>
                <w:color w:val="auto"/>
              </w:rPr>
            </w:pPr>
            <w:r>
              <w:rPr>
                <w:rFonts w:ascii="Arial" w:cs="Arial" w:eastAsia="Arial" w:hAnsi="Arial"/>
                <w:sz w:val="16"/>
                <w:szCs w:val="16"/>
                <w:color w:val="auto"/>
              </w:rPr>
              <w:t>300%</w:t>
            </w:r>
          </w:p>
        </w:tc>
        <w:tc>
          <w:tcPr>
            <w:tcW w:w="2160" w:type="dxa"/>
            <w:vAlign w:val="bottom"/>
          </w:tcPr>
          <w:p>
            <w:pPr>
              <w:jc w:val="center"/>
              <w:ind w:right="61"/>
              <w:spacing w:after="0"/>
              <w:rPr>
                <w:sz w:val="20"/>
                <w:szCs w:val="20"/>
                <w:color w:val="auto"/>
              </w:rPr>
            </w:pPr>
            <w:r>
              <w:rPr>
                <w:rFonts w:ascii="Arial" w:cs="Arial" w:eastAsia="Arial" w:hAnsi="Arial"/>
                <w:sz w:val="16"/>
                <w:szCs w:val="16"/>
                <w:color w:val="auto"/>
              </w:rPr>
              <w:t>$40.00</w:t>
            </w:r>
          </w:p>
        </w:tc>
        <w:tc>
          <w:tcPr>
            <w:tcW w:w="1020" w:type="dxa"/>
            <w:vAlign w:val="bottom"/>
          </w:tcPr>
          <w:p>
            <w:pPr>
              <w:jc w:val="center"/>
              <w:ind w:right="60"/>
              <w:spacing w:after="0"/>
              <w:rPr>
                <w:sz w:val="20"/>
                <w:szCs w:val="20"/>
                <w:color w:val="auto"/>
              </w:rPr>
            </w:pPr>
            <w:r>
              <w:rPr>
                <w:rFonts w:ascii="Arial" w:cs="Arial" w:eastAsia="Arial" w:hAnsi="Arial"/>
                <w:sz w:val="16"/>
                <w:szCs w:val="16"/>
                <w:color w:val="auto"/>
                <w:w w:val="97"/>
              </w:rPr>
              <w:t>300%</w:t>
            </w:r>
          </w:p>
        </w:tc>
      </w:tr>
    </w:tbl>
    <w:p>
      <w:pPr>
        <w:spacing w:after="0" w:line="200" w:lineRule="exact"/>
        <w:rPr>
          <w:sz w:val="20"/>
          <w:szCs w:val="20"/>
          <w:color w:val="auto"/>
        </w:rPr>
      </w:pPr>
    </w:p>
    <w:p>
      <w:pPr>
        <w:sectPr>
          <w:pgSz w:w="11900" w:h="16838" w:orient="portrait"/>
          <w:cols w:equalWidth="0" w:num="1">
            <w:col w:w="9580"/>
          </w:cols>
          <w:pgMar w:left="1160" w:top="263" w:right="1159" w:bottom="1440" w:gutter="0" w:footer="0" w:header="0"/>
        </w:sectPr>
      </w:pPr>
    </w:p>
    <w:p>
      <w:pPr>
        <w:spacing w:after="0" w:line="76" w:lineRule="exact"/>
        <w:rPr>
          <w:sz w:val="20"/>
          <w:szCs w:val="20"/>
          <w:color w:val="auto"/>
        </w:rPr>
      </w:pPr>
    </w:p>
    <w:p>
      <w:pPr>
        <w:ind w:left="3660"/>
        <w:spacing w:after="0"/>
        <w:tabs>
          <w:tab w:leader="none" w:pos="9400" w:val="left"/>
        </w:tabs>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r>
        <w:rPr>
          <w:sz w:val="20"/>
          <w:szCs w:val="20"/>
          <w:color w:val="auto"/>
        </w:rPr>
        <w:tab/>
      </w:r>
      <w:r>
        <w:rPr>
          <w:rFonts w:ascii="Arial" w:cs="Arial" w:eastAsia="Arial" w:hAnsi="Arial"/>
          <w:sz w:val="14"/>
          <w:szCs w:val="14"/>
          <w:b w:val="1"/>
          <w:bCs w:val="1"/>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-459105</wp:posOffset>
            </wp:positionH>
            <wp:positionV relativeFrom="paragraph">
              <wp:posOffset>118110</wp:posOffset>
            </wp:positionV>
            <wp:extent cx="6995160" cy="171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80"/>
          </w:cols>
          <w:pgMar w:left="1160" w:top="263" w:right="1159" w:bottom="1440" w:gutter="0" w:footer="0" w:header="0"/>
          <w:type w:val="continuous"/>
        </w:sectPr>
      </w:pPr>
    </w:p>
    <w:bookmarkStart w:id="45" w:name="page46"/>
    <w:bookmarkEnd w:id="45"/>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4" w:right="40"/>
        <w:spacing w:after="0" w:line="286" w:lineRule="auto"/>
        <w:rPr>
          <w:sz w:val="20"/>
          <w:szCs w:val="20"/>
          <w:color w:val="auto"/>
        </w:rPr>
      </w:pPr>
      <w:r>
        <w:rPr>
          <w:rFonts w:ascii="Arial" w:cs="Arial" w:eastAsia="Arial" w:hAnsi="Arial"/>
          <w:sz w:val="16"/>
          <w:szCs w:val="16"/>
          <w:color w:val="auto"/>
        </w:rPr>
        <w:t>Mr. Young will generally forfeit any shares subject to a tranche that do not become eligible to vest as of immediately following the end of the measurement period for that tranche.</w:t>
      </w:r>
    </w:p>
    <w:p>
      <w:pPr>
        <w:spacing w:after="0" w:line="102" w:lineRule="exact"/>
        <w:rPr>
          <w:sz w:val="20"/>
          <w:szCs w:val="20"/>
          <w:color w:val="auto"/>
        </w:rPr>
      </w:pPr>
    </w:p>
    <w:p>
      <w:pPr>
        <w:ind w:left="4" w:right="420"/>
        <w:spacing w:after="0" w:line="286" w:lineRule="auto"/>
        <w:rPr>
          <w:sz w:val="20"/>
          <w:szCs w:val="20"/>
          <w:color w:val="auto"/>
        </w:rPr>
      </w:pPr>
      <w:r>
        <w:rPr>
          <w:rFonts w:ascii="Arial" w:cs="Arial" w:eastAsia="Arial" w:hAnsi="Arial"/>
          <w:sz w:val="16"/>
          <w:szCs w:val="16"/>
          <w:color w:val="auto"/>
        </w:rPr>
        <w:t>Any shares subject to the performance-based RSA that become eligible to vest will vest on February 15 following the end of the applicable measurement period, subject to Mr. Young’s continued service with us through that date.</w:t>
      </w:r>
    </w:p>
    <w:p>
      <w:pPr>
        <w:spacing w:after="0" w:line="102" w:lineRule="exact"/>
        <w:rPr>
          <w:sz w:val="20"/>
          <w:szCs w:val="20"/>
          <w:color w:val="auto"/>
        </w:rPr>
      </w:pPr>
    </w:p>
    <w:p>
      <w:pPr>
        <w:ind w:left="4" w:right="340"/>
        <w:spacing w:after="0" w:line="266" w:lineRule="auto"/>
        <w:rPr>
          <w:sz w:val="20"/>
          <w:szCs w:val="20"/>
          <w:color w:val="auto"/>
        </w:rPr>
      </w:pPr>
      <w:r>
        <w:rPr>
          <w:rFonts w:ascii="Arial" w:cs="Arial" w:eastAsia="Arial" w:hAnsi="Arial"/>
          <w:sz w:val="16"/>
          <w:szCs w:val="16"/>
          <w:color w:val="auto"/>
        </w:rPr>
        <w:t>In addition, the shares subject to the performance-based RSA may vest in connection with certain terminations of Mr. Young’s employment and/or a “change in control” (as defined in our 2018 Equity Incentive Plan), as described further below in the section titled “</w:t>
      </w:r>
      <w:r>
        <w:rPr>
          <w:rFonts w:ascii="Arial" w:cs="Arial" w:eastAsia="Arial" w:hAnsi="Arial"/>
          <w:sz w:val="16"/>
          <w:szCs w:val="16"/>
          <w:i w:val="1"/>
          <w:iCs w:val="1"/>
          <w:color w:val="auto"/>
        </w:rPr>
        <w:t>Potential Payments on Termination or Change in Control.</w:t>
      </w:r>
      <w:r>
        <w:rPr>
          <w:rFonts w:ascii="Arial" w:cs="Arial" w:eastAsia="Arial" w:hAnsi="Arial"/>
          <w:sz w:val="16"/>
          <w:szCs w:val="16"/>
          <w:color w:val="auto"/>
        </w:rPr>
        <w:t>”</w:t>
      </w:r>
    </w:p>
    <w:p>
      <w:pPr>
        <w:spacing w:after="0" w:line="171"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Welfare and Health Benefits</w:t>
      </w:r>
    </w:p>
    <w:p>
      <w:pPr>
        <w:spacing w:after="0" w:line="39" w:lineRule="exact"/>
        <w:rPr>
          <w:sz w:val="20"/>
          <w:szCs w:val="20"/>
          <w:color w:val="auto"/>
        </w:rPr>
      </w:pPr>
    </w:p>
    <w:p>
      <w:pPr>
        <w:ind w:left="4" w:right="100"/>
        <w:spacing w:after="0" w:line="262" w:lineRule="auto"/>
        <w:rPr>
          <w:sz w:val="20"/>
          <w:szCs w:val="20"/>
          <w:color w:val="auto"/>
        </w:rPr>
      </w:pPr>
      <w:r>
        <w:rPr>
          <w:rFonts w:ascii="Arial" w:cs="Arial" w:eastAsia="Arial" w:hAnsi="Arial"/>
          <w:sz w:val="16"/>
          <w:szCs w:val="16"/>
          <w:color w:val="auto"/>
        </w:rPr>
        <w:t>We have established a tax-qualified Section 401(k) retirement savings plan for our executive officers, including our named executive officers, and other employees who satisfy certain eligibility requirements. Currently, we match contributions made by participants in the plan as follows: dollar for dollar up to a maximum of $6,000 per calendar year.</w:t>
      </w:r>
    </w:p>
    <w:p>
      <w:pPr>
        <w:spacing w:after="0" w:line="120" w:lineRule="exact"/>
        <w:rPr>
          <w:sz w:val="20"/>
          <w:szCs w:val="20"/>
          <w:color w:val="auto"/>
        </w:rPr>
      </w:pPr>
    </w:p>
    <w:p>
      <w:pPr>
        <w:ind w:left="4"/>
        <w:spacing w:after="0" w:line="286" w:lineRule="auto"/>
        <w:rPr>
          <w:sz w:val="20"/>
          <w:szCs w:val="20"/>
          <w:color w:val="auto"/>
        </w:rPr>
      </w:pPr>
      <w:r>
        <w:rPr>
          <w:rFonts w:ascii="Arial" w:cs="Arial" w:eastAsia="Arial" w:hAnsi="Arial"/>
          <w:sz w:val="16"/>
          <w:szCs w:val="16"/>
          <w:color w:val="auto"/>
        </w:rPr>
        <w:t>We intend for the plan to qualify under Section 401(a) of the Internal Revenue Code (the “Code”), so that contributions by participants to the plan, and income earned on plan contributions, are not taxable to participants until withdrawn from the plan.</w:t>
      </w:r>
    </w:p>
    <w:p>
      <w:pPr>
        <w:spacing w:after="0" w:line="102" w:lineRule="exact"/>
        <w:rPr>
          <w:sz w:val="20"/>
          <w:szCs w:val="20"/>
          <w:color w:val="auto"/>
        </w:rPr>
      </w:pPr>
    </w:p>
    <w:p>
      <w:pPr>
        <w:ind w:left="4" w:right="280"/>
        <w:spacing w:after="0" w:line="259" w:lineRule="auto"/>
        <w:rPr>
          <w:sz w:val="20"/>
          <w:szCs w:val="20"/>
          <w:color w:val="auto"/>
        </w:rPr>
      </w:pPr>
      <w:r>
        <w:rPr>
          <w:rFonts w:ascii="Arial" w:cs="Arial" w:eastAsia="Arial" w:hAnsi="Arial"/>
          <w:sz w:val="16"/>
          <w:szCs w:val="16"/>
          <w:color w:val="auto"/>
        </w:rPr>
        <w:t>Additional benefits received by our executive officers include medical, dental, and vision insurance, fertility benefits, an employee assistance program, commuter and wellness reimbursement programs, health and dependent care flexible spending accounts, a commuter benefit program, health savings accounts, basic and voluntary life and accidental death and dismemberment insurance and disability insurance. All of these benefits are provided to our executive officers on the same basis as to all of our employees.</w:t>
      </w:r>
    </w:p>
    <w:p>
      <w:pPr>
        <w:spacing w:after="0" w:line="124" w:lineRule="exact"/>
        <w:rPr>
          <w:sz w:val="20"/>
          <w:szCs w:val="20"/>
          <w:color w:val="auto"/>
        </w:rPr>
      </w:pPr>
    </w:p>
    <w:p>
      <w:pPr>
        <w:ind w:left="4" w:right="100"/>
        <w:spacing w:after="0" w:line="254" w:lineRule="auto"/>
        <w:rPr>
          <w:sz w:val="20"/>
          <w:szCs w:val="20"/>
          <w:color w:val="auto"/>
        </w:rPr>
      </w:pPr>
      <w:r>
        <w:rPr>
          <w:rFonts w:ascii="Arial" w:cs="Arial" w:eastAsia="Arial" w:hAnsi="Arial"/>
          <w:sz w:val="16"/>
          <w:szCs w:val="16"/>
          <w:color w:val="auto"/>
        </w:rPr>
        <w:t>We design our employee benefits programs to be affordable and competitive in relation to the market, as well as compliant with applicable laws and practices. We adjust our employee benefits programs as needed, based upon regular monitoring of applicable laws and practices, changes to the working arrangements of our employees and the competitive market. For example, in connection with our shift to a Virtual First work model, we replaced a number of our reimbursement and allowance programs with a single allowance program that gives our employees more flexibility to be reimbursed for a wide range of wellness, dependent care, productivity and learning and development expenses.</w:t>
      </w:r>
    </w:p>
    <w:p>
      <w:pPr>
        <w:spacing w:after="0" w:line="182"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Perquisites and Other Personal Benefits</w:t>
      </w:r>
    </w:p>
    <w:p>
      <w:pPr>
        <w:spacing w:after="0" w:line="46" w:lineRule="exact"/>
        <w:rPr>
          <w:sz w:val="20"/>
          <w:szCs w:val="20"/>
          <w:color w:val="auto"/>
        </w:rPr>
      </w:pPr>
    </w:p>
    <w:p>
      <w:pPr>
        <w:ind w:left="4"/>
        <w:spacing w:after="0" w:line="259" w:lineRule="auto"/>
        <w:rPr>
          <w:sz w:val="20"/>
          <w:szCs w:val="20"/>
          <w:color w:val="auto"/>
        </w:rPr>
      </w:pPr>
      <w:r>
        <w:rPr>
          <w:rFonts w:ascii="Arial" w:cs="Arial" w:eastAsia="Arial" w:hAnsi="Arial"/>
          <w:sz w:val="16"/>
          <w:szCs w:val="16"/>
          <w:color w:val="auto"/>
        </w:rPr>
        <w:t>Currently, we do not view perquisites or other personal benefits as a significant component of our executive compensation program. Accordingly, we do not provide significant perquisites or other personal benefits to our executive officers except as generally made available to our employees, or in situations where we believe it is appropriate to assist an individual in the performance of their duties, to make him or her more efficient and effective, and for recruitment and retention purposes.</w:t>
      </w:r>
    </w:p>
    <w:p>
      <w:pPr>
        <w:spacing w:after="0" w:line="124" w:lineRule="exact"/>
        <w:rPr>
          <w:sz w:val="20"/>
          <w:szCs w:val="20"/>
          <w:color w:val="auto"/>
        </w:rPr>
      </w:pPr>
    </w:p>
    <w:p>
      <w:pPr>
        <w:ind w:left="4" w:right="40"/>
        <w:spacing w:after="0" w:line="253" w:lineRule="auto"/>
        <w:rPr>
          <w:sz w:val="20"/>
          <w:szCs w:val="20"/>
          <w:color w:val="auto"/>
        </w:rPr>
      </w:pPr>
      <w:r>
        <w:rPr>
          <w:rFonts w:ascii="Arial" w:cs="Arial" w:eastAsia="Arial" w:hAnsi="Arial"/>
          <w:sz w:val="16"/>
          <w:szCs w:val="16"/>
          <w:color w:val="auto"/>
        </w:rPr>
        <w:t>In 2021, the compensation committee approved the provision of security measures to Messrs. Houston and Young. We consider the security measures provided to Messrs. Houston and Young to be reasonable and necessary expenses for the benefit of the company and not a personal benefit. However, in accordance with SEC disclosure rules, the aggregate incremental cost of these services is reported in the “Summary Compensation Table.” Mr. Houston participates in a security program with an annual limit of $250,000 per year. The compensation committee periodically reviews the nature and cost of this program in relation to Mr. Houston’s security profile. The cost of the security services for Mr. Houston in 2021 was $19,340.62. Mr. Young received one-time security services in 2021 with a cost of $17,500.</w:t>
      </w:r>
    </w:p>
    <w:p>
      <w:pPr>
        <w:spacing w:after="0" w:line="127" w:lineRule="exact"/>
        <w:rPr>
          <w:sz w:val="20"/>
          <w:szCs w:val="20"/>
          <w:color w:val="auto"/>
        </w:rPr>
      </w:pPr>
    </w:p>
    <w:p>
      <w:pPr>
        <w:ind w:left="4" w:right="480"/>
        <w:spacing w:after="0" w:line="266" w:lineRule="auto"/>
        <w:rPr>
          <w:sz w:val="20"/>
          <w:szCs w:val="20"/>
          <w:color w:val="auto"/>
        </w:rPr>
      </w:pPr>
      <w:r>
        <w:rPr>
          <w:rFonts w:ascii="Arial" w:cs="Arial" w:eastAsia="Arial" w:hAnsi="Arial"/>
          <w:sz w:val="16"/>
          <w:szCs w:val="16"/>
          <w:color w:val="auto"/>
        </w:rPr>
        <w:t>In the future, we may provide perquisites or other personal benefits in limited circumstances, such as those described in the preceding paragraphs. All future practices with respect to perquisites or other personal benefits will be approved and subject to periodic review by the compensation committee.</w:t>
      </w:r>
    </w:p>
    <w:p>
      <w:pPr>
        <w:spacing w:after="0" w:line="153" w:lineRule="exact"/>
        <w:rPr>
          <w:sz w:val="20"/>
          <w:szCs w:val="20"/>
          <w:color w:val="auto"/>
        </w:rPr>
      </w:pPr>
    </w:p>
    <w:p>
      <w:pPr>
        <w:ind w:left="4"/>
        <w:spacing w:after="0"/>
        <w:rPr>
          <w:sz w:val="20"/>
          <w:szCs w:val="20"/>
          <w:color w:val="auto"/>
        </w:rPr>
      </w:pPr>
      <w:r>
        <w:rPr>
          <w:rFonts w:ascii="Arial" w:cs="Arial" w:eastAsia="Arial" w:hAnsi="Arial"/>
          <w:sz w:val="26"/>
          <w:szCs w:val="26"/>
          <w:color w:val="0063A6"/>
        </w:rPr>
        <w:t>Employment Arrangements</w:t>
      </w:r>
    </w:p>
    <w:p>
      <w:pPr>
        <w:spacing w:after="0" w:line="179" w:lineRule="exact"/>
        <w:rPr>
          <w:sz w:val="20"/>
          <w:szCs w:val="20"/>
          <w:color w:val="auto"/>
        </w:rPr>
      </w:pPr>
    </w:p>
    <w:p>
      <w:pPr>
        <w:ind w:left="4" w:right="340"/>
        <w:spacing w:after="0" w:line="286" w:lineRule="auto"/>
        <w:rPr>
          <w:sz w:val="20"/>
          <w:szCs w:val="20"/>
          <w:color w:val="auto"/>
        </w:rPr>
      </w:pPr>
      <w:r>
        <w:rPr>
          <w:rFonts w:ascii="Arial" w:cs="Arial" w:eastAsia="Arial" w:hAnsi="Arial"/>
          <w:sz w:val="16"/>
          <w:szCs w:val="16"/>
          <w:color w:val="auto"/>
        </w:rPr>
        <w:t>We have entered into written employment letters with our chief executive officer and each of our other executive officers. Each of these arrangements was approved on our behalf by the compensation committee or our board of directors.</w:t>
      </w:r>
    </w:p>
    <w:p>
      <w:pPr>
        <w:spacing w:after="0" w:line="102" w:lineRule="exact"/>
        <w:rPr>
          <w:sz w:val="20"/>
          <w:szCs w:val="20"/>
          <w:color w:val="auto"/>
        </w:rPr>
      </w:pPr>
    </w:p>
    <w:p>
      <w:pPr>
        <w:jc w:val="both"/>
        <w:ind w:left="4" w:right="180"/>
        <w:spacing w:after="0" w:line="259" w:lineRule="auto"/>
        <w:rPr>
          <w:sz w:val="20"/>
          <w:szCs w:val="20"/>
          <w:color w:val="auto"/>
        </w:rPr>
      </w:pPr>
      <w:r>
        <w:rPr>
          <w:rFonts w:ascii="Arial" w:cs="Arial" w:eastAsia="Arial" w:hAnsi="Arial"/>
          <w:sz w:val="16"/>
          <w:szCs w:val="16"/>
          <w:color w:val="auto"/>
        </w:rPr>
        <w:t>In filling each of our executive positions, our board of directors or the compensation committee, as applicable, recognized that we would need to develop competitive compensation packages to attract qualified candidates in a dynamic labor market. At the same time, our board of directors and the compensation committee were sensitive to the need to integrate new executive officers into the executive compensation structure, balancing both competitive and internal equity considerations.</w:t>
      </w:r>
    </w:p>
    <w:p>
      <w:pPr>
        <w:spacing w:after="0" w:line="183" w:lineRule="exact"/>
        <w:rPr>
          <w:sz w:val="20"/>
          <w:szCs w:val="20"/>
          <w:color w:val="auto"/>
        </w:rPr>
      </w:pPr>
    </w:p>
    <w:p>
      <w:pPr>
        <w:ind w:left="524" w:hanging="524"/>
        <w:spacing w:after="0"/>
        <w:tabs>
          <w:tab w:leader="none" w:pos="524" w:val="left"/>
        </w:tabs>
        <w:numPr>
          <w:ilvl w:val="0"/>
          <w:numId w:val="68"/>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44"/>
          </w:cols>
          <w:pgMar w:left="1156" w:top="263" w:right="1199" w:bottom="1440" w:gutter="0" w:footer="0" w:header="0"/>
        </w:sectPr>
      </w:pPr>
    </w:p>
    <w:bookmarkStart w:id="46" w:name="page47"/>
    <w:bookmarkEnd w:id="46"/>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720" w:right="800"/>
        <w:spacing w:after="0" w:line="253" w:lineRule="auto"/>
        <w:rPr>
          <w:sz w:val="20"/>
          <w:szCs w:val="20"/>
          <w:color w:val="auto"/>
        </w:rPr>
      </w:pPr>
      <w:r>
        <w:rPr>
          <w:rFonts w:ascii="Arial" w:cs="Arial" w:eastAsia="Arial" w:hAnsi="Arial"/>
          <w:sz w:val="16"/>
          <w:szCs w:val="16"/>
          <w:color w:val="auto"/>
        </w:rPr>
        <w:t>Each of our employment arrangements provides for “at will” employment (meaning that either we or the executive officer may terminate the employment relationship at any time with or without cause) and sets forth the initial compensation arrangements for the executive officer, including an initial base salary, participation in our employee benefit programs, an equity award recommendation, and, in some cases, sign-on bonuses and reimbursement or payment of relocation expenses. These employment arrangements also prohibit the executive officer from engaging directly or indirectly in competition with us during their employment, diverting our customers to a competitor, or disclosing our confidential information or business practices, and recruiting or soliciting any of our employees for a period after their employment.</w:t>
      </w:r>
    </w:p>
    <w:p>
      <w:pPr>
        <w:spacing w:after="0" w:line="127" w:lineRule="exact"/>
        <w:rPr>
          <w:sz w:val="20"/>
          <w:szCs w:val="20"/>
          <w:color w:val="auto"/>
        </w:rPr>
      </w:pPr>
    </w:p>
    <w:p>
      <w:pPr>
        <w:ind w:left="720" w:right="1140"/>
        <w:spacing w:after="0" w:line="286" w:lineRule="auto"/>
        <w:rPr>
          <w:sz w:val="20"/>
          <w:szCs w:val="20"/>
          <w:color w:val="auto"/>
        </w:rPr>
      </w:pPr>
      <w:r>
        <w:rPr>
          <w:rFonts w:ascii="Arial" w:cs="Arial" w:eastAsia="Arial" w:hAnsi="Arial"/>
          <w:sz w:val="16"/>
          <w:szCs w:val="16"/>
          <w:color w:val="auto"/>
        </w:rPr>
        <w:t>Our executive officers are also eligible to enter into change in control and severance agreements with the company. These post-employment compensation terms are discussed in “</w:t>
      </w:r>
      <w:r>
        <w:rPr>
          <w:rFonts w:ascii="Arial" w:cs="Arial" w:eastAsia="Arial" w:hAnsi="Arial"/>
          <w:sz w:val="16"/>
          <w:szCs w:val="16"/>
          <w:i w:val="1"/>
          <w:iCs w:val="1"/>
          <w:color w:val="auto"/>
        </w:rPr>
        <w:t>Post-Employment Compensation</w:t>
      </w:r>
      <w:r>
        <w:rPr>
          <w:rFonts w:ascii="Arial" w:cs="Arial" w:eastAsia="Arial" w:hAnsi="Arial"/>
          <w:sz w:val="16"/>
          <w:szCs w:val="16"/>
          <w:color w:val="auto"/>
        </w:rPr>
        <w:t>” below.</w:t>
      </w:r>
    </w:p>
    <w:p>
      <w:pPr>
        <w:spacing w:after="0" w:line="218"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Post-Employment Compensation</w:t>
      </w:r>
    </w:p>
    <w:p>
      <w:pPr>
        <w:spacing w:after="0" w:line="179" w:lineRule="exact"/>
        <w:rPr>
          <w:sz w:val="20"/>
          <w:szCs w:val="20"/>
          <w:color w:val="auto"/>
        </w:rPr>
      </w:pPr>
    </w:p>
    <w:p>
      <w:pPr>
        <w:jc w:val="both"/>
        <w:ind w:left="720" w:right="800"/>
        <w:spacing w:after="0" w:line="266" w:lineRule="auto"/>
        <w:rPr>
          <w:sz w:val="20"/>
          <w:szCs w:val="20"/>
          <w:color w:val="auto"/>
        </w:rPr>
      </w:pPr>
      <w:r>
        <w:rPr>
          <w:rFonts w:ascii="Arial" w:cs="Arial" w:eastAsia="Arial" w:hAnsi="Arial"/>
          <w:sz w:val="16"/>
          <w:szCs w:val="16"/>
          <w:color w:val="auto"/>
        </w:rPr>
        <w:t>We have entered into change in control and severance agreements with each of our executive officers, including each of our named executive officers. These agreements provide these individuals with certain protection in the event of their termination of employment under specified circumstances, including following a change in control of the company.</w:t>
      </w:r>
    </w:p>
    <w:p>
      <w:pPr>
        <w:spacing w:after="0" w:line="117" w:lineRule="exact"/>
        <w:rPr>
          <w:sz w:val="20"/>
          <w:szCs w:val="20"/>
          <w:color w:val="auto"/>
        </w:rPr>
      </w:pPr>
    </w:p>
    <w:p>
      <w:pPr>
        <w:ind w:left="720" w:right="880"/>
        <w:spacing w:after="0" w:line="252" w:lineRule="auto"/>
        <w:rPr>
          <w:sz w:val="20"/>
          <w:szCs w:val="20"/>
          <w:color w:val="auto"/>
        </w:rPr>
      </w:pPr>
      <w:r>
        <w:rPr>
          <w:rFonts w:ascii="Arial" w:cs="Arial" w:eastAsia="Arial" w:hAnsi="Arial"/>
          <w:sz w:val="16"/>
          <w:szCs w:val="16"/>
          <w:color w:val="auto"/>
        </w:rPr>
        <w:t>We believe that these protections were necessary to induce these individuals to accept a demanding position with the company and help retain them. These arrangements provide reasonable compensation to an executive officer if they leave our employ under certain circumstances to facilitate transition to new employment. Further, in some instances, we seek to mitigate any potential employer liability and avoid future disputes or litigation by requiring a departing executive officer to sign a separation and release agreement as a condition to receiving post-employment compensation payments or benefits. We also believe that these arrangements help maintain our executive officers’ continued focus and dedication to their assigned duties to maximize stockholder value if there is a potential transaction that could involve a change in control of the company. The terms and conditions were approved by our board of directors after an analysis of competitive market data.</w:t>
      </w:r>
    </w:p>
    <w:p>
      <w:pPr>
        <w:spacing w:after="0" w:line="129" w:lineRule="exact"/>
        <w:rPr>
          <w:sz w:val="20"/>
          <w:szCs w:val="20"/>
          <w:color w:val="auto"/>
        </w:rPr>
      </w:pPr>
    </w:p>
    <w:p>
      <w:pPr>
        <w:ind w:left="720" w:right="780"/>
        <w:spacing w:after="0" w:line="256" w:lineRule="auto"/>
        <w:rPr>
          <w:sz w:val="20"/>
          <w:szCs w:val="20"/>
          <w:color w:val="auto"/>
        </w:rPr>
      </w:pPr>
      <w:r>
        <w:rPr>
          <w:rFonts w:ascii="Arial" w:cs="Arial" w:eastAsia="Arial" w:hAnsi="Arial"/>
          <w:sz w:val="16"/>
          <w:szCs w:val="16"/>
          <w:color w:val="auto"/>
        </w:rPr>
        <w:t>All payments and benefits in the event of a change in control of the company are payable only if there is a subsequent loss of employment by an executive officer (a so-called “double-trigger” arrangement). In the case of the acceleration of vesting of outstanding equity awards, we use this double-trigger arrangement to protect against the loss of retention value following a change in control of the company, and to avoid windfalls, both of which could occur if vesting of either equity or cash-based awards accelerated automatically as a result of the transaction.</w:t>
      </w:r>
    </w:p>
    <w:p>
      <w:pPr>
        <w:spacing w:after="0" w:line="126" w:lineRule="exact"/>
        <w:rPr>
          <w:sz w:val="20"/>
          <w:szCs w:val="20"/>
          <w:color w:val="auto"/>
        </w:rPr>
      </w:pPr>
    </w:p>
    <w:p>
      <w:pPr>
        <w:ind w:left="720" w:right="740"/>
        <w:spacing w:after="0" w:line="259" w:lineRule="auto"/>
        <w:rPr>
          <w:sz w:val="20"/>
          <w:szCs w:val="20"/>
          <w:color w:val="auto"/>
        </w:rPr>
      </w:pPr>
      <w:r>
        <w:rPr>
          <w:rFonts w:ascii="Arial" w:cs="Arial" w:eastAsia="Arial" w:hAnsi="Arial"/>
          <w:sz w:val="16"/>
          <w:szCs w:val="16"/>
          <w:color w:val="auto"/>
        </w:rPr>
        <w:t>Mr. Houston’s Co-Founder Grant (as described below) vests in connection with our acquisition, and as noted above, the performance-based RSA granted to Mr. Young in November 2020 may vest in connection with certain terminations of Mr. Young’s employment and/or a “change in control” (as defined in our 2018 Equity Incentive Plan). See the section titled “</w:t>
      </w:r>
      <w:r>
        <w:rPr>
          <w:rFonts w:ascii="Arial" w:cs="Arial" w:eastAsia="Arial" w:hAnsi="Arial"/>
          <w:sz w:val="16"/>
          <w:szCs w:val="16"/>
          <w:i w:val="1"/>
          <w:iCs w:val="1"/>
          <w:color w:val="auto"/>
        </w:rPr>
        <w:t>Potential Payments on Termination</w:t>
      </w:r>
      <w:r>
        <w:rPr>
          <w:rFonts w:ascii="Arial" w:cs="Arial" w:eastAsia="Arial" w:hAnsi="Arial"/>
          <w:sz w:val="16"/>
          <w:szCs w:val="16"/>
          <w:color w:val="auto"/>
        </w:rPr>
        <w:t xml:space="preserve"> </w:t>
      </w:r>
      <w:r>
        <w:rPr>
          <w:rFonts w:ascii="Arial" w:cs="Arial" w:eastAsia="Arial" w:hAnsi="Arial"/>
          <w:sz w:val="16"/>
          <w:szCs w:val="16"/>
          <w:i w:val="1"/>
          <w:iCs w:val="1"/>
          <w:color w:val="auto"/>
        </w:rPr>
        <w:t>or Change in Control</w:t>
      </w:r>
      <w:r>
        <w:rPr>
          <w:rFonts w:ascii="Arial" w:cs="Arial" w:eastAsia="Arial" w:hAnsi="Arial"/>
          <w:sz w:val="16"/>
          <w:szCs w:val="16"/>
          <w:color w:val="auto"/>
        </w:rPr>
        <w:t>” below for additional details.</w:t>
      </w:r>
    </w:p>
    <w:p>
      <w:pPr>
        <w:spacing w:after="0" w:line="272"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Hedging and Pledging Prohibitions</w:t>
      </w:r>
    </w:p>
    <w:p>
      <w:pPr>
        <w:spacing w:after="0" w:line="46" w:lineRule="exact"/>
        <w:rPr>
          <w:sz w:val="20"/>
          <w:szCs w:val="20"/>
          <w:color w:val="auto"/>
        </w:rPr>
      </w:pPr>
    </w:p>
    <w:p>
      <w:pPr>
        <w:ind w:left="720" w:right="760"/>
        <w:spacing w:after="0" w:line="256" w:lineRule="auto"/>
        <w:rPr>
          <w:sz w:val="20"/>
          <w:szCs w:val="20"/>
          <w:color w:val="auto"/>
        </w:rPr>
      </w:pPr>
      <w:r>
        <w:rPr>
          <w:rFonts w:ascii="Arial" w:cs="Arial" w:eastAsia="Arial" w:hAnsi="Arial"/>
          <w:sz w:val="16"/>
          <w:szCs w:val="16"/>
          <w:color w:val="auto"/>
        </w:rPr>
        <w:t>As part of our Insider Trading Policy, our employees (including our executive officers and the non-employee members of our board of directors) are prohibited from trading in publicly-traded options, such as puts and calls, and other derivative securities with respect to our securities. This includes any hedging or similar transaction designed to decrease the risks associated with holding shares of our common stock. In addition, our employees (including our executive officers and the non-employee members of our board of directors) are prohibited from holding our common stock in a margin account or pledging our securities as collateral for a loan.</w:t>
      </w:r>
    </w:p>
    <w:p>
      <w:pPr>
        <w:spacing w:after="0" w:line="256"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Tax and Accounting Considerations</w:t>
      </w:r>
    </w:p>
    <w:p>
      <w:pPr>
        <w:spacing w:after="0" w:line="179" w:lineRule="exact"/>
        <w:rPr>
          <w:sz w:val="20"/>
          <w:szCs w:val="20"/>
          <w:color w:val="auto"/>
        </w:rPr>
      </w:pPr>
    </w:p>
    <w:p>
      <w:pPr>
        <w:ind w:left="720" w:right="960"/>
        <w:spacing w:after="0" w:line="286" w:lineRule="auto"/>
        <w:rPr>
          <w:sz w:val="20"/>
          <w:szCs w:val="20"/>
          <w:color w:val="auto"/>
        </w:rPr>
      </w:pPr>
      <w:r>
        <w:rPr>
          <w:rFonts w:ascii="Arial" w:cs="Arial" w:eastAsia="Arial" w:hAnsi="Arial"/>
          <w:sz w:val="16"/>
          <w:szCs w:val="16"/>
          <w:color w:val="auto"/>
        </w:rPr>
        <w:t>We take the applicable tax and accounting requirements into consideration in designing and operating our executive compensation program.</w:t>
      </w:r>
    </w:p>
    <w:p>
      <w:pPr>
        <w:spacing w:after="0" w:line="250"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Deductibility of Executive Compensation</w:t>
      </w:r>
    </w:p>
    <w:p>
      <w:pPr>
        <w:spacing w:after="0" w:line="46" w:lineRule="exact"/>
        <w:rPr>
          <w:sz w:val="20"/>
          <w:szCs w:val="20"/>
          <w:color w:val="auto"/>
        </w:rPr>
      </w:pPr>
    </w:p>
    <w:p>
      <w:pPr>
        <w:ind w:left="720" w:right="740"/>
        <w:spacing w:after="0" w:line="256" w:lineRule="auto"/>
        <w:rPr>
          <w:sz w:val="20"/>
          <w:szCs w:val="20"/>
          <w:color w:val="auto"/>
        </w:rPr>
      </w:pPr>
      <w:r>
        <w:rPr>
          <w:rFonts w:ascii="Arial" w:cs="Arial" w:eastAsia="Arial" w:hAnsi="Arial"/>
          <w:sz w:val="16"/>
          <w:szCs w:val="16"/>
          <w:color w:val="auto"/>
        </w:rPr>
        <w:t>Generally, Section 162(m) of the Code disallows public companies a tax deduction for federal income tax purposes of remuneration in excess of $1 million paid to their chief executive officer and certain other current and former executive officers that are “covered employees” within the meaning of Section 162(m) of the Code, subject to certain exceptions. The regulations promulgated under Section 162(m) of the Code currently contain a transition rule that applies to companies, such as ours, that become subject to Section 162(m) of the Code by</w:t>
      </w:r>
    </w:p>
    <w:p>
      <w:pPr>
        <w:spacing w:after="0" w:line="18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43</w:t>
            </w:r>
          </w:p>
        </w:tc>
      </w:tr>
      <w:tr>
        <w:trPr>
          <w:trHeight w:val="157"/>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47" w:name="page48"/>
    <w:bookmarkEnd w:id="47"/>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4" w:right="120"/>
        <w:spacing w:after="0" w:line="256" w:lineRule="auto"/>
        <w:rPr>
          <w:sz w:val="20"/>
          <w:szCs w:val="20"/>
          <w:color w:val="auto"/>
        </w:rPr>
      </w:pPr>
      <w:r>
        <w:rPr>
          <w:rFonts w:ascii="Arial" w:cs="Arial" w:eastAsia="Arial" w:hAnsi="Arial"/>
          <w:sz w:val="16"/>
          <w:szCs w:val="16"/>
          <w:color w:val="auto"/>
        </w:rPr>
        <w:t>reason of becoming publicly held. Under this rule, certain compensation granted during a transition period (and, with respect to RSU awards, that is paid out before the end of the transition period) currently is not counted toward the deduction limitations of</w:t>
      </w:r>
    </w:p>
    <w:p>
      <w:pPr>
        <w:spacing w:after="0" w:line="1" w:lineRule="exact"/>
        <w:rPr>
          <w:sz w:val="20"/>
          <w:szCs w:val="20"/>
          <w:color w:val="auto"/>
        </w:rPr>
      </w:pPr>
    </w:p>
    <w:p>
      <w:pPr>
        <w:ind w:left="4" w:right="40"/>
        <w:spacing w:after="0" w:line="249" w:lineRule="auto"/>
        <w:rPr>
          <w:sz w:val="20"/>
          <w:szCs w:val="20"/>
          <w:color w:val="auto"/>
        </w:rPr>
      </w:pPr>
      <w:r>
        <w:rPr>
          <w:rFonts w:ascii="Arial" w:cs="Arial" w:eastAsia="Arial" w:hAnsi="Arial"/>
          <w:sz w:val="16"/>
          <w:szCs w:val="16"/>
          <w:color w:val="auto"/>
        </w:rPr>
        <w:t>Section 162(m) of the Code if the compensation is paid under a compensation arrangement that was in existence before the effective date of the initial public offering, and certain other requirements are met. While certain of our equity awards may be eligible to be excluded from our deductibility limitation of Section 162(m) of the Code pursuant to this transition rule, the compensation committee has not adopted a policy that all equity or other compensation must be deductible. The transition period will terminate on our Annual Meeting.</w:t>
      </w:r>
    </w:p>
    <w:p>
      <w:pPr>
        <w:spacing w:after="0" w:line="2" w:lineRule="exact"/>
        <w:rPr>
          <w:sz w:val="20"/>
          <w:szCs w:val="20"/>
          <w:color w:val="auto"/>
        </w:rPr>
      </w:pPr>
    </w:p>
    <w:p>
      <w:pPr>
        <w:ind w:left="4" w:right="60"/>
        <w:spacing w:after="0" w:line="259" w:lineRule="auto"/>
        <w:rPr>
          <w:sz w:val="20"/>
          <w:szCs w:val="20"/>
          <w:color w:val="auto"/>
        </w:rPr>
      </w:pPr>
      <w:r>
        <w:rPr>
          <w:rFonts w:ascii="Arial" w:cs="Arial" w:eastAsia="Arial" w:hAnsi="Arial"/>
          <w:sz w:val="16"/>
          <w:szCs w:val="16"/>
          <w:color w:val="auto"/>
        </w:rPr>
        <w:t>In approving the amount and form of compensation for our executive officers, the compensation committee considers all elements of our cost of providing such compensation, including the potential impact of Section 162(m) of the Code. The compensation committee may, in its judgment, approve compensation that may not be deductible for federal income tax purposes when it believes that such compensation is in our best interests or the best interests of our stockholders.</w:t>
      </w:r>
    </w:p>
    <w:p>
      <w:pPr>
        <w:spacing w:after="0" w:line="124" w:lineRule="exact"/>
        <w:rPr>
          <w:sz w:val="20"/>
          <w:szCs w:val="20"/>
          <w:color w:val="auto"/>
        </w:rPr>
      </w:pPr>
    </w:p>
    <w:p>
      <w:pPr>
        <w:ind w:left="4" w:right="200"/>
        <w:spacing w:after="0" w:line="266" w:lineRule="auto"/>
        <w:rPr>
          <w:sz w:val="20"/>
          <w:szCs w:val="20"/>
          <w:color w:val="auto"/>
        </w:rPr>
      </w:pPr>
      <w:r>
        <w:rPr>
          <w:rFonts w:ascii="Arial" w:cs="Arial" w:eastAsia="Arial" w:hAnsi="Arial"/>
          <w:sz w:val="16"/>
          <w:szCs w:val="16"/>
          <w:color w:val="auto"/>
        </w:rPr>
        <w:t>While the transition rule for newly-public companies may help minimize the effect of the Section 162(m) deduction limit in the short-term, it is possible, going forward, that some portion of our executive officer compensation might not be fully deductible by us for federal income tax purposes.</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Taxation of Parachute Payments and Deferred Compensation</w:t>
      </w:r>
    </w:p>
    <w:p>
      <w:pPr>
        <w:spacing w:after="0" w:line="39" w:lineRule="exact"/>
        <w:rPr>
          <w:sz w:val="20"/>
          <w:szCs w:val="20"/>
          <w:color w:val="auto"/>
        </w:rPr>
      </w:pPr>
    </w:p>
    <w:p>
      <w:pPr>
        <w:ind w:left="4"/>
        <w:spacing w:after="0" w:line="251" w:lineRule="auto"/>
        <w:rPr>
          <w:sz w:val="20"/>
          <w:szCs w:val="20"/>
          <w:color w:val="auto"/>
        </w:rPr>
      </w:pPr>
      <w:r>
        <w:rPr>
          <w:rFonts w:ascii="Arial" w:cs="Arial" w:eastAsia="Arial" w:hAnsi="Arial"/>
          <w:sz w:val="16"/>
          <w:szCs w:val="16"/>
          <w:color w:val="auto"/>
        </w:rPr>
        <w:t>We do not provide, and have no obligation to provide, any of our named executive officers with a “gross-up” payment for any tax liability he or she might owe because of the application of Sections 280G, 4999 or 409A of the Code. If any of the payments or benefits provided for under the change in control and severance agreements or otherwise payable to a named executive officer would constitute “parachute payments” within the meaning of Section 280G of the Code and could be subject to the related excise tax, he or she would receive either full payment of such payments and benefits or such lesser amount that would cause no portion of the payments and benefits being subject to the excise tax, whichever results in the greater after-tax benefits to our named executive officer.</w:t>
      </w:r>
    </w:p>
    <w:p>
      <w:pPr>
        <w:spacing w:after="0" w:line="239"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Accounting for Stock-Based Compensation</w:t>
      </w:r>
    </w:p>
    <w:p>
      <w:pPr>
        <w:spacing w:after="0" w:line="39" w:lineRule="exact"/>
        <w:rPr>
          <w:sz w:val="20"/>
          <w:szCs w:val="20"/>
          <w:color w:val="auto"/>
        </w:rPr>
      </w:pPr>
    </w:p>
    <w:p>
      <w:pPr>
        <w:ind w:left="4"/>
        <w:spacing w:after="0" w:line="251" w:lineRule="auto"/>
        <w:rPr>
          <w:sz w:val="20"/>
          <w:szCs w:val="20"/>
          <w:color w:val="auto"/>
        </w:rPr>
      </w:pPr>
      <w:r>
        <w:rPr>
          <w:rFonts w:ascii="Arial" w:cs="Arial" w:eastAsia="Arial" w:hAnsi="Arial"/>
          <w:sz w:val="16"/>
          <w:szCs w:val="16"/>
          <w:color w:val="auto"/>
        </w:rPr>
        <w:t>Our compensation committee considers accounting effects in designing compensation plans and arrangements for our executive officers and other employees. Chief among these is ASC Topic 718, the standard which governs the accounting treatment of stock-based compensation awards. ASC Topic 718 requires companies to measure the compensation expense for all share-based payment awards made to employees and directors, including stock options, restricted stock units and restricted stock awards, based on the grant date “fair value” of these awards. This calculation is performed for accounting purposes and reported in the compensation tables below, even though our executive officers may realize no value from their awards. ASC Topic 718 also requires companies to recognize the compensation cost of their share-based payment awards in their income statements over the period that an executive officer is required to render service in exchange for the option or other award.</w:t>
      </w:r>
    </w:p>
    <w:p>
      <w:pPr>
        <w:spacing w:after="0" w:line="128" w:lineRule="exact"/>
        <w:rPr>
          <w:sz w:val="20"/>
          <w:szCs w:val="20"/>
          <w:color w:val="auto"/>
        </w:rPr>
      </w:pPr>
    </w:p>
    <w:p>
      <w:pPr>
        <w:ind w:left="4" w:right="60"/>
        <w:spacing w:after="0" w:line="252" w:lineRule="auto"/>
        <w:rPr>
          <w:sz w:val="20"/>
          <w:szCs w:val="20"/>
          <w:color w:val="auto"/>
        </w:rPr>
      </w:pPr>
      <w:r>
        <w:rPr>
          <w:rFonts w:ascii="Arial" w:cs="Arial" w:eastAsia="Arial" w:hAnsi="Arial"/>
          <w:sz w:val="16"/>
          <w:szCs w:val="16"/>
          <w:color w:val="auto"/>
        </w:rPr>
        <w:t>We estimated the grant date fair value of Mr. Houston’s Co-Founder Grant using a model based on multiple stock price paths developed through the use of a Monte Carlo simulation that incorporates into the valuation the possibility that the Stock Price Targets may not be satisfied. The average grant date fair value of the Co-Founder Grant was estimated to be $10.60 per share, and we will recognize total stock-based compensation expense of $109.6 million over the requisite service period of each tranche, which ranged from 2.9 to 6.9 years, using the accelerated attribution method. If the Stock Price Targets are met sooner than the derived service period, we will adjust our stock-based compensation to reflect the cumulative expense associated with the vested awards. We will recognize stock-based compensation expense if the requisite service period is provided, regardless of whether the market conditions are achieved.</w:t>
      </w:r>
    </w:p>
    <w:p>
      <w:pPr>
        <w:spacing w:after="0" w:line="129" w:lineRule="exact"/>
        <w:rPr>
          <w:sz w:val="20"/>
          <w:szCs w:val="20"/>
          <w:color w:val="auto"/>
        </w:rPr>
      </w:pPr>
    </w:p>
    <w:p>
      <w:pPr>
        <w:ind w:left="4" w:right="80"/>
        <w:spacing w:after="0" w:line="286" w:lineRule="auto"/>
        <w:rPr>
          <w:sz w:val="20"/>
          <w:szCs w:val="20"/>
          <w:color w:val="auto"/>
        </w:rPr>
      </w:pPr>
      <w:r>
        <w:rPr>
          <w:rFonts w:ascii="Arial" w:cs="Arial" w:eastAsia="Arial" w:hAnsi="Arial"/>
          <w:sz w:val="16"/>
          <w:szCs w:val="16"/>
          <w:color w:val="auto"/>
        </w:rPr>
        <w:t>The fair value of the Co-Founder Grant, whereby vesting is contingent on meeting certain market conditions was estimated using the following assumptions: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22225</wp:posOffset>
            </wp:positionV>
            <wp:extent cx="6077585" cy="18002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6077585" cy="1800225"/>
                    </a:xfrm>
                    <a:prstGeom prst="rect">
                      <a:avLst/>
                    </a:prstGeom>
                    <a:noFill/>
                  </pic:spPr>
                </pic:pic>
              </a:graphicData>
            </a:graphic>
          </wp:anchor>
        </w:drawing>
      </w:r>
    </w:p>
    <w:p>
      <w:pPr>
        <w:spacing w:after="0" w:line="15" w:lineRule="exact"/>
        <w:rPr>
          <w:sz w:val="20"/>
          <w:szCs w:val="20"/>
          <w:color w:val="auto"/>
        </w:rPr>
      </w:pPr>
    </w:p>
    <w:tbl>
      <w:tblPr>
        <w:tblLayout w:type="fixed"/>
        <w:tblInd w:w="4" w:type="dxa"/>
        <w:tblCellMar>
          <w:top w:w="0" w:type="dxa"/>
          <w:left w:w="0" w:type="dxa"/>
          <w:bottom w:w="0" w:type="dxa"/>
          <w:right w:w="0" w:type="dxa"/>
        </w:tblCellMar>
      </w:tblPr>
      <w:tr>
        <w:trPr>
          <w:trHeight w:val="316"/>
        </w:trPr>
        <w:tc>
          <w:tcPr>
            <w:tcW w:w="476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Grant date</w:t>
            </w:r>
          </w:p>
        </w:tc>
        <w:tc>
          <w:tcPr>
            <w:tcW w:w="48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12/12/2017</w:t>
            </w:r>
          </w:p>
        </w:tc>
      </w:tr>
      <w:tr>
        <w:trPr>
          <w:trHeight w:val="62"/>
        </w:trPr>
        <w:tc>
          <w:tcPr>
            <w:tcW w:w="4760" w:type="dxa"/>
            <w:vAlign w:val="bottom"/>
            <w:shd w:val="clear" w:color="auto" w:fill="F2F2F2"/>
          </w:tcPr>
          <w:p>
            <w:pPr>
              <w:spacing w:after="0"/>
              <w:rPr>
                <w:sz w:val="5"/>
                <w:szCs w:val="5"/>
                <w:color w:val="auto"/>
              </w:rPr>
            </w:pPr>
          </w:p>
        </w:tc>
        <w:tc>
          <w:tcPr>
            <w:tcW w:w="4800" w:type="dxa"/>
            <w:vAlign w:val="bottom"/>
            <w:shd w:val="clear" w:color="auto" w:fill="F2F2F2"/>
          </w:tcPr>
          <w:p>
            <w:pPr>
              <w:spacing w:after="0"/>
              <w:rPr>
                <w:sz w:val="5"/>
                <w:szCs w:val="5"/>
                <w:color w:val="auto"/>
              </w:rPr>
            </w:pPr>
          </w:p>
        </w:tc>
      </w:tr>
      <w:tr>
        <w:trPr>
          <w:trHeight w:val="290"/>
        </w:trPr>
        <w:tc>
          <w:tcPr>
            <w:tcW w:w="4760" w:type="dxa"/>
            <w:vAlign w:val="bottom"/>
          </w:tcPr>
          <w:p>
            <w:pPr>
              <w:ind w:left="80"/>
              <w:spacing w:after="0"/>
              <w:rPr>
                <w:sz w:val="20"/>
                <w:szCs w:val="20"/>
                <w:color w:val="auto"/>
              </w:rPr>
            </w:pPr>
            <w:r>
              <w:rPr>
                <w:rFonts w:ascii="Arial" w:cs="Arial" w:eastAsia="Arial" w:hAnsi="Arial"/>
                <w:sz w:val="16"/>
                <w:szCs w:val="16"/>
                <w:b w:val="1"/>
                <w:bCs w:val="1"/>
                <w:color w:val="auto"/>
              </w:rPr>
              <w:t>Expected IPO date</w:t>
            </w:r>
          </w:p>
        </w:tc>
        <w:tc>
          <w:tcPr>
            <w:tcW w:w="4800" w:type="dxa"/>
            <w:vAlign w:val="bottom"/>
          </w:tcPr>
          <w:p>
            <w:pPr>
              <w:jc w:val="center"/>
              <w:spacing w:after="0"/>
              <w:rPr>
                <w:sz w:val="20"/>
                <w:szCs w:val="20"/>
                <w:color w:val="auto"/>
              </w:rPr>
            </w:pPr>
            <w:r>
              <w:rPr>
                <w:rFonts w:ascii="Arial" w:cs="Arial" w:eastAsia="Arial" w:hAnsi="Arial"/>
                <w:sz w:val="16"/>
                <w:szCs w:val="16"/>
                <w:color w:val="auto"/>
              </w:rPr>
              <w:t>3/31/2018</w:t>
            </w:r>
          </w:p>
        </w:tc>
      </w:tr>
      <w:tr>
        <w:trPr>
          <w:trHeight w:val="61"/>
        </w:trPr>
        <w:tc>
          <w:tcPr>
            <w:tcW w:w="4760" w:type="dxa"/>
            <w:vAlign w:val="bottom"/>
          </w:tcPr>
          <w:p>
            <w:pPr>
              <w:spacing w:after="0"/>
              <w:rPr>
                <w:sz w:val="5"/>
                <w:szCs w:val="5"/>
                <w:color w:val="auto"/>
              </w:rPr>
            </w:pPr>
          </w:p>
        </w:tc>
        <w:tc>
          <w:tcPr>
            <w:tcW w:w="4800" w:type="dxa"/>
            <w:vAlign w:val="bottom"/>
          </w:tcPr>
          <w:p>
            <w:pPr>
              <w:spacing w:after="0"/>
              <w:rPr>
                <w:sz w:val="5"/>
                <w:szCs w:val="5"/>
                <w:color w:val="auto"/>
              </w:rPr>
            </w:pPr>
          </w:p>
        </w:tc>
      </w:tr>
      <w:tr>
        <w:trPr>
          <w:trHeight w:val="290"/>
        </w:trPr>
        <w:tc>
          <w:tcPr>
            <w:tcW w:w="476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Lock-up period</w:t>
            </w:r>
          </w:p>
        </w:tc>
        <w:tc>
          <w:tcPr>
            <w:tcW w:w="480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1/1/2019</w:t>
            </w:r>
          </w:p>
        </w:tc>
      </w:tr>
      <w:tr>
        <w:trPr>
          <w:trHeight w:val="62"/>
        </w:trPr>
        <w:tc>
          <w:tcPr>
            <w:tcW w:w="4760" w:type="dxa"/>
            <w:vAlign w:val="bottom"/>
            <w:shd w:val="clear" w:color="auto" w:fill="F2F2F2"/>
          </w:tcPr>
          <w:p>
            <w:pPr>
              <w:spacing w:after="0"/>
              <w:rPr>
                <w:sz w:val="5"/>
                <w:szCs w:val="5"/>
                <w:color w:val="auto"/>
              </w:rPr>
            </w:pPr>
          </w:p>
        </w:tc>
        <w:tc>
          <w:tcPr>
            <w:tcW w:w="4800" w:type="dxa"/>
            <w:vAlign w:val="bottom"/>
            <w:shd w:val="clear" w:color="auto" w:fill="F2F2F2"/>
          </w:tcPr>
          <w:p>
            <w:pPr>
              <w:spacing w:after="0"/>
              <w:rPr>
                <w:sz w:val="5"/>
                <w:szCs w:val="5"/>
                <w:color w:val="auto"/>
              </w:rPr>
            </w:pPr>
          </w:p>
        </w:tc>
      </w:tr>
      <w:tr>
        <w:trPr>
          <w:trHeight w:val="289"/>
        </w:trPr>
        <w:tc>
          <w:tcPr>
            <w:tcW w:w="4760" w:type="dxa"/>
            <w:vAlign w:val="bottom"/>
          </w:tcPr>
          <w:p>
            <w:pPr>
              <w:ind w:left="80"/>
              <w:spacing w:after="0"/>
              <w:rPr>
                <w:sz w:val="20"/>
                <w:szCs w:val="20"/>
                <w:color w:val="auto"/>
              </w:rPr>
            </w:pPr>
            <w:r>
              <w:rPr>
                <w:rFonts w:ascii="Arial" w:cs="Arial" w:eastAsia="Arial" w:hAnsi="Arial"/>
                <w:sz w:val="16"/>
                <w:szCs w:val="16"/>
                <w:b w:val="1"/>
                <w:bCs w:val="1"/>
                <w:color w:val="auto"/>
              </w:rPr>
              <w:t>Expiration date</w:t>
            </w:r>
          </w:p>
        </w:tc>
        <w:tc>
          <w:tcPr>
            <w:tcW w:w="4800" w:type="dxa"/>
            <w:vAlign w:val="bottom"/>
          </w:tcPr>
          <w:p>
            <w:pPr>
              <w:jc w:val="center"/>
              <w:spacing w:after="0"/>
              <w:rPr>
                <w:sz w:val="20"/>
                <w:szCs w:val="20"/>
                <w:color w:val="auto"/>
              </w:rPr>
            </w:pPr>
            <w:r>
              <w:rPr>
                <w:rFonts w:ascii="Arial" w:cs="Arial" w:eastAsia="Arial" w:hAnsi="Arial"/>
                <w:sz w:val="16"/>
                <w:szCs w:val="16"/>
                <w:color w:val="auto"/>
              </w:rPr>
              <w:t>3/31/2028</w:t>
            </w:r>
          </w:p>
        </w:tc>
      </w:tr>
      <w:tr>
        <w:trPr>
          <w:trHeight w:val="62"/>
        </w:trPr>
        <w:tc>
          <w:tcPr>
            <w:tcW w:w="4760" w:type="dxa"/>
            <w:vAlign w:val="bottom"/>
          </w:tcPr>
          <w:p>
            <w:pPr>
              <w:spacing w:after="0"/>
              <w:rPr>
                <w:sz w:val="5"/>
                <w:szCs w:val="5"/>
                <w:color w:val="auto"/>
              </w:rPr>
            </w:pPr>
          </w:p>
        </w:tc>
        <w:tc>
          <w:tcPr>
            <w:tcW w:w="4800" w:type="dxa"/>
            <w:vAlign w:val="bottom"/>
          </w:tcPr>
          <w:p>
            <w:pPr>
              <w:spacing w:after="0"/>
              <w:rPr>
                <w:sz w:val="5"/>
                <w:szCs w:val="5"/>
                <w:color w:val="auto"/>
              </w:rPr>
            </w:pPr>
          </w:p>
        </w:tc>
      </w:tr>
      <w:tr>
        <w:trPr>
          <w:trHeight w:val="289"/>
        </w:trPr>
        <w:tc>
          <w:tcPr>
            <w:tcW w:w="476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Grant price</w:t>
            </w:r>
          </w:p>
        </w:tc>
        <w:tc>
          <w:tcPr>
            <w:tcW w:w="48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$17.15</w:t>
            </w:r>
          </w:p>
        </w:tc>
      </w:tr>
      <w:tr>
        <w:trPr>
          <w:trHeight w:val="61"/>
        </w:trPr>
        <w:tc>
          <w:tcPr>
            <w:tcW w:w="4760" w:type="dxa"/>
            <w:vAlign w:val="bottom"/>
            <w:shd w:val="clear" w:color="auto" w:fill="F2F2F2"/>
          </w:tcPr>
          <w:p>
            <w:pPr>
              <w:spacing w:after="0"/>
              <w:rPr>
                <w:sz w:val="5"/>
                <w:szCs w:val="5"/>
                <w:color w:val="auto"/>
              </w:rPr>
            </w:pPr>
          </w:p>
        </w:tc>
        <w:tc>
          <w:tcPr>
            <w:tcW w:w="4800" w:type="dxa"/>
            <w:vAlign w:val="bottom"/>
            <w:shd w:val="clear" w:color="auto" w:fill="F2F2F2"/>
          </w:tcPr>
          <w:p>
            <w:pPr>
              <w:spacing w:after="0"/>
              <w:rPr>
                <w:sz w:val="5"/>
                <w:szCs w:val="5"/>
                <w:color w:val="auto"/>
              </w:rPr>
            </w:pPr>
          </w:p>
        </w:tc>
      </w:tr>
      <w:tr>
        <w:trPr>
          <w:trHeight w:val="290"/>
        </w:trPr>
        <w:tc>
          <w:tcPr>
            <w:tcW w:w="4760" w:type="dxa"/>
            <w:vAlign w:val="bottom"/>
          </w:tcPr>
          <w:p>
            <w:pPr>
              <w:ind w:left="80"/>
              <w:spacing w:after="0"/>
              <w:rPr>
                <w:sz w:val="20"/>
                <w:szCs w:val="20"/>
                <w:color w:val="auto"/>
              </w:rPr>
            </w:pPr>
            <w:r>
              <w:rPr>
                <w:rFonts w:ascii="Arial" w:cs="Arial" w:eastAsia="Arial" w:hAnsi="Arial"/>
                <w:sz w:val="16"/>
                <w:szCs w:val="16"/>
                <w:b w:val="1"/>
                <w:bCs w:val="1"/>
                <w:color w:val="auto"/>
              </w:rPr>
              <w:t>Expected volatility</w:t>
            </w:r>
          </w:p>
        </w:tc>
        <w:tc>
          <w:tcPr>
            <w:tcW w:w="4800" w:type="dxa"/>
            <w:vAlign w:val="bottom"/>
          </w:tcPr>
          <w:p>
            <w:pPr>
              <w:jc w:val="center"/>
              <w:spacing w:after="0"/>
              <w:rPr>
                <w:sz w:val="20"/>
                <w:szCs w:val="20"/>
                <w:color w:val="auto"/>
              </w:rPr>
            </w:pPr>
            <w:r>
              <w:rPr>
                <w:rFonts w:ascii="Arial" w:cs="Arial" w:eastAsia="Arial" w:hAnsi="Arial"/>
                <w:sz w:val="16"/>
                <w:szCs w:val="16"/>
                <w:color w:val="auto"/>
              </w:rPr>
              <w:t>40.0%</w:t>
            </w:r>
          </w:p>
        </w:tc>
      </w:tr>
      <w:tr>
        <w:trPr>
          <w:trHeight w:val="61"/>
        </w:trPr>
        <w:tc>
          <w:tcPr>
            <w:tcW w:w="4760" w:type="dxa"/>
            <w:vAlign w:val="bottom"/>
          </w:tcPr>
          <w:p>
            <w:pPr>
              <w:spacing w:after="0"/>
              <w:rPr>
                <w:sz w:val="5"/>
                <w:szCs w:val="5"/>
                <w:color w:val="auto"/>
              </w:rPr>
            </w:pPr>
          </w:p>
        </w:tc>
        <w:tc>
          <w:tcPr>
            <w:tcW w:w="4800" w:type="dxa"/>
            <w:vAlign w:val="bottom"/>
          </w:tcPr>
          <w:p>
            <w:pPr>
              <w:spacing w:after="0"/>
              <w:rPr>
                <w:sz w:val="5"/>
                <w:szCs w:val="5"/>
                <w:color w:val="auto"/>
              </w:rPr>
            </w:pPr>
          </w:p>
        </w:tc>
      </w:tr>
      <w:tr>
        <w:trPr>
          <w:trHeight w:val="290"/>
        </w:trPr>
        <w:tc>
          <w:tcPr>
            <w:tcW w:w="476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Risk-free interest rate (continuous)</w:t>
            </w:r>
          </w:p>
        </w:tc>
        <w:tc>
          <w:tcPr>
            <w:tcW w:w="48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2.38%</w:t>
            </w:r>
          </w:p>
        </w:tc>
      </w:tr>
      <w:tr>
        <w:trPr>
          <w:trHeight w:val="61"/>
        </w:trPr>
        <w:tc>
          <w:tcPr>
            <w:tcW w:w="4760" w:type="dxa"/>
            <w:vAlign w:val="bottom"/>
            <w:shd w:val="clear" w:color="auto" w:fill="F2F2F2"/>
          </w:tcPr>
          <w:p>
            <w:pPr>
              <w:spacing w:after="0"/>
              <w:rPr>
                <w:sz w:val="5"/>
                <w:szCs w:val="5"/>
                <w:color w:val="auto"/>
              </w:rPr>
            </w:pPr>
          </w:p>
        </w:tc>
        <w:tc>
          <w:tcPr>
            <w:tcW w:w="4800" w:type="dxa"/>
            <w:vAlign w:val="bottom"/>
            <w:shd w:val="clear" w:color="auto" w:fill="F2F2F2"/>
          </w:tcPr>
          <w:p>
            <w:pPr>
              <w:spacing w:after="0"/>
              <w:rPr>
                <w:sz w:val="5"/>
                <w:szCs w:val="5"/>
                <w:color w:val="auto"/>
              </w:rPr>
            </w:pPr>
          </w:p>
        </w:tc>
      </w:tr>
      <w:tr>
        <w:trPr>
          <w:trHeight w:val="289"/>
        </w:trPr>
        <w:tc>
          <w:tcPr>
            <w:tcW w:w="4760" w:type="dxa"/>
            <w:vAlign w:val="bottom"/>
          </w:tcPr>
          <w:p>
            <w:pPr>
              <w:ind w:left="80"/>
              <w:spacing w:after="0"/>
              <w:rPr>
                <w:sz w:val="20"/>
                <w:szCs w:val="20"/>
                <w:color w:val="auto"/>
              </w:rPr>
            </w:pPr>
            <w:r>
              <w:rPr>
                <w:rFonts w:ascii="Arial" w:cs="Arial" w:eastAsia="Arial" w:hAnsi="Arial"/>
                <w:sz w:val="16"/>
                <w:szCs w:val="16"/>
                <w:b w:val="1"/>
                <w:bCs w:val="1"/>
                <w:color w:val="auto"/>
              </w:rPr>
              <w:t>Expected dividends</w:t>
            </w:r>
          </w:p>
        </w:tc>
        <w:tc>
          <w:tcPr>
            <w:tcW w:w="4800" w:type="dxa"/>
            <w:vAlign w:val="bottom"/>
          </w:tcPr>
          <w:p>
            <w:pPr>
              <w:jc w:val="center"/>
              <w:spacing w:after="0"/>
              <w:rPr>
                <w:sz w:val="20"/>
                <w:szCs w:val="20"/>
                <w:color w:val="auto"/>
              </w:rPr>
            </w:pPr>
            <w:r>
              <w:rPr>
                <w:rFonts w:ascii="Arial" w:cs="Arial" w:eastAsia="Arial" w:hAnsi="Arial"/>
                <w:sz w:val="16"/>
                <w:szCs w:val="16"/>
                <w:color w:val="auto"/>
              </w:rPr>
              <w:t>0%</w:t>
            </w:r>
          </w:p>
        </w:tc>
      </w:tr>
    </w:tbl>
    <w:p>
      <w:pPr>
        <w:spacing w:after="0" w:line="200" w:lineRule="exact"/>
        <w:rPr>
          <w:sz w:val="20"/>
          <w:szCs w:val="20"/>
          <w:color w:val="auto"/>
        </w:rPr>
      </w:pPr>
    </w:p>
    <w:p>
      <w:pPr>
        <w:sectPr>
          <w:pgSz w:w="11900" w:h="16838" w:orient="portrait"/>
          <w:cols w:equalWidth="0" w:num="1">
            <w:col w:w="9564"/>
          </w:cols>
          <w:pgMar w:left="1156" w:top="263" w:right="1179" w:bottom="1440" w:gutter="0" w:footer="0" w:header="0"/>
        </w:sectPr>
      </w:pPr>
    </w:p>
    <w:p>
      <w:pPr>
        <w:spacing w:after="0" w:line="68" w:lineRule="exact"/>
        <w:rPr>
          <w:sz w:val="20"/>
          <w:szCs w:val="20"/>
          <w:color w:val="auto"/>
        </w:rPr>
      </w:pPr>
    </w:p>
    <w:p>
      <w:pPr>
        <w:ind w:left="524" w:hanging="524"/>
        <w:spacing w:after="0"/>
        <w:tabs>
          <w:tab w:leader="none" w:pos="524" w:val="left"/>
        </w:tabs>
        <w:numPr>
          <w:ilvl w:val="0"/>
          <w:numId w:val="69"/>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type w:val="continuous"/>
        </w:sectPr>
      </w:pPr>
    </w:p>
    <w:bookmarkStart w:id="48" w:name="page49"/>
    <w:bookmarkEnd w:id="48"/>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720" w:right="840"/>
        <w:spacing w:after="0" w:line="266" w:lineRule="auto"/>
        <w:rPr>
          <w:sz w:val="20"/>
          <w:szCs w:val="20"/>
          <w:color w:val="auto"/>
        </w:rPr>
      </w:pPr>
      <w:r>
        <w:rPr>
          <w:rFonts w:ascii="Arial" w:cs="Arial" w:eastAsia="Arial" w:hAnsi="Arial"/>
          <w:sz w:val="16"/>
          <w:szCs w:val="16"/>
          <w:i w:val="1"/>
          <w:iCs w:val="1"/>
          <w:color w:val="auto"/>
        </w:rPr>
        <w:t xml:space="preserve">Expected grant date, expected IPO date, lock-up period, and expiration date. </w:t>
      </w:r>
      <w:r>
        <w:rPr>
          <w:rFonts w:ascii="Arial" w:cs="Arial" w:eastAsia="Arial" w:hAnsi="Arial"/>
          <w:sz w:val="16"/>
          <w:szCs w:val="16"/>
          <w:color w:val="auto"/>
        </w:rPr>
        <w:t>The Grant Date, expected IPO date, and the expiration</w:t>
      </w:r>
      <w:r>
        <w:rPr>
          <w:rFonts w:ascii="Arial" w:cs="Arial" w:eastAsia="Arial" w:hAnsi="Arial"/>
          <w:sz w:val="16"/>
          <w:szCs w:val="16"/>
          <w:i w:val="1"/>
          <w:iCs w:val="1"/>
          <w:color w:val="auto"/>
        </w:rPr>
        <w:t xml:space="preserve"> </w:t>
      </w:r>
      <w:r>
        <w:rPr>
          <w:rFonts w:ascii="Arial" w:cs="Arial" w:eastAsia="Arial" w:hAnsi="Arial"/>
          <w:sz w:val="16"/>
          <w:szCs w:val="16"/>
          <w:color w:val="auto"/>
        </w:rPr>
        <w:t>of the lock-up period were estimates at the time of the valuation and correspond to the terms defined in the Restricted Stock Award Agreement.</w:t>
      </w:r>
    </w:p>
    <w:p>
      <w:pPr>
        <w:spacing w:after="0" w:line="171" w:lineRule="exact"/>
        <w:rPr>
          <w:sz w:val="20"/>
          <w:szCs w:val="20"/>
          <w:color w:val="auto"/>
        </w:rPr>
      </w:pPr>
    </w:p>
    <w:p>
      <w:pPr>
        <w:ind w:left="720"/>
        <w:spacing w:after="0"/>
        <w:rPr>
          <w:sz w:val="20"/>
          <w:szCs w:val="20"/>
          <w:color w:val="auto"/>
        </w:rPr>
      </w:pPr>
      <w:r>
        <w:rPr>
          <w:rFonts w:ascii="Arial" w:cs="Arial" w:eastAsia="Arial" w:hAnsi="Arial"/>
          <w:sz w:val="16"/>
          <w:szCs w:val="16"/>
          <w:i w:val="1"/>
          <w:iCs w:val="1"/>
          <w:color w:val="auto"/>
        </w:rPr>
        <w:t xml:space="preserve">Grant price. </w:t>
      </w:r>
      <w:r>
        <w:rPr>
          <w:rFonts w:ascii="Arial" w:cs="Arial" w:eastAsia="Arial" w:hAnsi="Arial"/>
          <w:sz w:val="16"/>
          <w:szCs w:val="16"/>
          <w:color w:val="auto"/>
        </w:rPr>
        <w:t>The grant priced is based on the valuation of Common Shares as of December 12, 2017.</w:t>
      </w:r>
    </w:p>
    <w:p>
      <w:pPr>
        <w:spacing w:after="0" w:line="167" w:lineRule="exact"/>
        <w:rPr>
          <w:sz w:val="20"/>
          <w:szCs w:val="20"/>
          <w:color w:val="auto"/>
        </w:rPr>
      </w:pPr>
    </w:p>
    <w:p>
      <w:pPr>
        <w:ind w:left="720" w:right="920"/>
        <w:spacing w:after="0" w:line="266" w:lineRule="auto"/>
        <w:rPr>
          <w:sz w:val="20"/>
          <w:szCs w:val="20"/>
          <w:color w:val="auto"/>
        </w:rPr>
      </w:pPr>
      <w:r>
        <w:rPr>
          <w:rFonts w:ascii="Arial" w:cs="Arial" w:eastAsia="Arial" w:hAnsi="Arial"/>
          <w:sz w:val="16"/>
          <w:szCs w:val="16"/>
          <w:i w:val="1"/>
          <w:iCs w:val="1"/>
          <w:color w:val="auto"/>
        </w:rPr>
        <w:t xml:space="preserve">Expected volatility. </w:t>
      </w:r>
      <w:r>
        <w:rPr>
          <w:rFonts w:ascii="Arial" w:cs="Arial" w:eastAsia="Arial" w:hAnsi="Arial"/>
          <w:sz w:val="16"/>
          <w:szCs w:val="16"/>
          <w:color w:val="auto"/>
        </w:rPr>
        <w:t>Expected volatility is based on the average of the implied volatility of the longer at-the-money call option and the</w:t>
      </w:r>
      <w:r>
        <w:rPr>
          <w:rFonts w:ascii="Arial" w:cs="Arial" w:eastAsia="Arial" w:hAnsi="Arial"/>
          <w:sz w:val="16"/>
          <w:szCs w:val="16"/>
          <w:i w:val="1"/>
          <w:iCs w:val="1"/>
          <w:color w:val="auto"/>
        </w:rPr>
        <w:t xml:space="preserve"> </w:t>
      </w:r>
      <w:r>
        <w:rPr>
          <w:rFonts w:ascii="Arial" w:cs="Arial" w:eastAsia="Arial" w:hAnsi="Arial"/>
          <w:sz w:val="16"/>
          <w:szCs w:val="16"/>
          <w:color w:val="auto"/>
        </w:rPr>
        <w:t>annualized daily return volatility over the greater of the trading history or the term for each one of the guideline companies. The concluded volatility is then based on the medium of the comparable companies.</w:t>
      </w:r>
    </w:p>
    <w:p>
      <w:pPr>
        <w:spacing w:after="0" w:line="117" w:lineRule="exact"/>
        <w:rPr>
          <w:sz w:val="20"/>
          <w:szCs w:val="20"/>
          <w:color w:val="auto"/>
        </w:rPr>
      </w:pPr>
    </w:p>
    <w:p>
      <w:pPr>
        <w:ind w:left="720" w:right="780"/>
        <w:spacing w:after="0" w:line="286" w:lineRule="auto"/>
        <w:rPr>
          <w:sz w:val="20"/>
          <w:szCs w:val="20"/>
          <w:color w:val="auto"/>
        </w:rPr>
      </w:pPr>
      <w:r>
        <w:rPr>
          <w:rFonts w:ascii="Arial" w:cs="Arial" w:eastAsia="Arial" w:hAnsi="Arial"/>
          <w:sz w:val="16"/>
          <w:szCs w:val="16"/>
          <w:i w:val="1"/>
          <w:iCs w:val="1"/>
          <w:color w:val="auto"/>
        </w:rPr>
        <w:t xml:space="preserve">Risk-free interest rate. </w:t>
      </w:r>
      <w:r>
        <w:rPr>
          <w:rFonts w:ascii="Arial" w:cs="Arial" w:eastAsia="Arial" w:hAnsi="Arial"/>
          <w:sz w:val="16"/>
          <w:szCs w:val="16"/>
          <w:color w:val="auto"/>
        </w:rPr>
        <w:t>The risk-free interest rate is interpolated based on the U.S. Treasury rates sourced from S&amp;P Capital IQ with a</w:t>
      </w:r>
      <w:r>
        <w:rPr>
          <w:rFonts w:ascii="Arial" w:cs="Arial" w:eastAsia="Arial" w:hAnsi="Arial"/>
          <w:sz w:val="16"/>
          <w:szCs w:val="16"/>
          <w:i w:val="1"/>
          <w:iCs w:val="1"/>
          <w:color w:val="auto"/>
        </w:rPr>
        <w:t xml:space="preserve"> </w:t>
      </w:r>
      <w:r>
        <w:rPr>
          <w:rFonts w:ascii="Arial" w:cs="Arial" w:eastAsia="Arial" w:hAnsi="Arial"/>
          <w:sz w:val="16"/>
          <w:szCs w:val="16"/>
          <w:color w:val="auto"/>
        </w:rPr>
        <w:t>term commensurate with the remaining performance period.</w:t>
      </w:r>
    </w:p>
    <w:p>
      <w:pPr>
        <w:spacing w:after="0" w:line="102" w:lineRule="exact"/>
        <w:rPr>
          <w:sz w:val="20"/>
          <w:szCs w:val="20"/>
          <w:color w:val="auto"/>
        </w:rPr>
      </w:pPr>
    </w:p>
    <w:p>
      <w:pPr>
        <w:ind w:left="720" w:right="780"/>
        <w:spacing w:after="0" w:line="286" w:lineRule="auto"/>
        <w:rPr>
          <w:sz w:val="20"/>
          <w:szCs w:val="20"/>
          <w:color w:val="auto"/>
        </w:rPr>
      </w:pPr>
      <w:r>
        <w:rPr>
          <w:rFonts w:ascii="Arial" w:cs="Arial" w:eastAsia="Arial" w:hAnsi="Arial"/>
          <w:sz w:val="16"/>
          <w:szCs w:val="16"/>
          <w:i w:val="1"/>
          <w:iCs w:val="1"/>
          <w:color w:val="auto"/>
        </w:rPr>
        <w:t xml:space="preserve">Expected dividend. </w:t>
      </w:r>
      <w:r>
        <w:rPr>
          <w:rFonts w:ascii="Arial" w:cs="Arial" w:eastAsia="Arial" w:hAnsi="Arial"/>
          <w:sz w:val="16"/>
          <w:szCs w:val="16"/>
          <w:color w:val="auto"/>
        </w:rPr>
        <w:t>The Company has not paid and does not expect to pay dividends. Consequently, the Company uses an expected</w:t>
      </w:r>
      <w:r>
        <w:rPr>
          <w:rFonts w:ascii="Arial" w:cs="Arial" w:eastAsia="Arial" w:hAnsi="Arial"/>
          <w:sz w:val="16"/>
          <w:szCs w:val="16"/>
          <w:i w:val="1"/>
          <w:iCs w:val="1"/>
          <w:color w:val="auto"/>
        </w:rPr>
        <w:t xml:space="preserve"> </w:t>
      </w:r>
      <w:r>
        <w:rPr>
          <w:rFonts w:ascii="Arial" w:cs="Arial" w:eastAsia="Arial" w:hAnsi="Arial"/>
          <w:sz w:val="16"/>
          <w:szCs w:val="16"/>
          <w:color w:val="auto"/>
        </w:rPr>
        <w:t>dividend yield of zero.</w:t>
      </w:r>
    </w:p>
    <w:p>
      <w:pPr>
        <w:spacing w:after="0" w:line="102" w:lineRule="exact"/>
        <w:rPr>
          <w:sz w:val="20"/>
          <w:szCs w:val="20"/>
          <w:color w:val="auto"/>
        </w:rPr>
      </w:pPr>
    </w:p>
    <w:p>
      <w:pPr>
        <w:ind w:left="720" w:right="840"/>
        <w:spacing w:after="0" w:line="252" w:lineRule="auto"/>
        <w:rPr>
          <w:sz w:val="20"/>
          <w:szCs w:val="20"/>
          <w:color w:val="auto"/>
        </w:rPr>
      </w:pPr>
      <w:r>
        <w:rPr>
          <w:rFonts w:ascii="Arial" w:cs="Arial" w:eastAsia="Arial" w:hAnsi="Arial"/>
          <w:sz w:val="16"/>
          <w:szCs w:val="16"/>
          <w:color w:val="auto"/>
        </w:rPr>
        <w:t>We estimated the grant date fair value of the performance-based RSA granted to Mr. Young in December 2020 using a model based on multiple stock price paths developed through the use of a Monte Carlo simulation that incorporates into the valuation the potential stock price goals that could be achieved during each measurement period. We will recognize approximately $19.1 million in stock-based compensation expense associated with this award using the accelerated attribution method through February 15, 2024. We will recognize stock-based compensation expense if the requisite service period is provided, regardless of whether the market conditions are achieved. If Mr. Young’s employment with us is terminated, stock-based compensation expense associated with unvested tranches will be reversed and any future stock-based compensation expense that would have been taken will be cancelled from the grant date through February 15, 2024.</w:t>
      </w:r>
    </w:p>
    <w:p>
      <w:pPr>
        <w:spacing w:after="0" w:line="129" w:lineRule="exact"/>
        <w:rPr>
          <w:sz w:val="20"/>
          <w:szCs w:val="20"/>
          <w:color w:val="auto"/>
        </w:rPr>
      </w:pPr>
    </w:p>
    <w:p>
      <w:pPr>
        <w:ind w:left="720" w:right="1060"/>
        <w:spacing w:after="0" w:line="286" w:lineRule="auto"/>
        <w:rPr>
          <w:sz w:val="20"/>
          <w:szCs w:val="20"/>
          <w:color w:val="auto"/>
        </w:rPr>
      </w:pPr>
      <w:r>
        <w:rPr>
          <w:rFonts w:ascii="Arial" w:cs="Arial" w:eastAsia="Arial" w:hAnsi="Arial"/>
          <w:sz w:val="16"/>
          <w:szCs w:val="16"/>
          <w:color w:val="auto"/>
        </w:rPr>
        <w:t>The fair value of the Mr. Young's RSA awards, whereby vesting is contingent on meeting certain market conditions was estimated using the following assumptions: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22225</wp:posOffset>
            </wp:positionV>
            <wp:extent cx="6077585" cy="12001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6077585" cy="1200150"/>
                    </a:xfrm>
                    <a:prstGeom prst="rect">
                      <a:avLst/>
                    </a:prstGeom>
                    <a:noFill/>
                  </pic:spPr>
                </pic:pic>
              </a:graphicData>
            </a:graphic>
          </wp:anchor>
        </w:drawing>
      </w:r>
    </w:p>
    <w:p>
      <w:pPr>
        <w:spacing w:after="0" w:line="15" w:lineRule="exact"/>
        <w:rPr>
          <w:sz w:val="20"/>
          <w:szCs w:val="20"/>
          <w:color w:val="auto"/>
        </w:rPr>
      </w:pPr>
    </w:p>
    <w:tbl>
      <w:tblPr>
        <w:tblLayout w:type="fixed"/>
        <w:tblInd w:w="720" w:type="dxa"/>
        <w:tblCellMar>
          <w:top w:w="0" w:type="dxa"/>
          <w:left w:w="0" w:type="dxa"/>
          <w:bottom w:w="0" w:type="dxa"/>
          <w:right w:w="0" w:type="dxa"/>
        </w:tblCellMar>
      </w:tblPr>
      <w:tr>
        <w:trPr>
          <w:trHeight w:val="317"/>
        </w:trPr>
        <w:tc>
          <w:tcPr>
            <w:tcW w:w="418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Grant Date</w:t>
            </w:r>
          </w:p>
        </w:tc>
        <w:tc>
          <w:tcPr>
            <w:tcW w:w="5380" w:type="dxa"/>
            <w:vAlign w:val="bottom"/>
            <w:shd w:val="clear" w:color="auto" w:fill="F2F2F2"/>
          </w:tcPr>
          <w:p>
            <w:pPr>
              <w:jc w:val="center"/>
              <w:ind w:left="499"/>
              <w:spacing w:after="0"/>
              <w:rPr>
                <w:sz w:val="20"/>
                <w:szCs w:val="20"/>
                <w:color w:val="auto"/>
              </w:rPr>
            </w:pPr>
            <w:r>
              <w:rPr>
                <w:rFonts w:ascii="Arial" w:cs="Arial" w:eastAsia="Arial" w:hAnsi="Arial"/>
                <w:sz w:val="16"/>
                <w:szCs w:val="16"/>
                <w:color w:val="auto"/>
              </w:rPr>
              <w:t>12/1/2020</w:t>
            </w:r>
          </w:p>
        </w:tc>
      </w:tr>
      <w:tr>
        <w:trPr>
          <w:trHeight w:val="75"/>
        </w:trPr>
        <w:tc>
          <w:tcPr>
            <w:tcW w:w="4180" w:type="dxa"/>
            <w:vAlign w:val="bottom"/>
            <w:shd w:val="clear" w:color="auto" w:fill="F2F2F2"/>
          </w:tcPr>
          <w:p>
            <w:pPr>
              <w:spacing w:after="0"/>
              <w:rPr>
                <w:sz w:val="6"/>
                <w:szCs w:val="6"/>
                <w:color w:val="auto"/>
              </w:rPr>
            </w:pPr>
          </w:p>
        </w:tc>
        <w:tc>
          <w:tcPr>
            <w:tcW w:w="5380" w:type="dxa"/>
            <w:vAlign w:val="bottom"/>
            <w:shd w:val="clear" w:color="auto" w:fill="F2F2F2"/>
          </w:tcPr>
          <w:p>
            <w:pPr>
              <w:spacing w:after="0"/>
              <w:rPr>
                <w:sz w:val="6"/>
                <w:szCs w:val="6"/>
                <w:color w:val="auto"/>
              </w:rPr>
            </w:pPr>
          </w:p>
        </w:tc>
      </w:tr>
      <w:tr>
        <w:trPr>
          <w:trHeight w:val="303"/>
        </w:trPr>
        <w:tc>
          <w:tcPr>
            <w:tcW w:w="4180" w:type="dxa"/>
            <w:vAlign w:val="bottom"/>
          </w:tcPr>
          <w:p>
            <w:pPr>
              <w:ind w:left="80"/>
              <w:spacing w:after="0"/>
              <w:rPr>
                <w:sz w:val="20"/>
                <w:szCs w:val="20"/>
                <w:color w:val="auto"/>
              </w:rPr>
            </w:pPr>
            <w:r>
              <w:rPr>
                <w:rFonts w:ascii="Arial" w:cs="Arial" w:eastAsia="Arial" w:hAnsi="Arial"/>
                <w:sz w:val="16"/>
                <w:szCs w:val="16"/>
                <w:b w:val="1"/>
                <w:bCs w:val="1"/>
                <w:color w:val="auto"/>
              </w:rPr>
              <w:t>Stock Price</w:t>
            </w:r>
          </w:p>
        </w:tc>
        <w:tc>
          <w:tcPr>
            <w:tcW w:w="5380" w:type="dxa"/>
            <w:vAlign w:val="bottom"/>
          </w:tcPr>
          <w:p>
            <w:pPr>
              <w:jc w:val="center"/>
              <w:ind w:left="479"/>
              <w:spacing w:after="0"/>
              <w:rPr>
                <w:sz w:val="20"/>
                <w:szCs w:val="20"/>
                <w:color w:val="auto"/>
              </w:rPr>
            </w:pPr>
            <w:r>
              <w:rPr>
                <w:rFonts w:ascii="Arial" w:cs="Arial" w:eastAsia="Arial" w:hAnsi="Arial"/>
                <w:sz w:val="16"/>
                <w:szCs w:val="16"/>
                <w:color w:val="auto"/>
              </w:rPr>
              <w:t>$20.17</w:t>
            </w:r>
          </w:p>
        </w:tc>
      </w:tr>
      <w:tr>
        <w:trPr>
          <w:trHeight w:val="75"/>
        </w:trPr>
        <w:tc>
          <w:tcPr>
            <w:tcW w:w="4180" w:type="dxa"/>
            <w:vAlign w:val="bottom"/>
          </w:tcPr>
          <w:p>
            <w:pPr>
              <w:spacing w:after="0"/>
              <w:rPr>
                <w:sz w:val="6"/>
                <w:szCs w:val="6"/>
                <w:color w:val="auto"/>
              </w:rPr>
            </w:pPr>
          </w:p>
        </w:tc>
        <w:tc>
          <w:tcPr>
            <w:tcW w:w="5380" w:type="dxa"/>
            <w:vAlign w:val="bottom"/>
          </w:tcPr>
          <w:p>
            <w:pPr>
              <w:spacing w:after="0"/>
              <w:rPr>
                <w:sz w:val="6"/>
                <w:szCs w:val="6"/>
                <w:color w:val="auto"/>
              </w:rPr>
            </w:pPr>
          </w:p>
        </w:tc>
      </w:tr>
      <w:tr>
        <w:trPr>
          <w:trHeight w:val="303"/>
        </w:trPr>
        <w:tc>
          <w:tcPr>
            <w:tcW w:w="418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Risk-free interest rate</w:t>
            </w:r>
          </w:p>
        </w:tc>
        <w:tc>
          <w:tcPr>
            <w:tcW w:w="5380" w:type="dxa"/>
            <w:vAlign w:val="bottom"/>
            <w:shd w:val="clear" w:color="auto" w:fill="F2F2F2"/>
          </w:tcPr>
          <w:p>
            <w:pPr>
              <w:jc w:val="center"/>
              <w:ind w:left="479"/>
              <w:spacing w:after="0"/>
              <w:rPr>
                <w:sz w:val="20"/>
                <w:szCs w:val="20"/>
                <w:color w:val="auto"/>
              </w:rPr>
            </w:pPr>
            <w:r>
              <w:rPr>
                <w:rFonts w:ascii="Arial" w:cs="Arial" w:eastAsia="Arial" w:hAnsi="Arial"/>
                <w:sz w:val="16"/>
                <w:szCs w:val="16"/>
                <w:color w:val="auto"/>
              </w:rPr>
              <w:t>0.07% - 1.66%</w:t>
            </w:r>
          </w:p>
        </w:tc>
      </w:tr>
      <w:tr>
        <w:trPr>
          <w:trHeight w:val="75"/>
        </w:trPr>
        <w:tc>
          <w:tcPr>
            <w:tcW w:w="4180" w:type="dxa"/>
            <w:vAlign w:val="bottom"/>
            <w:shd w:val="clear" w:color="auto" w:fill="F2F2F2"/>
          </w:tcPr>
          <w:p>
            <w:pPr>
              <w:spacing w:after="0"/>
              <w:rPr>
                <w:sz w:val="6"/>
                <w:szCs w:val="6"/>
                <w:color w:val="auto"/>
              </w:rPr>
            </w:pPr>
          </w:p>
        </w:tc>
        <w:tc>
          <w:tcPr>
            <w:tcW w:w="5380" w:type="dxa"/>
            <w:vAlign w:val="bottom"/>
            <w:shd w:val="clear" w:color="auto" w:fill="F2F2F2"/>
          </w:tcPr>
          <w:p>
            <w:pPr>
              <w:spacing w:after="0"/>
              <w:rPr>
                <w:sz w:val="6"/>
                <w:szCs w:val="6"/>
                <w:color w:val="auto"/>
              </w:rPr>
            </w:pPr>
          </w:p>
        </w:tc>
      </w:tr>
      <w:tr>
        <w:trPr>
          <w:trHeight w:val="303"/>
        </w:trPr>
        <w:tc>
          <w:tcPr>
            <w:tcW w:w="4180" w:type="dxa"/>
            <w:vAlign w:val="bottom"/>
          </w:tcPr>
          <w:p>
            <w:pPr>
              <w:ind w:left="80"/>
              <w:spacing w:after="0"/>
              <w:rPr>
                <w:sz w:val="20"/>
                <w:szCs w:val="20"/>
                <w:color w:val="auto"/>
              </w:rPr>
            </w:pPr>
            <w:r>
              <w:rPr>
                <w:rFonts w:ascii="Arial" w:cs="Arial" w:eastAsia="Arial" w:hAnsi="Arial"/>
                <w:sz w:val="16"/>
                <w:szCs w:val="16"/>
                <w:b w:val="1"/>
                <w:bCs w:val="1"/>
                <w:color w:val="auto"/>
              </w:rPr>
              <w:t>Expected volatility</w:t>
            </w:r>
          </w:p>
        </w:tc>
        <w:tc>
          <w:tcPr>
            <w:tcW w:w="5380" w:type="dxa"/>
            <w:vAlign w:val="bottom"/>
          </w:tcPr>
          <w:p>
            <w:pPr>
              <w:jc w:val="center"/>
              <w:ind w:left="479"/>
              <w:spacing w:after="0"/>
              <w:rPr>
                <w:sz w:val="20"/>
                <w:szCs w:val="20"/>
                <w:color w:val="auto"/>
              </w:rPr>
            </w:pPr>
            <w:r>
              <w:rPr>
                <w:rFonts w:ascii="Arial" w:cs="Arial" w:eastAsia="Arial" w:hAnsi="Arial"/>
                <w:sz w:val="16"/>
                <w:szCs w:val="16"/>
                <w:color w:val="auto"/>
                <w:w w:val="99"/>
              </w:rPr>
              <w:t>48.38%</w:t>
            </w:r>
          </w:p>
        </w:tc>
      </w:tr>
      <w:tr>
        <w:trPr>
          <w:trHeight w:val="75"/>
        </w:trPr>
        <w:tc>
          <w:tcPr>
            <w:tcW w:w="4180" w:type="dxa"/>
            <w:vAlign w:val="bottom"/>
          </w:tcPr>
          <w:p>
            <w:pPr>
              <w:spacing w:after="0"/>
              <w:rPr>
                <w:sz w:val="6"/>
                <w:szCs w:val="6"/>
                <w:color w:val="auto"/>
              </w:rPr>
            </w:pPr>
          </w:p>
        </w:tc>
        <w:tc>
          <w:tcPr>
            <w:tcW w:w="5380" w:type="dxa"/>
            <w:vAlign w:val="bottom"/>
          </w:tcPr>
          <w:p>
            <w:pPr>
              <w:spacing w:after="0"/>
              <w:rPr>
                <w:sz w:val="6"/>
                <w:szCs w:val="6"/>
                <w:color w:val="auto"/>
              </w:rPr>
            </w:pPr>
          </w:p>
        </w:tc>
      </w:tr>
      <w:tr>
        <w:trPr>
          <w:trHeight w:val="303"/>
        </w:trPr>
        <w:tc>
          <w:tcPr>
            <w:tcW w:w="4180" w:type="dxa"/>
            <w:vAlign w:val="bottom"/>
            <w:shd w:val="clear" w:color="auto" w:fill="F2F2F2"/>
          </w:tcPr>
          <w:p>
            <w:pPr>
              <w:ind w:left="80"/>
              <w:spacing w:after="0"/>
              <w:rPr>
                <w:sz w:val="20"/>
                <w:szCs w:val="20"/>
                <w:color w:val="auto"/>
              </w:rPr>
            </w:pPr>
            <w:r>
              <w:rPr>
                <w:rFonts w:ascii="Arial" w:cs="Arial" w:eastAsia="Arial" w:hAnsi="Arial"/>
                <w:sz w:val="16"/>
                <w:szCs w:val="16"/>
                <w:b w:val="1"/>
                <w:bCs w:val="1"/>
                <w:color w:val="auto"/>
              </w:rPr>
              <w:t>Expected dividends</w:t>
            </w:r>
          </w:p>
        </w:tc>
        <w:tc>
          <w:tcPr>
            <w:tcW w:w="5380" w:type="dxa"/>
            <w:vAlign w:val="bottom"/>
            <w:shd w:val="clear" w:color="auto" w:fill="F2F2F2"/>
          </w:tcPr>
          <w:p>
            <w:pPr>
              <w:jc w:val="center"/>
              <w:ind w:left="499"/>
              <w:spacing w:after="0"/>
              <w:rPr>
                <w:sz w:val="20"/>
                <w:szCs w:val="20"/>
                <w:color w:val="auto"/>
              </w:rPr>
            </w:pPr>
            <w:r>
              <w:rPr>
                <w:rFonts w:ascii="Arial" w:cs="Arial" w:eastAsia="Arial" w:hAnsi="Arial"/>
                <w:sz w:val="16"/>
                <w:szCs w:val="16"/>
                <w:color w:val="auto"/>
              </w:rPr>
              <w:t>0%</w:t>
            </w:r>
          </w:p>
        </w:tc>
      </w:tr>
      <w:tr>
        <w:trPr>
          <w:trHeight w:val="48"/>
        </w:trPr>
        <w:tc>
          <w:tcPr>
            <w:tcW w:w="4180" w:type="dxa"/>
            <w:vAlign w:val="bottom"/>
            <w:shd w:val="clear" w:color="auto" w:fill="F2F2F2"/>
          </w:tcPr>
          <w:p>
            <w:pPr>
              <w:spacing w:after="0"/>
              <w:rPr>
                <w:sz w:val="4"/>
                <w:szCs w:val="4"/>
                <w:color w:val="auto"/>
              </w:rPr>
            </w:pPr>
          </w:p>
        </w:tc>
        <w:tc>
          <w:tcPr>
            <w:tcW w:w="5380" w:type="dxa"/>
            <w:vAlign w:val="bottom"/>
            <w:shd w:val="clear" w:color="auto" w:fill="F2F2F2"/>
          </w:tcPr>
          <w:p>
            <w:pPr>
              <w:spacing w:after="0"/>
              <w:rPr>
                <w:sz w:val="4"/>
                <w:szCs w:val="4"/>
                <w:color w:val="auto"/>
              </w:rPr>
            </w:pPr>
          </w:p>
        </w:tc>
      </w:tr>
    </w:tbl>
    <w:p>
      <w:pPr>
        <w:spacing w:after="0" w:line="161" w:lineRule="exact"/>
        <w:rPr>
          <w:sz w:val="20"/>
          <w:szCs w:val="20"/>
          <w:color w:val="auto"/>
        </w:rPr>
      </w:pPr>
    </w:p>
    <w:p>
      <w:pPr>
        <w:ind w:left="720" w:right="1320"/>
        <w:spacing w:after="0" w:line="286" w:lineRule="auto"/>
        <w:rPr>
          <w:sz w:val="20"/>
          <w:szCs w:val="20"/>
          <w:color w:val="auto"/>
        </w:rPr>
      </w:pPr>
      <w:r>
        <w:rPr>
          <w:rFonts w:ascii="Arial" w:cs="Arial" w:eastAsia="Arial" w:hAnsi="Arial"/>
          <w:sz w:val="16"/>
          <w:szCs w:val="16"/>
          <w:i w:val="1"/>
          <w:iCs w:val="1"/>
          <w:color w:val="auto"/>
        </w:rPr>
        <w:t xml:space="preserve">Stock Price. </w:t>
      </w:r>
      <w:r>
        <w:rPr>
          <w:rFonts w:ascii="Arial" w:cs="Arial" w:eastAsia="Arial" w:hAnsi="Arial"/>
          <w:sz w:val="16"/>
          <w:szCs w:val="16"/>
          <w:color w:val="auto"/>
        </w:rPr>
        <w:t>The stock price used in a Monte Carlo simulation is based on the Company’s close price as of the valuation date,</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1, 2020.</w:t>
      </w:r>
    </w:p>
    <w:p>
      <w:pPr>
        <w:spacing w:after="0" w:line="102" w:lineRule="exact"/>
        <w:rPr>
          <w:sz w:val="20"/>
          <w:szCs w:val="20"/>
          <w:color w:val="auto"/>
        </w:rPr>
      </w:pPr>
    </w:p>
    <w:p>
      <w:pPr>
        <w:ind w:left="720" w:right="920"/>
        <w:spacing w:after="0" w:line="286" w:lineRule="auto"/>
        <w:rPr>
          <w:sz w:val="20"/>
          <w:szCs w:val="20"/>
          <w:color w:val="auto"/>
        </w:rPr>
      </w:pPr>
      <w:r>
        <w:rPr>
          <w:rFonts w:ascii="Arial" w:cs="Arial" w:eastAsia="Arial" w:hAnsi="Arial"/>
          <w:sz w:val="16"/>
          <w:szCs w:val="16"/>
          <w:i w:val="1"/>
          <w:iCs w:val="1"/>
          <w:color w:val="auto"/>
        </w:rPr>
        <w:t xml:space="preserve">Risk-free interest rate. </w:t>
      </w:r>
      <w:r>
        <w:rPr>
          <w:rFonts w:ascii="Arial" w:cs="Arial" w:eastAsia="Arial" w:hAnsi="Arial"/>
          <w:sz w:val="16"/>
          <w:szCs w:val="16"/>
          <w:color w:val="auto"/>
        </w:rPr>
        <w:t>The risk-free rate used in a Monte Carlo simulation is interpolated based on the U.S. Treasury rates sourced</w:t>
      </w:r>
      <w:r>
        <w:rPr>
          <w:rFonts w:ascii="Arial" w:cs="Arial" w:eastAsia="Arial" w:hAnsi="Arial"/>
          <w:sz w:val="16"/>
          <w:szCs w:val="16"/>
          <w:i w:val="1"/>
          <w:iCs w:val="1"/>
          <w:color w:val="auto"/>
        </w:rPr>
        <w:t xml:space="preserve"> </w:t>
      </w:r>
      <w:r>
        <w:rPr>
          <w:rFonts w:ascii="Arial" w:cs="Arial" w:eastAsia="Arial" w:hAnsi="Arial"/>
          <w:sz w:val="16"/>
          <w:szCs w:val="16"/>
          <w:color w:val="auto"/>
        </w:rPr>
        <w:t>from Department of the Treasury as of December 1, 2020 with a term commensurate with the remaining performance period.</w:t>
      </w:r>
    </w:p>
    <w:p>
      <w:pPr>
        <w:spacing w:after="0" w:line="102" w:lineRule="exact"/>
        <w:rPr>
          <w:sz w:val="20"/>
          <w:szCs w:val="20"/>
          <w:color w:val="auto"/>
        </w:rPr>
      </w:pPr>
    </w:p>
    <w:p>
      <w:pPr>
        <w:ind w:left="720" w:right="860"/>
        <w:spacing w:after="0" w:line="259" w:lineRule="auto"/>
        <w:rPr>
          <w:sz w:val="20"/>
          <w:szCs w:val="20"/>
          <w:color w:val="auto"/>
        </w:rPr>
      </w:pPr>
      <w:r>
        <w:rPr>
          <w:rFonts w:ascii="Arial" w:cs="Arial" w:eastAsia="Arial" w:hAnsi="Arial"/>
          <w:sz w:val="16"/>
          <w:szCs w:val="16"/>
          <w:i w:val="1"/>
          <w:iCs w:val="1"/>
          <w:color w:val="auto"/>
        </w:rPr>
        <w:t xml:space="preserve">Expected volatility. </w:t>
      </w:r>
      <w:r>
        <w:rPr>
          <w:rFonts w:ascii="Arial" w:cs="Arial" w:eastAsia="Arial" w:hAnsi="Arial"/>
          <w:sz w:val="16"/>
          <w:szCs w:val="16"/>
          <w:color w:val="auto"/>
        </w:rPr>
        <w:t>The expected volatility used in a Monte Carlo simulation is based on the Company's historical volatility. Expected</w:t>
      </w:r>
      <w:r>
        <w:rPr>
          <w:rFonts w:ascii="Arial" w:cs="Arial" w:eastAsia="Arial" w:hAnsi="Arial"/>
          <w:sz w:val="16"/>
          <w:szCs w:val="16"/>
          <w:i w:val="1"/>
          <w:iCs w:val="1"/>
          <w:color w:val="auto"/>
        </w:rPr>
        <w:t xml:space="preserve"> </w:t>
      </w:r>
      <w:r>
        <w:rPr>
          <w:rFonts w:ascii="Arial" w:cs="Arial" w:eastAsia="Arial" w:hAnsi="Arial"/>
          <w:sz w:val="16"/>
          <w:szCs w:val="16"/>
          <w:color w:val="auto"/>
        </w:rPr>
        <w:t>volatility is based on the equally weighted historical volatility of 45.50% and implied volatility of 51.26%. Historical volatility was estimated based on the Company’s share close price for the period September 26, 2018 to December 1, 2020. The implied volatility was retrieved from Bloomberg for the Company’s at-the-money options with maturity on December 29, 2023.</w:t>
      </w:r>
    </w:p>
    <w:p>
      <w:pPr>
        <w:spacing w:after="0" w:line="124" w:lineRule="exact"/>
        <w:rPr>
          <w:sz w:val="20"/>
          <w:szCs w:val="20"/>
          <w:color w:val="auto"/>
        </w:rPr>
      </w:pPr>
    </w:p>
    <w:p>
      <w:pPr>
        <w:ind w:left="720" w:right="780"/>
        <w:spacing w:after="0" w:line="286" w:lineRule="auto"/>
        <w:rPr>
          <w:sz w:val="20"/>
          <w:szCs w:val="20"/>
          <w:color w:val="auto"/>
        </w:rPr>
      </w:pPr>
      <w:r>
        <w:rPr>
          <w:rFonts w:ascii="Arial" w:cs="Arial" w:eastAsia="Arial" w:hAnsi="Arial"/>
          <w:sz w:val="16"/>
          <w:szCs w:val="16"/>
          <w:i w:val="1"/>
          <w:iCs w:val="1"/>
          <w:color w:val="auto"/>
        </w:rPr>
        <w:t xml:space="preserve">Expected dividend. </w:t>
      </w:r>
      <w:r>
        <w:rPr>
          <w:rFonts w:ascii="Arial" w:cs="Arial" w:eastAsia="Arial" w:hAnsi="Arial"/>
          <w:sz w:val="16"/>
          <w:szCs w:val="16"/>
          <w:color w:val="auto"/>
        </w:rPr>
        <w:t>The Company has not paid and does not expect to pay dividends. Consequently, the Company uses an expected</w:t>
      </w:r>
      <w:r>
        <w:rPr>
          <w:rFonts w:ascii="Arial" w:cs="Arial" w:eastAsia="Arial" w:hAnsi="Arial"/>
          <w:sz w:val="16"/>
          <w:szCs w:val="16"/>
          <w:i w:val="1"/>
          <w:iCs w:val="1"/>
          <w:color w:val="auto"/>
        </w:rPr>
        <w:t xml:space="preserve"> </w:t>
      </w:r>
      <w:r>
        <w:rPr>
          <w:rFonts w:ascii="Arial" w:cs="Arial" w:eastAsia="Arial" w:hAnsi="Arial"/>
          <w:sz w:val="16"/>
          <w:szCs w:val="16"/>
          <w:color w:val="auto"/>
        </w:rPr>
        <w:t>dividend yield of zero.</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45</w:t>
            </w:r>
          </w:p>
        </w:tc>
      </w:tr>
      <w:tr>
        <w:trPr>
          <w:trHeight w:val="158"/>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49" w:name="page50"/>
    <w:bookmarkEnd w:id="49"/>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384" w:lineRule="exact"/>
        <w:rPr>
          <w:sz w:val="20"/>
          <w:szCs w:val="20"/>
          <w:color w:val="auto"/>
        </w:rPr>
      </w:pPr>
    </w:p>
    <w:p>
      <w:pPr>
        <w:ind w:left="4"/>
        <w:spacing w:after="0"/>
        <w:rPr>
          <w:sz w:val="20"/>
          <w:szCs w:val="20"/>
          <w:color w:val="auto"/>
        </w:rPr>
      </w:pPr>
      <w:r>
        <w:rPr>
          <w:rFonts w:ascii="Arial" w:cs="Arial" w:eastAsia="Arial" w:hAnsi="Arial"/>
          <w:sz w:val="26"/>
          <w:szCs w:val="26"/>
          <w:color w:val="0063A6"/>
        </w:rPr>
        <w:t>Report of the Compensation Committee</w:t>
      </w:r>
    </w:p>
    <w:p>
      <w:pPr>
        <w:spacing w:after="0" w:line="179" w:lineRule="exact"/>
        <w:rPr>
          <w:sz w:val="20"/>
          <w:szCs w:val="20"/>
          <w:color w:val="auto"/>
        </w:rPr>
      </w:pPr>
    </w:p>
    <w:p>
      <w:pPr>
        <w:ind w:left="4"/>
        <w:spacing w:after="0" w:line="259" w:lineRule="auto"/>
        <w:rPr>
          <w:sz w:val="20"/>
          <w:szCs w:val="20"/>
          <w:color w:val="auto"/>
        </w:rPr>
      </w:pPr>
      <w:r>
        <w:rPr>
          <w:rFonts w:ascii="Arial" w:cs="Arial" w:eastAsia="Arial" w:hAnsi="Arial"/>
          <w:sz w:val="16"/>
          <w:szCs w:val="16"/>
          <w:color w:val="auto"/>
        </w:rPr>
        <w:t>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and Dropbox’s Annual Report on Form 10-K for our fiscal year ended December 31, 2021.</w:t>
      </w:r>
    </w:p>
    <w:p>
      <w:pPr>
        <w:spacing w:after="0" w:line="178" w:lineRule="exact"/>
        <w:rPr>
          <w:sz w:val="20"/>
          <w:szCs w:val="20"/>
          <w:color w:val="auto"/>
        </w:rPr>
      </w:pPr>
    </w:p>
    <w:p>
      <w:pPr>
        <w:ind w:left="4"/>
        <w:spacing w:after="0"/>
        <w:rPr>
          <w:sz w:val="20"/>
          <w:szCs w:val="20"/>
          <w:color w:val="auto"/>
        </w:rPr>
      </w:pPr>
      <w:r>
        <w:rPr>
          <w:rFonts w:ascii="Arial" w:cs="Arial" w:eastAsia="Arial" w:hAnsi="Arial"/>
          <w:sz w:val="16"/>
          <w:szCs w:val="16"/>
          <w:color w:val="auto"/>
        </w:rPr>
        <w:t>Respectfully submitted by the members of the compensation committee of the board of directors:</w:t>
      </w:r>
    </w:p>
    <w:p>
      <w:pPr>
        <w:spacing w:after="0" w:line="235"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Karen Peacock (Chair)</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Sara Mathew</w:t>
      </w:r>
    </w:p>
    <w:p>
      <w:pPr>
        <w:spacing w:after="0" w:line="5"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Abhay Parasnis</w:t>
      </w:r>
    </w:p>
    <w:p>
      <w:pPr>
        <w:spacing w:after="0" w:line="5"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Michael Seibel</w:t>
      </w:r>
    </w:p>
    <w:p>
      <w:pPr>
        <w:spacing w:after="0" w:line="210" w:lineRule="exact"/>
        <w:rPr>
          <w:sz w:val="20"/>
          <w:szCs w:val="20"/>
          <w:color w:val="auto"/>
        </w:rPr>
      </w:pPr>
    </w:p>
    <w:p>
      <w:pPr>
        <w:ind w:left="524" w:hanging="524"/>
        <w:spacing w:after="0"/>
        <w:tabs>
          <w:tab w:leader="none" w:pos="524" w:val="left"/>
        </w:tabs>
        <w:numPr>
          <w:ilvl w:val="0"/>
          <w:numId w:val="70"/>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04"/>
          </w:cols>
          <w:pgMar w:left="1156" w:top="263" w:right="1239" w:bottom="1440" w:gutter="0" w:footer="0" w:header="0"/>
        </w:sectPr>
      </w:pPr>
    </w:p>
    <w:bookmarkStart w:id="50" w:name="page51"/>
    <w:bookmarkEnd w:id="50"/>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384"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Compensation Risk Assessment</w:t>
      </w:r>
    </w:p>
    <w:p>
      <w:pPr>
        <w:spacing w:after="0" w:line="179" w:lineRule="exact"/>
        <w:rPr>
          <w:sz w:val="20"/>
          <w:szCs w:val="20"/>
          <w:color w:val="auto"/>
        </w:rPr>
      </w:pPr>
    </w:p>
    <w:p>
      <w:pPr>
        <w:ind w:left="720" w:right="780"/>
        <w:spacing w:after="0" w:line="254" w:lineRule="auto"/>
        <w:rPr>
          <w:sz w:val="20"/>
          <w:szCs w:val="20"/>
          <w:color w:val="auto"/>
        </w:rPr>
      </w:pPr>
      <w:r>
        <w:rPr>
          <w:rFonts w:ascii="Arial" w:cs="Arial" w:eastAsia="Arial" w:hAnsi="Arial"/>
          <w:sz w:val="16"/>
          <w:szCs w:val="16"/>
          <w:color w:val="auto"/>
        </w:rPr>
        <w:t>Our management regularly assesses and discusses with the compensation committee our compensation programs, policies, and practices for our employees as they relate to our risk management. In this regard, we undertake a risk review of our employee compensation programs, policies, and practices (including our executive compensation program) each year to determine whether these programs, policies, and practices contain features that might create undue risks or encourage unnecessary and excessive risk-taking that could threaten our value. Based upon this review, we believe that any risks arising from such programs, policies, and practices are not reasonably likely to have a material adverse effect on us.</w:t>
      </w:r>
    </w:p>
    <w:p>
      <w:pPr>
        <w:spacing w:after="0" w:line="128" w:lineRule="exact"/>
        <w:rPr>
          <w:sz w:val="20"/>
          <w:szCs w:val="20"/>
          <w:color w:val="auto"/>
        </w:rPr>
      </w:pPr>
    </w:p>
    <w:p>
      <w:pPr>
        <w:ind w:left="720" w:right="740"/>
        <w:spacing w:after="0" w:line="253" w:lineRule="auto"/>
        <w:rPr>
          <w:sz w:val="20"/>
          <w:szCs w:val="20"/>
          <w:color w:val="auto"/>
        </w:rPr>
      </w:pPr>
      <w:r>
        <w:rPr>
          <w:rFonts w:ascii="Arial" w:cs="Arial" w:eastAsia="Arial" w:hAnsi="Arial"/>
          <w:sz w:val="16"/>
          <w:szCs w:val="16"/>
          <w:color w:val="auto"/>
        </w:rPr>
        <w:t>Our employees’ base salaries are fixed in amount and thus we do not believe that they encourage excessive risk-taking. While performance-based cash bonuses and sales commissions focus on achievement of short-term or annual goals, which may encourage the taking of short-term risks at the expense of long-term results, we believe that our compensation policies and the risk mitigation features of our cash bonus plans help mitigate this risk and our performance-based cash bonuses and sales commissions are limited, representing a small portion of the total compensation opportunities available to most non-executive employees. We also believe that our performance-based cash bonuses and sales commissions appropriately balance risk and the desire to focus our employees on specific short-term goals important to our success, and do not encourage unnecessary or excessive risk-taking.</w:t>
      </w:r>
    </w:p>
    <w:p>
      <w:pPr>
        <w:spacing w:after="0" w:line="127" w:lineRule="exact"/>
        <w:rPr>
          <w:sz w:val="20"/>
          <w:szCs w:val="20"/>
          <w:color w:val="auto"/>
        </w:rPr>
      </w:pPr>
    </w:p>
    <w:p>
      <w:pPr>
        <w:ind w:left="720" w:right="800"/>
        <w:spacing w:after="0" w:line="256" w:lineRule="auto"/>
        <w:rPr>
          <w:sz w:val="20"/>
          <w:szCs w:val="20"/>
          <w:color w:val="auto"/>
        </w:rPr>
      </w:pPr>
      <w:r>
        <w:rPr>
          <w:rFonts w:ascii="Arial" w:cs="Arial" w:eastAsia="Arial" w:hAnsi="Arial"/>
          <w:sz w:val="16"/>
          <w:szCs w:val="16"/>
          <w:color w:val="auto"/>
        </w:rPr>
        <w:t>A significant proportion of the compensation provided to most of our employees involves long-term incentive compensation in the form of equity awards that we believe are important to help further align our employees’ interests with those of our stockholders. These equity awards directly tie their expectations of compensation to their contributions to the long-term value of our company. We do not believe that these equity awards encourage unnecessary or excessive risk-taking given their multi-year vesting schedules and since their ultimate value is tied to our stock price.</w:t>
      </w:r>
    </w:p>
    <w:p>
      <w:pPr>
        <w:spacing w:after="0" w:line="18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47</w:t>
            </w:r>
          </w:p>
        </w:tc>
      </w:tr>
      <w:tr>
        <w:trPr>
          <w:trHeight w:val="158"/>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51" w:name="page52"/>
    <w:bookmarkEnd w:id="51"/>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384" w:lineRule="exact"/>
        <w:rPr>
          <w:sz w:val="20"/>
          <w:szCs w:val="20"/>
          <w:color w:val="auto"/>
        </w:rPr>
      </w:pPr>
    </w:p>
    <w:p>
      <w:pPr>
        <w:ind w:left="4"/>
        <w:spacing w:after="0"/>
        <w:rPr>
          <w:sz w:val="20"/>
          <w:szCs w:val="20"/>
          <w:color w:val="auto"/>
        </w:rPr>
      </w:pPr>
      <w:r>
        <w:rPr>
          <w:rFonts w:ascii="Arial" w:cs="Arial" w:eastAsia="Arial" w:hAnsi="Arial"/>
          <w:sz w:val="26"/>
          <w:szCs w:val="26"/>
          <w:color w:val="0063A6"/>
        </w:rPr>
        <w:t>Summary Compensation Table for Fiscal Year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62230</wp:posOffset>
            </wp:positionV>
            <wp:extent cx="6077585" cy="33947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077585" cy="3394710"/>
                    </a:xfrm>
                    <a:prstGeom prst="rect">
                      <a:avLst/>
                    </a:prstGeom>
                    <a:noFill/>
                  </pic:spPr>
                </pic:pic>
              </a:graphicData>
            </a:graphic>
          </wp:anchor>
        </w:drawing>
      </w:r>
    </w:p>
    <w:p>
      <w:pPr>
        <w:spacing w:after="0" w:line="78" w:lineRule="exact"/>
        <w:rPr>
          <w:sz w:val="20"/>
          <w:szCs w:val="20"/>
          <w:color w:val="auto"/>
        </w:rPr>
      </w:pPr>
    </w:p>
    <w:tbl>
      <w:tblPr>
        <w:tblLayout w:type="fixed"/>
        <w:tblInd w:w="4" w:type="dxa"/>
        <w:tblCellMar>
          <w:top w:w="0" w:type="dxa"/>
          <w:left w:w="0" w:type="dxa"/>
          <w:bottom w:w="0" w:type="dxa"/>
          <w:right w:w="0" w:type="dxa"/>
        </w:tblCellMar>
      </w:tblPr>
      <w:tr>
        <w:trPr>
          <w:trHeight w:val="237"/>
        </w:trPr>
        <w:tc>
          <w:tcPr>
            <w:tcW w:w="2020" w:type="dxa"/>
            <w:vAlign w:val="bottom"/>
            <w:shd w:val="clear" w:color="auto" w:fill="0063A6"/>
          </w:tcPr>
          <w:p>
            <w:pPr>
              <w:spacing w:after="0"/>
              <w:rPr>
                <w:sz w:val="20"/>
                <w:szCs w:val="20"/>
                <w:color w:val="auto"/>
              </w:rPr>
            </w:pPr>
          </w:p>
        </w:tc>
        <w:tc>
          <w:tcPr>
            <w:tcW w:w="160" w:type="dxa"/>
            <w:vAlign w:val="bottom"/>
            <w:shd w:val="clear" w:color="auto" w:fill="0063A6"/>
          </w:tcPr>
          <w:p>
            <w:pPr>
              <w:spacing w:after="0"/>
              <w:rPr>
                <w:sz w:val="20"/>
                <w:szCs w:val="20"/>
                <w:color w:val="auto"/>
              </w:rPr>
            </w:pPr>
          </w:p>
        </w:tc>
        <w:tc>
          <w:tcPr>
            <w:tcW w:w="480" w:type="dxa"/>
            <w:vAlign w:val="bottom"/>
            <w:shd w:val="clear" w:color="auto" w:fill="0063A6"/>
          </w:tcPr>
          <w:p>
            <w:pPr>
              <w:spacing w:after="0"/>
              <w:rPr>
                <w:sz w:val="20"/>
                <w:szCs w:val="20"/>
                <w:color w:val="auto"/>
              </w:rPr>
            </w:pPr>
          </w:p>
        </w:tc>
        <w:tc>
          <w:tcPr>
            <w:tcW w:w="140" w:type="dxa"/>
            <w:vAlign w:val="bottom"/>
            <w:shd w:val="clear" w:color="auto" w:fill="0063A6"/>
          </w:tcPr>
          <w:p>
            <w:pPr>
              <w:spacing w:after="0"/>
              <w:rPr>
                <w:sz w:val="20"/>
                <w:szCs w:val="20"/>
                <w:color w:val="auto"/>
              </w:rPr>
            </w:pPr>
          </w:p>
        </w:tc>
        <w:tc>
          <w:tcPr>
            <w:tcW w:w="1040" w:type="dxa"/>
            <w:vAlign w:val="bottom"/>
            <w:shd w:val="clear" w:color="auto" w:fill="0063A6"/>
          </w:tcPr>
          <w:p>
            <w:pPr>
              <w:spacing w:after="0"/>
              <w:rPr>
                <w:sz w:val="20"/>
                <w:szCs w:val="20"/>
                <w:color w:val="auto"/>
              </w:rPr>
            </w:pPr>
          </w:p>
        </w:tc>
        <w:tc>
          <w:tcPr>
            <w:tcW w:w="840" w:type="dxa"/>
            <w:vAlign w:val="bottom"/>
            <w:shd w:val="clear" w:color="auto" w:fill="0063A6"/>
          </w:tcPr>
          <w:p>
            <w:pPr>
              <w:spacing w:after="0"/>
              <w:rPr>
                <w:sz w:val="20"/>
                <w:szCs w:val="20"/>
                <w:color w:val="auto"/>
              </w:rPr>
            </w:pPr>
          </w:p>
        </w:tc>
        <w:tc>
          <w:tcPr>
            <w:tcW w:w="1320" w:type="dxa"/>
            <w:vAlign w:val="bottom"/>
            <w:vMerge w:val="restart"/>
            <w:shd w:val="clear" w:color="auto" w:fill="0063A6"/>
          </w:tcPr>
          <w:p>
            <w:pPr>
              <w:jc w:val="right"/>
              <w:ind w:right="469"/>
              <w:spacing w:after="0"/>
              <w:rPr>
                <w:sz w:val="20"/>
                <w:szCs w:val="20"/>
                <w:color w:val="auto"/>
              </w:rPr>
            </w:pPr>
            <w:r>
              <w:rPr>
                <w:rFonts w:ascii="Arial" w:cs="Arial" w:eastAsia="Arial" w:hAnsi="Arial"/>
                <w:sz w:val="14"/>
                <w:szCs w:val="14"/>
                <w:b w:val="1"/>
                <w:bCs w:val="1"/>
                <w:color w:val="FFFFFF"/>
              </w:rPr>
              <w:t>Stock</w:t>
            </w:r>
          </w:p>
        </w:tc>
        <w:tc>
          <w:tcPr>
            <w:tcW w:w="12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Non-equity</w:t>
            </w:r>
          </w:p>
        </w:tc>
        <w:tc>
          <w:tcPr>
            <w:tcW w:w="1280" w:type="dxa"/>
            <w:vAlign w:val="bottom"/>
            <w:vMerge w:val="restart"/>
            <w:shd w:val="clear" w:color="auto" w:fill="0063A6"/>
          </w:tcPr>
          <w:p>
            <w:pPr>
              <w:ind w:left="320"/>
              <w:spacing w:after="0"/>
              <w:rPr>
                <w:sz w:val="20"/>
                <w:szCs w:val="20"/>
                <w:color w:val="auto"/>
              </w:rPr>
            </w:pPr>
            <w:r>
              <w:rPr>
                <w:rFonts w:ascii="Arial" w:cs="Arial" w:eastAsia="Arial" w:hAnsi="Arial"/>
                <w:sz w:val="14"/>
                <w:szCs w:val="14"/>
                <w:b w:val="1"/>
                <w:bCs w:val="1"/>
                <w:color w:val="FFFFFF"/>
              </w:rPr>
              <w:t>All Other</w:t>
            </w:r>
          </w:p>
        </w:tc>
        <w:tc>
          <w:tcPr>
            <w:tcW w:w="1000" w:type="dxa"/>
            <w:vAlign w:val="bottom"/>
            <w:shd w:val="clear" w:color="auto" w:fill="0063A6"/>
          </w:tcPr>
          <w:p>
            <w:pPr>
              <w:spacing w:after="0"/>
              <w:rPr>
                <w:sz w:val="20"/>
                <w:szCs w:val="20"/>
                <w:color w:val="auto"/>
              </w:rPr>
            </w:pPr>
          </w:p>
        </w:tc>
        <w:tc>
          <w:tcPr>
            <w:tcW w:w="0" w:type="dxa"/>
            <w:vAlign w:val="bottom"/>
          </w:tcPr>
          <w:p>
            <w:pPr>
              <w:spacing w:after="0"/>
              <w:rPr>
                <w:sz w:val="1"/>
                <w:szCs w:val="1"/>
                <w:color w:val="auto"/>
              </w:rPr>
            </w:pPr>
          </w:p>
        </w:tc>
      </w:tr>
      <w:tr>
        <w:trPr>
          <w:trHeight w:val="148"/>
        </w:trPr>
        <w:tc>
          <w:tcPr>
            <w:tcW w:w="2020" w:type="dxa"/>
            <w:vAlign w:val="bottom"/>
            <w:vMerge w:val="restart"/>
            <w:shd w:val="clear" w:color="auto" w:fill="0063A6"/>
          </w:tcPr>
          <w:p>
            <w:pPr>
              <w:ind w:left="60"/>
              <w:spacing w:after="0"/>
              <w:rPr>
                <w:sz w:val="20"/>
                <w:szCs w:val="20"/>
                <w:color w:val="auto"/>
              </w:rPr>
            </w:pPr>
            <w:r>
              <w:rPr>
                <w:rFonts w:ascii="Arial" w:cs="Arial" w:eastAsia="Arial" w:hAnsi="Arial"/>
                <w:sz w:val="14"/>
                <w:szCs w:val="14"/>
                <w:b w:val="1"/>
                <w:bCs w:val="1"/>
                <w:color w:val="FFFFFF"/>
              </w:rPr>
              <w:t>Name and Principal</w:t>
            </w:r>
          </w:p>
        </w:tc>
        <w:tc>
          <w:tcPr>
            <w:tcW w:w="160" w:type="dxa"/>
            <w:vAlign w:val="bottom"/>
            <w:shd w:val="clear" w:color="auto" w:fill="0063A6"/>
          </w:tcPr>
          <w:p>
            <w:pPr>
              <w:spacing w:after="0"/>
              <w:rPr>
                <w:sz w:val="12"/>
                <w:szCs w:val="12"/>
                <w:color w:val="auto"/>
              </w:rPr>
            </w:pPr>
          </w:p>
        </w:tc>
        <w:tc>
          <w:tcPr>
            <w:tcW w:w="480" w:type="dxa"/>
            <w:vAlign w:val="bottom"/>
            <w:shd w:val="clear" w:color="auto" w:fill="0063A6"/>
          </w:tcPr>
          <w:p>
            <w:pPr>
              <w:spacing w:after="0"/>
              <w:rPr>
                <w:sz w:val="12"/>
                <w:szCs w:val="12"/>
                <w:color w:val="auto"/>
              </w:rPr>
            </w:pPr>
          </w:p>
        </w:tc>
        <w:tc>
          <w:tcPr>
            <w:tcW w:w="140" w:type="dxa"/>
            <w:vAlign w:val="bottom"/>
            <w:shd w:val="clear" w:color="auto" w:fill="0063A6"/>
          </w:tcPr>
          <w:p>
            <w:pPr>
              <w:spacing w:after="0"/>
              <w:rPr>
                <w:sz w:val="12"/>
                <w:szCs w:val="12"/>
                <w:color w:val="auto"/>
              </w:rPr>
            </w:pPr>
          </w:p>
        </w:tc>
        <w:tc>
          <w:tcPr>
            <w:tcW w:w="1040" w:type="dxa"/>
            <w:vAlign w:val="bottom"/>
            <w:vMerge w:val="restart"/>
            <w:shd w:val="clear" w:color="auto" w:fill="0063A6"/>
          </w:tcPr>
          <w:p>
            <w:pPr>
              <w:jc w:val="center"/>
              <w:spacing w:after="0"/>
              <w:rPr>
                <w:sz w:val="20"/>
                <w:szCs w:val="20"/>
                <w:color w:val="auto"/>
              </w:rPr>
            </w:pPr>
            <w:r>
              <w:rPr>
                <w:rFonts w:ascii="Arial" w:cs="Arial" w:eastAsia="Arial" w:hAnsi="Arial"/>
                <w:sz w:val="14"/>
                <w:szCs w:val="14"/>
                <w:b w:val="1"/>
                <w:bCs w:val="1"/>
                <w:color w:val="FFFFFF"/>
                <w:w w:val="99"/>
              </w:rPr>
              <w:t>Salary</w:t>
            </w:r>
          </w:p>
        </w:tc>
        <w:tc>
          <w:tcPr>
            <w:tcW w:w="840" w:type="dxa"/>
            <w:vAlign w:val="bottom"/>
            <w:vMerge w:val="restart"/>
            <w:shd w:val="clear" w:color="auto" w:fill="0063A6"/>
          </w:tcPr>
          <w:p>
            <w:pPr>
              <w:ind w:left="160"/>
              <w:spacing w:after="0"/>
              <w:rPr>
                <w:sz w:val="20"/>
                <w:szCs w:val="20"/>
                <w:color w:val="auto"/>
              </w:rPr>
            </w:pPr>
            <w:r>
              <w:rPr>
                <w:rFonts w:ascii="Arial" w:cs="Arial" w:eastAsia="Arial" w:hAnsi="Arial"/>
                <w:sz w:val="14"/>
                <w:szCs w:val="14"/>
                <w:b w:val="1"/>
                <w:bCs w:val="1"/>
                <w:color w:val="FFFFFF"/>
              </w:rPr>
              <w:t>Bonus</w:t>
            </w:r>
          </w:p>
        </w:tc>
        <w:tc>
          <w:tcPr>
            <w:tcW w:w="1320" w:type="dxa"/>
            <w:vAlign w:val="bottom"/>
            <w:vMerge w:val="continue"/>
            <w:shd w:val="clear" w:color="auto" w:fill="0063A6"/>
          </w:tcPr>
          <w:p>
            <w:pPr>
              <w:spacing w:after="0"/>
              <w:rPr>
                <w:sz w:val="12"/>
                <w:szCs w:val="12"/>
                <w:color w:val="auto"/>
              </w:rPr>
            </w:pPr>
          </w:p>
        </w:tc>
        <w:tc>
          <w:tcPr>
            <w:tcW w:w="1280" w:type="dxa"/>
            <w:vAlign w:val="bottom"/>
            <w:shd w:val="clear" w:color="auto" w:fill="0063A6"/>
          </w:tcPr>
          <w:p>
            <w:pPr>
              <w:jc w:val="center"/>
              <w:spacing w:after="0" w:line="149" w:lineRule="exact"/>
              <w:rPr>
                <w:sz w:val="20"/>
                <w:szCs w:val="20"/>
                <w:color w:val="auto"/>
              </w:rPr>
            </w:pPr>
            <w:r>
              <w:rPr>
                <w:rFonts w:ascii="Arial" w:cs="Arial" w:eastAsia="Arial" w:hAnsi="Arial"/>
                <w:sz w:val="14"/>
                <w:szCs w:val="14"/>
                <w:b w:val="1"/>
                <w:bCs w:val="1"/>
                <w:color w:val="FFFFFF"/>
                <w:w w:val="99"/>
              </w:rPr>
              <w:t>Incentive Plan</w:t>
            </w:r>
          </w:p>
        </w:tc>
        <w:tc>
          <w:tcPr>
            <w:tcW w:w="1280" w:type="dxa"/>
            <w:vAlign w:val="bottom"/>
            <w:vMerge w:val="continue"/>
            <w:shd w:val="clear" w:color="auto" w:fill="0063A6"/>
          </w:tcPr>
          <w:p>
            <w:pPr>
              <w:spacing w:after="0"/>
              <w:rPr>
                <w:sz w:val="12"/>
                <w:szCs w:val="12"/>
                <w:color w:val="auto"/>
              </w:rPr>
            </w:pPr>
          </w:p>
        </w:tc>
        <w:tc>
          <w:tcPr>
            <w:tcW w:w="1000" w:type="dxa"/>
            <w:vAlign w:val="bottom"/>
            <w:vMerge w:val="restart"/>
            <w:shd w:val="clear" w:color="auto" w:fill="0063A6"/>
          </w:tcPr>
          <w:p>
            <w:pPr>
              <w:jc w:val="center"/>
              <w:spacing w:after="0"/>
              <w:rPr>
                <w:sz w:val="20"/>
                <w:szCs w:val="20"/>
                <w:color w:val="auto"/>
              </w:rPr>
            </w:pPr>
            <w:r>
              <w:rPr>
                <w:rFonts w:ascii="Arial" w:cs="Arial" w:eastAsia="Arial" w:hAnsi="Arial"/>
                <w:sz w:val="14"/>
                <w:szCs w:val="14"/>
                <w:b w:val="1"/>
                <w:bCs w:val="1"/>
                <w:color w:val="FFFFFF"/>
                <w:w w:val="95"/>
              </w:rPr>
              <w:t>Total</w:t>
            </w:r>
          </w:p>
        </w:tc>
        <w:tc>
          <w:tcPr>
            <w:tcW w:w="0" w:type="dxa"/>
            <w:vAlign w:val="bottom"/>
          </w:tcPr>
          <w:p>
            <w:pPr>
              <w:spacing w:after="0"/>
              <w:rPr>
                <w:sz w:val="1"/>
                <w:szCs w:val="1"/>
                <w:color w:val="auto"/>
              </w:rPr>
            </w:pPr>
          </w:p>
        </w:tc>
      </w:tr>
      <w:tr>
        <w:trPr>
          <w:trHeight w:val="145"/>
        </w:trPr>
        <w:tc>
          <w:tcPr>
            <w:tcW w:w="2020" w:type="dxa"/>
            <w:vAlign w:val="bottom"/>
            <w:vMerge w:val="continue"/>
            <w:shd w:val="clear" w:color="auto" w:fill="0063A6"/>
          </w:tcPr>
          <w:p>
            <w:pPr>
              <w:spacing w:after="0"/>
              <w:rPr>
                <w:sz w:val="12"/>
                <w:szCs w:val="12"/>
                <w:color w:val="auto"/>
              </w:rPr>
            </w:pPr>
          </w:p>
        </w:tc>
        <w:tc>
          <w:tcPr>
            <w:tcW w:w="160" w:type="dxa"/>
            <w:vAlign w:val="bottom"/>
            <w:shd w:val="clear" w:color="auto" w:fill="0063A6"/>
          </w:tcPr>
          <w:p>
            <w:pPr>
              <w:spacing w:after="0"/>
              <w:rPr>
                <w:sz w:val="12"/>
                <w:szCs w:val="12"/>
                <w:color w:val="auto"/>
              </w:rPr>
            </w:pPr>
          </w:p>
        </w:tc>
        <w:tc>
          <w:tcPr>
            <w:tcW w:w="620" w:type="dxa"/>
            <w:vAlign w:val="bottom"/>
            <w:gridSpan w:val="2"/>
            <w:vMerge w:val="restart"/>
            <w:shd w:val="clear" w:color="auto" w:fill="0063A6"/>
          </w:tcPr>
          <w:p>
            <w:pPr>
              <w:ind w:left="100"/>
              <w:spacing w:after="0"/>
              <w:rPr>
                <w:sz w:val="20"/>
                <w:szCs w:val="20"/>
                <w:color w:val="auto"/>
              </w:rPr>
            </w:pPr>
            <w:r>
              <w:rPr>
                <w:rFonts w:ascii="Arial" w:cs="Arial" w:eastAsia="Arial" w:hAnsi="Arial"/>
                <w:sz w:val="14"/>
                <w:szCs w:val="14"/>
                <w:b w:val="1"/>
                <w:bCs w:val="1"/>
                <w:color w:val="FFFFFF"/>
              </w:rPr>
              <w:t>Year</w:t>
            </w:r>
          </w:p>
        </w:tc>
        <w:tc>
          <w:tcPr>
            <w:tcW w:w="1040" w:type="dxa"/>
            <w:vAlign w:val="bottom"/>
            <w:vMerge w:val="continue"/>
            <w:shd w:val="clear" w:color="auto" w:fill="0063A6"/>
          </w:tcPr>
          <w:p>
            <w:pPr>
              <w:spacing w:after="0"/>
              <w:rPr>
                <w:sz w:val="12"/>
                <w:szCs w:val="12"/>
                <w:color w:val="auto"/>
              </w:rPr>
            </w:pPr>
          </w:p>
        </w:tc>
        <w:tc>
          <w:tcPr>
            <w:tcW w:w="840" w:type="dxa"/>
            <w:vAlign w:val="bottom"/>
            <w:vMerge w:val="continue"/>
            <w:shd w:val="clear" w:color="auto" w:fill="0063A6"/>
          </w:tcPr>
          <w:p>
            <w:pPr>
              <w:spacing w:after="0"/>
              <w:rPr>
                <w:sz w:val="12"/>
                <w:szCs w:val="12"/>
                <w:color w:val="auto"/>
              </w:rPr>
            </w:pPr>
          </w:p>
        </w:tc>
        <w:tc>
          <w:tcPr>
            <w:tcW w:w="1320" w:type="dxa"/>
            <w:vAlign w:val="bottom"/>
            <w:shd w:val="clear" w:color="auto" w:fill="0063A6"/>
          </w:tcPr>
          <w:p>
            <w:pPr>
              <w:jc w:val="right"/>
              <w:ind w:right="409"/>
              <w:spacing w:after="0" w:line="145" w:lineRule="exact"/>
              <w:rPr>
                <w:sz w:val="20"/>
                <w:szCs w:val="20"/>
                <w:color w:val="auto"/>
              </w:rPr>
            </w:pPr>
            <w:r>
              <w:rPr>
                <w:rFonts w:ascii="Arial" w:cs="Arial" w:eastAsia="Arial" w:hAnsi="Arial"/>
                <w:sz w:val="14"/>
                <w:szCs w:val="14"/>
                <w:b w:val="1"/>
                <w:bCs w:val="1"/>
                <w:color w:val="FFFFFF"/>
              </w:rPr>
              <w:t>Awards</w:t>
            </w:r>
          </w:p>
        </w:tc>
        <w:tc>
          <w:tcPr>
            <w:tcW w:w="128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Compensation</w:t>
            </w:r>
          </w:p>
        </w:tc>
        <w:tc>
          <w:tcPr>
            <w:tcW w:w="1280" w:type="dxa"/>
            <w:vAlign w:val="bottom"/>
            <w:shd w:val="clear" w:color="auto" w:fill="0063A6"/>
          </w:tcPr>
          <w:p>
            <w:pPr>
              <w:ind w:left="140"/>
              <w:spacing w:after="0" w:line="145" w:lineRule="exact"/>
              <w:rPr>
                <w:sz w:val="20"/>
                <w:szCs w:val="20"/>
                <w:color w:val="auto"/>
              </w:rPr>
            </w:pPr>
            <w:r>
              <w:rPr>
                <w:rFonts w:ascii="Arial" w:cs="Arial" w:eastAsia="Arial" w:hAnsi="Arial"/>
                <w:sz w:val="14"/>
                <w:szCs w:val="14"/>
                <w:b w:val="1"/>
                <w:bCs w:val="1"/>
                <w:color w:val="FFFFFF"/>
              </w:rPr>
              <w:t>Compensation</w:t>
            </w:r>
          </w:p>
        </w:tc>
        <w:tc>
          <w:tcPr>
            <w:tcW w:w="1000" w:type="dxa"/>
            <w:vAlign w:val="bottom"/>
            <w:vMerge w:val="continue"/>
            <w:shd w:val="clear" w:color="auto" w:fill="0063A6"/>
          </w:tcPr>
          <w:p>
            <w:pPr>
              <w:spacing w:after="0"/>
              <w:rPr>
                <w:sz w:val="12"/>
                <w:szCs w:val="12"/>
                <w:color w:val="auto"/>
              </w:rPr>
            </w:pPr>
          </w:p>
        </w:tc>
        <w:tc>
          <w:tcPr>
            <w:tcW w:w="0" w:type="dxa"/>
            <w:vAlign w:val="bottom"/>
          </w:tcPr>
          <w:p>
            <w:pPr>
              <w:spacing w:after="0"/>
              <w:rPr>
                <w:sz w:val="1"/>
                <w:szCs w:val="1"/>
                <w:color w:val="auto"/>
              </w:rPr>
            </w:pPr>
          </w:p>
        </w:tc>
      </w:tr>
      <w:tr>
        <w:trPr>
          <w:trHeight w:val="266"/>
        </w:trPr>
        <w:tc>
          <w:tcPr>
            <w:tcW w:w="2020" w:type="dxa"/>
            <w:vAlign w:val="bottom"/>
            <w:shd w:val="clear" w:color="auto" w:fill="0063A6"/>
          </w:tcPr>
          <w:p>
            <w:pPr>
              <w:ind w:left="60"/>
              <w:spacing w:after="0"/>
              <w:rPr>
                <w:sz w:val="20"/>
                <w:szCs w:val="20"/>
                <w:color w:val="auto"/>
              </w:rPr>
            </w:pPr>
            <w:r>
              <w:rPr>
                <w:rFonts w:ascii="Arial" w:cs="Arial" w:eastAsia="Arial" w:hAnsi="Arial"/>
                <w:sz w:val="14"/>
                <w:szCs w:val="14"/>
                <w:b w:val="1"/>
                <w:bCs w:val="1"/>
                <w:color w:val="FFFFFF"/>
              </w:rPr>
              <w:t>Position</w:t>
            </w:r>
          </w:p>
        </w:tc>
        <w:tc>
          <w:tcPr>
            <w:tcW w:w="160" w:type="dxa"/>
            <w:vAlign w:val="bottom"/>
            <w:shd w:val="clear" w:color="auto" w:fill="0063A6"/>
          </w:tcPr>
          <w:p>
            <w:pPr>
              <w:spacing w:after="0"/>
              <w:rPr>
                <w:sz w:val="23"/>
                <w:szCs w:val="23"/>
                <w:color w:val="auto"/>
              </w:rPr>
            </w:pPr>
          </w:p>
        </w:tc>
        <w:tc>
          <w:tcPr>
            <w:tcW w:w="620" w:type="dxa"/>
            <w:vAlign w:val="bottom"/>
            <w:gridSpan w:val="2"/>
            <w:vMerge w:val="continue"/>
            <w:shd w:val="clear" w:color="auto" w:fill="0063A6"/>
          </w:tcPr>
          <w:p>
            <w:pPr>
              <w:spacing w:after="0"/>
              <w:rPr>
                <w:sz w:val="23"/>
                <w:szCs w:val="23"/>
                <w:color w:val="auto"/>
              </w:rPr>
            </w:pPr>
          </w:p>
        </w:tc>
        <w:tc>
          <w:tcPr>
            <w:tcW w:w="104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w:t>
            </w:r>
          </w:p>
        </w:tc>
        <w:tc>
          <w:tcPr>
            <w:tcW w:w="840" w:type="dxa"/>
            <w:vAlign w:val="bottom"/>
            <w:shd w:val="clear" w:color="auto" w:fill="0063A6"/>
          </w:tcPr>
          <w:p>
            <w:pPr>
              <w:jc w:val="center"/>
              <w:ind w:right="8"/>
              <w:spacing w:after="0"/>
              <w:rPr>
                <w:sz w:val="20"/>
                <w:szCs w:val="20"/>
                <w:color w:val="auto"/>
              </w:rPr>
            </w:pPr>
            <w:r>
              <w:rPr>
                <w:rFonts w:ascii="Arial" w:cs="Arial" w:eastAsia="Arial" w:hAnsi="Arial"/>
                <w:sz w:val="14"/>
                <w:szCs w:val="14"/>
                <w:b w:val="1"/>
                <w:bCs w:val="1"/>
                <w:color w:val="FFFFFF"/>
                <w:w w:val="93"/>
              </w:rPr>
              <w:t>($)</w:t>
            </w:r>
          </w:p>
        </w:tc>
        <w:tc>
          <w:tcPr>
            <w:tcW w:w="1320" w:type="dxa"/>
            <w:vAlign w:val="bottom"/>
            <w:shd w:val="clear" w:color="auto" w:fill="0063A6"/>
          </w:tcPr>
          <w:p>
            <w:pPr>
              <w:jc w:val="center"/>
              <w:ind w:right="29"/>
              <w:spacing w:after="0" w:line="266" w:lineRule="exact"/>
              <w:rPr>
                <w:sz w:val="20"/>
                <w:szCs w:val="20"/>
                <w:color w:val="auto"/>
              </w:rPr>
            </w:pPr>
            <w:r>
              <w:rPr>
                <w:rFonts w:ascii="Arial" w:cs="Arial" w:eastAsia="Arial" w:hAnsi="Arial"/>
                <w:sz w:val="28"/>
                <w:szCs w:val="28"/>
                <w:b w:val="1"/>
                <w:bCs w:val="1"/>
                <w:color w:val="FFFFFF"/>
                <w:w w:val="79"/>
                <w:vertAlign w:val="subscript"/>
              </w:rPr>
              <w:t>($)</w:t>
            </w:r>
            <w:r>
              <w:rPr>
                <w:rFonts w:ascii="Arial" w:cs="Arial" w:eastAsia="Arial" w:hAnsi="Arial"/>
                <w:sz w:val="12"/>
                <w:szCs w:val="12"/>
                <w:b w:val="1"/>
                <w:bCs w:val="1"/>
                <w:color w:val="FFFFFF"/>
                <w:w w:val="79"/>
              </w:rPr>
              <w:t>(1)</w:t>
            </w:r>
          </w:p>
        </w:tc>
        <w:tc>
          <w:tcPr>
            <w:tcW w:w="1280" w:type="dxa"/>
            <w:vAlign w:val="bottom"/>
            <w:shd w:val="clear" w:color="auto" w:fill="0063A6"/>
          </w:tcPr>
          <w:p>
            <w:pPr>
              <w:jc w:val="center"/>
              <w:spacing w:after="0" w:line="266" w:lineRule="exact"/>
              <w:rPr>
                <w:sz w:val="20"/>
                <w:szCs w:val="20"/>
                <w:color w:val="auto"/>
              </w:rPr>
            </w:pPr>
            <w:r>
              <w:rPr>
                <w:rFonts w:ascii="Arial" w:cs="Arial" w:eastAsia="Arial" w:hAnsi="Arial"/>
                <w:sz w:val="28"/>
                <w:szCs w:val="28"/>
                <w:b w:val="1"/>
                <w:bCs w:val="1"/>
                <w:color w:val="FFFFFF"/>
                <w:w w:val="85"/>
                <w:vertAlign w:val="subscript"/>
              </w:rPr>
              <w:t>($)</w:t>
            </w:r>
            <w:r>
              <w:rPr>
                <w:rFonts w:ascii="Arial" w:cs="Arial" w:eastAsia="Arial" w:hAnsi="Arial"/>
                <w:sz w:val="12"/>
                <w:szCs w:val="12"/>
                <w:b w:val="1"/>
                <w:bCs w:val="1"/>
                <w:color w:val="FFFFFF"/>
                <w:w w:val="85"/>
              </w:rPr>
              <w:t>(2)</w:t>
            </w:r>
          </w:p>
        </w:tc>
        <w:tc>
          <w:tcPr>
            <w:tcW w:w="1280" w:type="dxa"/>
            <w:vAlign w:val="bottom"/>
            <w:shd w:val="clear" w:color="auto" w:fill="0063A6"/>
          </w:tcPr>
          <w:p>
            <w:pPr>
              <w:ind w:left="480"/>
              <w:spacing w:after="0" w:line="266" w:lineRule="exact"/>
              <w:rPr>
                <w:sz w:val="20"/>
                <w:szCs w:val="20"/>
                <w:color w:val="auto"/>
              </w:rPr>
            </w:pPr>
            <w:r>
              <w:rPr>
                <w:rFonts w:ascii="Arial" w:cs="Arial" w:eastAsia="Arial" w:hAnsi="Arial"/>
                <w:sz w:val="28"/>
                <w:szCs w:val="28"/>
                <w:b w:val="1"/>
                <w:bCs w:val="1"/>
                <w:color w:val="FFFFFF"/>
                <w:vertAlign w:val="subscript"/>
              </w:rPr>
              <w:t>($)</w:t>
            </w:r>
            <w:r>
              <w:rPr>
                <w:rFonts w:ascii="Arial" w:cs="Arial" w:eastAsia="Arial" w:hAnsi="Arial"/>
                <w:sz w:val="12"/>
                <w:szCs w:val="12"/>
                <w:b w:val="1"/>
                <w:bCs w:val="1"/>
                <w:color w:val="FFFFFF"/>
              </w:rPr>
              <w:t>(3)</w:t>
            </w:r>
          </w:p>
        </w:tc>
        <w:tc>
          <w:tcPr>
            <w:tcW w:w="1000" w:type="dxa"/>
            <w:vAlign w:val="bottom"/>
            <w:shd w:val="clear" w:color="auto" w:fill="0063A6"/>
          </w:tcPr>
          <w:p>
            <w:pPr>
              <w:jc w:val="center"/>
              <w:ind w:left="8"/>
              <w:spacing w:after="0"/>
              <w:rPr>
                <w:sz w:val="20"/>
                <w:szCs w:val="20"/>
                <w:color w:val="auto"/>
              </w:rPr>
            </w:pPr>
            <w:r>
              <w:rPr>
                <w:rFonts w:ascii="Arial" w:cs="Arial" w:eastAsia="Arial" w:hAnsi="Arial"/>
                <w:sz w:val="14"/>
                <w:szCs w:val="14"/>
                <w:b w:val="1"/>
                <w:bCs w:val="1"/>
                <w:color w:val="FFFFFF"/>
                <w:w w:val="93"/>
              </w:rPr>
              <w:t>($)</w:t>
            </w:r>
          </w:p>
        </w:tc>
        <w:tc>
          <w:tcPr>
            <w:tcW w:w="0" w:type="dxa"/>
            <w:vAlign w:val="bottom"/>
          </w:tcPr>
          <w:p>
            <w:pPr>
              <w:spacing w:after="0"/>
              <w:rPr>
                <w:sz w:val="1"/>
                <w:szCs w:val="1"/>
                <w:color w:val="auto"/>
              </w:rPr>
            </w:pPr>
          </w:p>
        </w:tc>
      </w:tr>
      <w:tr>
        <w:trPr>
          <w:trHeight w:val="351"/>
        </w:trPr>
        <w:tc>
          <w:tcPr>
            <w:tcW w:w="2020" w:type="dxa"/>
            <w:vAlign w:val="bottom"/>
            <w:vMerge w:val="restart"/>
            <w:shd w:val="clear" w:color="auto" w:fill="F2F2F2"/>
          </w:tcPr>
          <w:p>
            <w:pPr>
              <w:ind w:left="60"/>
              <w:spacing w:after="0"/>
              <w:rPr>
                <w:sz w:val="20"/>
                <w:szCs w:val="20"/>
                <w:color w:val="auto"/>
              </w:rPr>
            </w:pPr>
            <w:r>
              <w:rPr>
                <w:rFonts w:ascii="Arial" w:cs="Arial" w:eastAsia="Arial" w:hAnsi="Arial"/>
                <w:sz w:val="14"/>
                <w:szCs w:val="14"/>
                <w:b w:val="1"/>
                <w:bCs w:val="1"/>
                <w:color w:val="auto"/>
              </w:rPr>
              <w:t>Andrew W. Houston</w:t>
            </w:r>
          </w:p>
        </w:tc>
        <w:tc>
          <w:tcPr>
            <w:tcW w:w="160" w:type="dxa"/>
            <w:vAlign w:val="bottom"/>
            <w:shd w:val="clear" w:color="auto" w:fill="F2F2F2"/>
          </w:tcPr>
          <w:p>
            <w:pPr>
              <w:spacing w:after="0"/>
              <w:rPr>
                <w:sz w:val="24"/>
                <w:szCs w:val="24"/>
                <w:color w:val="auto"/>
              </w:rPr>
            </w:pPr>
          </w:p>
        </w:tc>
        <w:tc>
          <w:tcPr>
            <w:tcW w:w="480" w:type="dxa"/>
            <w:vAlign w:val="bottom"/>
            <w:shd w:val="clear" w:color="auto" w:fill="F2F2F2"/>
          </w:tcPr>
          <w:p>
            <w:pPr>
              <w:spacing w:after="0"/>
              <w:rPr>
                <w:sz w:val="20"/>
                <w:szCs w:val="20"/>
                <w:color w:val="auto"/>
              </w:rPr>
            </w:pPr>
            <w:r>
              <w:rPr>
                <w:rFonts w:ascii="Arial" w:cs="Arial" w:eastAsia="Arial" w:hAnsi="Arial"/>
                <w:sz w:val="14"/>
                <w:szCs w:val="14"/>
                <w:color w:val="auto"/>
              </w:rPr>
              <w:t>2021</w:t>
            </w:r>
          </w:p>
        </w:tc>
        <w:tc>
          <w:tcPr>
            <w:tcW w:w="140" w:type="dxa"/>
            <w:vAlign w:val="bottom"/>
            <w:shd w:val="clear" w:color="auto" w:fill="F2F2F2"/>
          </w:tcPr>
          <w:p>
            <w:pPr>
              <w:spacing w:after="0"/>
              <w:rPr>
                <w:sz w:val="24"/>
                <w:szCs w:val="24"/>
                <w:color w:val="auto"/>
              </w:rPr>
            </w:pPr>
          </w:p>
        </w:tc>
        <w:tc>
          <w:tcPr>
            <w:tcW w:w="1040" w:type="dxa"/>
            <w:vAlign w:val="bottom"/>
            <w:shd w:val="clear" w:color="auto" w:fill="F2F2F2"/>
          </w:tcPr>
          <w:p>
            <w:pPr>
              <w:ind w:left="160"/>
              <w:spacing w:after="0"/>
              <w:rPr>
                <w:sz w:val="20"/>
                <w:szCs w:val="20"/>
                <w:color w:val="auto"/>
              </w:rPr>
            </w:pPr>
            <w:r>
              <w:rPr>
                <w:rFonts w:ascii="Arial" w:cs="Arial" w:eastAsia="Arial" w:hAnsi="Arial"/>
                <w:sz w:val="14"/>
                <w:szCs w:val="14"/>
                <w:color w:val="auto"/>
              </w:rPr>
              <w:t>606,250</w:t>
            </w:r>
          </w:p>
        </w:tc>
        <w:tc>
          <w:tcPr>
            <w:tcW w:w="840" w:type="dxa"/>
            <w:vAlign w:val="bottom"/>
            <w:shd w:val="clear" w:color="auto" w:fill="F2F2F2"/>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shd w:val="clear" w:color="auto" w:fill="F2F2F2"/>
          </w:tcPr>
          <w:p>
            <w:pPr>
              <w:jc w:val="center"/>
              <w:ind w:right="29"/>
              <w:spacing w:after="0"/>
              <w:rPr>
                <w:sz w:val="20"/>
                <w:szCs w:val="20"/>
                <w:color w:val="auto"/>
              </w:rPr>
            </w:pPr>
            <w:r>
              <w:rPr>
                <w:rFonts w:ascii="Arial" w:cs="Arial" w:eastAsia="Arial" w:hAnsi="Arial"/>
                <w:sz w:val="14"/>
                <w:szCs w:val="14"/>
                <w:color w:val="auto"/>
                <w:w w:val="99"/>
              </w:rPr>
              <w:t>—</w:t>
            </w:r>
          </w:p>
        </w:tc>
        <w:tc>
          <w:tcPr>
            <w:tcW w:w="1280" w:type="dxa"/>
            <w:vAlign w:val="bottom"/>
            <w:shd w:val="clear" w:color="auto" w:fill="F2F2F2"/>
          </w:tcPr>
          <w:p>
            <w:pPr>
              <w:ind w:left="360"/>
              <w:spacing w:after="0"/>
              <w:rPr>
                <w:sz w:val="20"/>
                <w:szCs w:val="20"/>
                <w:color w:val="auto"/>
              </w:rPr>
            </w:pPr>
            <w:r>
              <w:rPr>
                <w:rFonts w:ascii="Arial" w:cs="Arial" w:eastAsia="Arial" w:hAnsi="Arial"/>
                <w:sz w:val="14"/>
                <w:szCs w:val="14"/>
                <w:color w:val="auto"/>
              </w:rPr>
              <w:t>883,679</w:t>
            </w:r>
          </w:p>
        </w:tc>
        <w:tc>
          <w:tcPr>
            <w:tcW w:w="1280" w:type="dxa"/>
            <w:vAlign w:val="bottom"/>
            <w:shd w:val="clear" w:color="auto" w:fill="F2F2F2"/>
          </w:tcPr>
          <w:p>
            <w:pPr>
              <w:ind w:left="420"/>
              <w:spacing w:after="0"/>
              <w:rPr>
                <w:sz w:val="20"/>
                <w:szCs w:val="20"/>
                <w:color w:val="auto"/>
              </w:rPr>
            </w:pPr>
            <w:r>
              <w:rPr>
                <w:rFonts w:ascii="Arial" w:cs="Arial" w:eastAsia="Arial" w:hAnsi="Arial"/>
                <w:sz w:val="14"/>
                <w:szCs w:val="14"/>
                <w:color w:val="auto"/>
              </w:rPr>
              <w:t>25,340</w:t>
            </w:r>
            <w:r>
              <w:rPr>
                <w:rFonts w:ascii="Arial" w:cs="Arial" w:eastAsia="Arial" w:hAnsi="Arial"/>
                <w:sz w:val="23"/>
                <w:szCs w:val="23"/>
                <w:color w:val="auto"/>
                <w:vertAlign w:val="superscript"/>
              </w:rPr>
              <w:t>(4)</w:t>
            </w:r>
          </w:p>
        </w:tc>
        <w:tc>
          <w:tcPr>
            <w:tcW w:w="1000" w:type="dxa"/>
            <w:vAlign w:val="bottom"/>
            <w:shd w:val="clear" w:color="auto" w:fill="F2F2F2"/>
          </w:tcPr>
          <w:p>
            <w:pPr>
              <w:jc w:val="right"/>
              <w:ind w:right="48"/>
              <w:spacing w:after="0"/>
              <w:rPr>
                <w:sz w:val="20"/>
                <w:szCs w:val="20"/>
                <w:color w:val="auto"/>
              </w:rPr>
            </w:pPr>
            <w:r>
              <w:rPr>
                <w:rFonts w:ascii="Arial" w:cs="Arial" w:eastAsia="Arial" w:hAnsi="Arial"/>
                <w:sz w:val="14"/>
                <w:szCs w:val="14"/>
                <w:color w:val="auto"/>
              </w:rPr>
              <w:t>1,515,269</w:t>
            </w:r>
          </w:p>
        </w:tc>
        <w:tc>
          <w:tcPr>
            <w:tcW w:w="0" w:type="dxa"/>
            <w:vAlign w:val="bottom"/>
          </w:tcPr>
          <w:p>
            <w:pPr>
              <w:spacing w:after="0"/>
              <w:rPr>
                <w:sz w:val="1"/>
                <w:szCs w:val="1"/>
                <w:color w:val="auto"/>
              </w:rPr>
            </w:pPr>
          </w:p>
        </w:tc>
      </w:tr>
      <w:tr>
        <w:trPr>
          <w:trHeight w:val="87"/>
        </w:trPr>
        <w:tc>
          <w:tcPr>
            <w:tcW w:w="2020" w:type="dxa"/>
            <w:vAlign w:val="bottom"/>
            <w:vMerge w:val="continue"/>
            <w:shd w:val="clear" w:color="auto" w:fill="F2F2F2"/>
          </w:tcPr>
          <w:p>
            <w:pPr>
              <w:spacing w:after="0"/>
              <w:rPr>
                <w:sz w:val="7"/>
                <w:szCs w:val="7"/>
                <w:color w:val="auto"/>
              </w:rPr>
            </w:pPr>
          </w:p>
        </w:tc>
        <w:tc>
          <w:tcPr>
            <w:tcW w:w="160" w:type="dxa"/>
            <w:vAlign w:val="bottom"/>
            <w:shd w:val="clear" w:color="auto" w:fill="F2F2F2"/>
          </w:tcPr>
          <w:p>
            <w:pPr>
              <w:spacing w:after="0"/>
              <w:rPr>
                <w:sz w:val="7"/>
                <w:szCs w:val="7"/>
                <w:color w:val="auto"/>
              </w:rPr>
            </w:pPr>
          </w:p>
        </w:tc>
        <w:tc>
          <w:tcPr>
            <w:tcW w:w="480" w:type="dxa"/>
            <w:vAlign w:val="bottom"/>
            <w:vMerge w:val="restart"/>
            <w:shd w:val="clear" w:color="auto" w:fill="F2F2F2"/>
          </w:tcPr>
          <w:p>
            <w:pPr>
              <w:spacing w:after="0"/>
              <w:rPr>
                <w:sz w:val="20"/>
                <w:szCs w:val="20"/>
                <w:color w:val="auto"/>
              </w:rPr>
            </w:pPr>
            <w:r>
              <w:rPr>
                <w:rFonts w:ascii="Arial" w:cs="Arial" w:eastAsia="Arial" w:hAnsi="Arial"/>
                <w:sz w:val="14"/>
                <w:szCs w:val="14"/>
                <w:color w:val="auto"/>
              </w:rPr>
              <w:t>2020</w:t>
            </w:r>
          </w:p>
        </w:tc>
        <w:tc>
          <w:tcPr>
            <w:tcW w:w="140" w:type="dxa"/>
            <w:vAlign w:val="bottom"/>
            <w:shd w:val="clear" w:color="auto" w:fill="F2F2F2"/>
          </w:tcPr>
          <w:p>
            <w:pPr>
              <w:spacing w:after="0"/>
              <w:rPr>
                <w:sz w:val="7"/>
                <w:szCs w:val="7"/>
                <w:color w:val="auto"/>
              </w:rPr>
            </w:pPr>
          </w:p>
        </w:tc>
        <w:tc>
          <w:tcPr>
            <w:tcW w:w="1040" w:type="dxa"/>
            <w:vAlign w:val="bottom"/>
            <w:vMerge w:val="restart"/>
            <w:shd w:val="clear" w:color="auto" w:fill="F2F2F2"/>
          </w:tcPr>
          <w:p>
            <w:pPr>
              <w:ind w:left="160"/>
              <w:spacing w:after="0"/>
              <w:rPr>
                <w:sz w:val="20"/>
                <w:szCs w:val="20"/>
                <w:color w:val="auto"/>
              </w:rPr>
            </w:pPr>
            <w:r>
              <w:rPr>
                <w:rFonts w:ascii="Arial" w:cs="Arial" w:eastAsia="Arial" w:hAnsi="Arial"/>
                <w:sz w:val="14"/>
                <w:szCs w:val="14"/>
                <w:color w:val="auto"/>
              </w:rPr>
              <w:t>587,500</w:t>
            </w:r>
          </w:p>
        </w:tc>
        <w:tc>
          <w:tcPr>
            <w:tcW w:w="840" w:type="dxa"/>
            <w:vAlign w:val="bottom"/>
            <w:vMerge w:val="restart"/>
            <w:shd w:val="clear" w:color="auto" w:fill="F2F2F2"/>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vMerge w:val="restart"/>
            <w:shd w:val="clear" w:color="auto" w:fill="F2F2F2"/>
          </w:tcPr>
          <w:p>
            <w:pPr>
              <w:jc w:val="center"/>
              <w:ind w:right="29"/>
              <w:spacing w:after="0"/>
              <w:rPr>
                <w:sz w:val="20"/>
                <w:szCs w:val="20"/>
                <w:color w:val="auto"/>
              </w:rPr>
            </w:pPr>
            <w:r>
              <w:rPr>
                <w:rFonts w:ascii="Arial" w:cs="Arial" w:eastAsia="Arial" w:hAnsi="Arial"/>
                <w:sz w:val="14"/>
                <w:szCs w:val="14"/>
                <w:color w:val="auto"/>
                <w:w w:val="99"/>
              </w:rPr>
              <w:t>—</w:t>
            </w:r>
          </w:p>
        </w:tc>
        <w:tc>
          <w:tcPr>
            <w:tcW w:w="1280" w:type="dxa"/>
            <w:vAlign w:val="bottom"/>
            <w:vMerge w:val="restart"/>
            <w:shd w:val="clear" w:color="auto" w:fill="F2F2F2"/>
          </w:tcPr>
          <w:p>
            <w:pPr>
              <w:ind w:left="360"/>
              <w:spacing w:after="0"/>
              <w:rPr>
                <w:sz w:val="20"/>
                <w:szCs w:val="20"/>
                <w:color w:val="auto"/>
              </w:rPr>
            </w:pPr>
            <w:r>
              <w:rPr>
                <w:rFonts w:ascii="Arial" w:cs="Arial" w:eastAsia="Arial" w:hAnsi="Arial"/>
                <w:sz w:val="14"/>
                <w:szCs w:val="14"/>
                <w:color w:val="auto"/>
              </w:rPr>
              <w:t>675,389</w:t>
            </w:r>
          </w:p>
        </w:tc>
        <w:tc>
          <w:tcPr>
            <w:tcW w:w="1280" w:type="dxa"/>
            <w:vAlign w:val="bottom"/>
            <w:vMerge w:val="restart"/>
            <w:shd w:val="clear" w:color="auto" w:fill="F2F2F2"/>
          </w:tcPr>
          <w:p>
            <w:pPr>
              <w:ind w:left="480"/>
              <w:spacing w:after="0"/>
              <w:rPr>
                <w:sz w:val="20"/>
                <w:szCs w:val="20"/>
                <w:color w:val="auto"/>
              </w:rPr>
            </w:pPr>
            <w:r>
              <w:rPr>
                <w:rFonts w:ascii="Arial" w:cs="Arial" w:eastAsia="Arial" w:hAnsi="Arial"/>
                <w:sz w:val="14"/>
                <w:szCs w:val="14"/>
                <w:color w:val="auto"/>
              </w:rPr>
              <w:t>6,000</w:t>
            </w:r>
          </w:p>
        </w:tc>
        <w:tc>
          <w:tcPr>
            <w:tcW w:w="1000" w:type="dxa"/>
            <w:vAlign w:val="bottom"/>
            <w:vMerge w:val="restart"/>
            <w:shd w:val="clear" w:color="auto" w:fill="F2F2F2"/>
          </w:tcPr>
          <w:p>
            <w:pPr>
              <w:jc w:val="right"/>
              <w:ind w:right="48"/>
              <w:spacing w:after="0"/>
              <w:rPr>
                <w:sz w:val="20"/>
                <w:szCs w:val="20"/>
                <w:color w:val="auto"/>
              </w:rPr>
            </w:pPr>
            <w:r>
              <w:rPr>
                <w:rFonts w:ascii="Arial" w:cs="Arial" w:eastAsia="Arial" w:hAnsi="Arial"/>
                <w:sz w:val="14"/>
                <w:szCs w:val="14"/>
                <w:color w:val="auto"/>
              </w:rPr>
              <w:t>1,268,889</w:t>
            </w:r>
          </w:p>
        </w:tc>
        <w:tc>
          <w:tcPr>
            <w:tcW w:w="0" w:type="dxa"/>
            <w:vAlign w:val="bottom"/>
          </w:tcPr>
          <w:p>
            <w:pPr>
              <w:spacing w:after="0"/>
              <w:rPr>
                <w:sz w:val="1"/>
                <w:szCs w:val="1"/>
                <w:color w:val="auto"/>
              </w:rPr>
            </w:pPr>
          </w:p>
        </w:tc>
      </w:tr>
      <w:tr>
        <w:trPr>
          <w:trHeight w:val="162"/>
        </w:trPr>
        <w:tc>
          <w:tcPr>
            <w:tcW w:w="2020" w:type="dxa"/>
            <w:vAlign w:val="bottom"/>
            <w:shd w:val="clear" w:color="auto" w:fill="F2F2F2"/>
          </w:tcPr>
          <w:p>
            <w:pPr>
              <w:ind w:left="60"/>
              <w:spacing w:after="0"/>
              <w:rPr>
                <w:sz w:val="20"/>
                <w:szCs w:val="20"/>
                <w:color w:val="auto"/>
              </w:rPr>
            </w:pPr>
            <w:r>
              <w:rPr>
                <w:rFonts w:ascii="Arial" w:cs="Arial" w:eastAsia="Arial" w:hAnsi="Arial"/>
                <w:sz w:val="14"/>
                <w:szCs w:val="14"/>
                <w:i w:val="1"/>
                <w:iCs w:val="1"/>
                <w:color w:val="auto"/>
              </w:rPr>
              <w:t>Chief Executive Officer</w:t>
            </w:r>
          </w:p>
        </w:tc>
        <w:tc>
          <w:tcPr>
            <w:tcW w:w="160" w:type="dxa"/>
            <w:vAlign w:val="bottom"/>
            <w:shd w:val="clear" w:color="auto" w:fill="F2F2F2"/>
          </w:tcPr>
          <w:p>
            <w:pPr>
              <w:spacing w:after="0"/>
              <w:rPr>
                <w:sz w:val="14"/>
                <w:szCs w:val="14"/>
                <w:color w:val="auto"/>
              </w:rPr>
            </w:pPr>
          </w:p>
        </w:tc>
        <w:tc>
          <w:tcPr>
            <w:tcW w:w="480" w:type="dxa"/>
            <w:vAlign w:val="bottom"/>
            <w:vMerge w:val="continue"/>
            <w:shd w:val="clear" w:color="auto" w:fill="F2F2F2"/>
          </w:tcPr>
          <w:p>
            <w:pPr>
              <w:spacing w:after="0"/>
              <w:rPr>
                <w:sz w:val="14"/>
                <w:szCs w:val="14"/>
                <w:color w:val="auto"/>
              </w:rPr>
            </w:pPr>
          </w:p>
        </w:tc>
        <w:tc>
          <w:tcPr>
            <w:tcW w:w="140" w:type="dxa"/>
            <w:vAlign w:val="bottom"/>
            <w:shd w:val="clear" w:color="auto" w:fill="F2F2F2"/>
          </w:tcPr>
          <w:p>
            <w:pPr>
              <w:spacing w:after="0"/>
              <w:rPr>
                <w:sz w:val="14"/>
                <w:szCs w:val="14"/>
                <w:color w:val="auto"/>
              </w:rPr>
            </w:pPr>
          </w:p>
        </w:tc>
        <w:tc>
          <w:tcPr>
            <w:tcW w:w="1040" w:type="dxa"/>
            <w:vAlign w:val="bottom"/>
            <w:vMerge w:val="continue"/>
            <w:shd w:val="clear" w:color="auto" w:fill="F2F2F2"/>
          </w:tcPr>
          <w:p>
            <w:pPr>
              <w:spacing w:after="0"/>
              <w:rPr>
                <w:sz w:val="14"/>
                <w:szCs w:val="14"/>
                <w:color w:val="auto"/>
              </w:rPr>
            </w:pPr>
          </w:p>
        </w:tc>
        <w:tc>
          <w:tcPr>
            <w:tcW w:w="840" w:type="dxa"/>
            <w:vAlign w:val="bottom"/>
            <w:vMerge w:val="continue"/>
            <w:shd w:val="clear" w:color="auto" w:fill="F2F2F2"/>
          </w:tcPr>
          <w:p>
            <w:pPr>
              <w:spacing w:after="0"/>
              <w:rPr>
                <w:sz w:val="14"/>
                <w:szCs w:val="14"/>
                <w:color w:val="auto"/>
              </w:rPr>
            </w:pPr>
          </w:p>
        </w:tc>
        <w:tc>
          <w:tcPr>
            <w:tcW w:w="1320" w:type="dxa"/>
            <w:vAlign w:val="bottom"/>
            <w:vMerge w:val="continue"/>
            <w:shd w:val="clear" w:color="auto" w:fill="F2F2F2"/>
          </w:tcPr>
          <w:p>
            <w:pPr>
              <w:spacing w:after="0"/>
              <w:rPr>
                <w:sz w:val="14"/>
                <w:szCs w:val="14"/>
                <w:color w:val="auto"/>
              </w:rPr>
            </w:pPr>
          </w:p>
        </w:tc>
        <w:tc>
          <w:tcPr>
            <w:tcW w:w="1280" w:type="dxa"/>
            <w:vAlign w:val="bottom"/>
            <w:vMerge w:val="continue"/>
            <w:shd w:val="clear" w:color="auto" w:fill="F2F2F2"/>
          </w:tcPr>
          <w:p>
            <w:pPr>
              <w:spacing w:after="0"/>
              <w:rPr>
                <w:sz w:val="14"/>
                <w:szCs w:val="14"/>
                <w:color w:val="auto"/>
              </w:rPr>
            </w:pPr>
          </w:p>
        </w:tc>
        <w:tc>
          <w:tcPr>
            <w:tcW w:w="1280" w:type="dxa"/>
            <w:vAlign w:val="bottom"/>
            <w:vMerge w:val="continue"/>
            <w:shd w:val="clear" w:color="auto" w:fill="F2F2F2"/>
          </w:tcPr>
          <w:p>
            <w:pPr>
              <w:spacing w:after="0"/>
              <w:rPr>
                <w:sz w:val="14"/>
                <w:szCs w:val="14"/>
                <w:color w:val="auto"/>
              </w:rPr>
            </w:pPr>
          </w:p>
        </w:tc>
        <w:tc>
          <w:tcPr>
            <w:tcW w:w="1000" w:type="dxa"/>
            <w:vAlign w:val="bottom"/>
            <w:vMerge w:val="continue"/>
            <w:shd w:val="clear" w:color="auto" w:fill="F2F2F2"/>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20" w:type="dxa"/>
            <w:vAlign w:val="bottom"/>
            <w:shd w:val="clear" w:color="auto" w:fill="F2F2F2"/>
          </w:tcPr>
          <w:p>
            <w:pPr>
              <w:ind w:left="60"/>
              <w:spacing w:after="0"/>
              <w:rPr>
                <w:sz w:val="20"/>
                <w:szCs w:val="20"/>
                <w:color w:val="auto"/>
              </w:rPr>
            </w:pPr>
            <w:r>
              <w:rPr>
                <w:rFonts w:ascii="Arial" w:cs="Arial" w:eastAsia="Arial" w:hAnsi="Arial"/>
                <w:sz w:val="14"/>
                <w:szCs w:val="14"/>
                <w:i w:val="1"/>
                <w:iCs w:val="1"/>
                <w:color w:val="auto"/>
              </w:rPr>
              <w:t>and Co-Founder</w:t>
            </w:r>
          </w:p>
        </w:tc>
        <w:tc>
          <w:tcPr>
            <w:tcW w:w="160" w:type="dxa"/>
            <w:vAlign w:val="bottom"/>
            <w:shd w:val="clear" w:color="auto" w:fill="F2F2F2"/>
          </w:tcPr>
          <w:p>
            <w:pPr>
              <w:spacing w:after="0"/>
              <w:rPr>
                <w:sz w:val="16"/>
                <w:szCs w:val="16"/>
                <w:color w:val="auto"/>
              </w:rPr>
            </w:pPr>
          </w:p>
        </w:tc>
        <w:tc>
          <w:tcPr>
            <w:tcW w:w="480" w:type="dxa"/>
            <w:vAlign w:val="bottom"/>
            <w:vMerge w:val="restart"/>
            <w:shd w:val="clear" w:color="auto" w:fill="F2F2F2"/>
          </w:tcPr>
          <w:p>
            <w:pPr>
              <w:spacing w:after="0"/>
              <w:rPr>
                <w:sz w:val="20"/>
                <w:szCs w:val="20"/>
                <w:color w:val="auto"/>
              </w:rPr>
            </w:pPr>
            <w:r>
              <w:rPr>
                <w:rFonts w:ascii="Arial" w:cs="Arial" w:eastAsia="Arial" w:hAnsi="Arial"/>
                <w:sz w:val="14"/>
                <w:szCs w:val="14"/>
                <w:color w:val="auto"/>
              </w:rPr>
              <w:t>2019</w:t>
            </w:r>
          </w:p>
        </w:tc>
        <w:tc>
          <w:tcPr>
            <w:tcW w:w="140" w:type="dxa"/>
            <w:vAlign w:val="bottom"/>
            <w:shd w:val="clear" w:color="auto" w:fill="F2F2F2"/>
          </w:tcPr>
          <w:p>
            <w:pPr>
              <w:spacing w:after="0"/>
              <w:rPr>
                <w:sz w:val="16"/>
                <w:szCs w:val="16"/>
                <w:color w:val="auto"/>
              </w:rPr>
            </w:pPr>
          </w:p>
        </w:tc>
        <w:tc>
          <w:tcPr>
            <w:tcW w:w="1040" w:type="dxa"/>
            <w:vAlign w:val="bottom"/>
            <w:vMerge w:val="restart"/>
            <w:shd w:val="clear" w:color="auto" w:fill="F2F2F2"/>
          </w:tcPr>
          <w:p>
            <w:pPr>
              <w:ind w:left="160"/>
              <w:spacing w:after="0"/>
              <w:rPr>
                <w:sz w:val="20"/>
                <w:szCs w:val="20"/>
                <w:color w:val="auto"/>
              </w:rPr>
            </w:pPr>
            <w:r>
              <w:rPr>
                <w:rFonts w:ascii="Arial" w:cs="Arial" w:eastAsia="Arial" w:hAnsi="Arial"/>
                <w:sz w:val="14"/>
                <w:szCs w:val="14"/>
                <w:color w:val="auto"/>
              </w:rPr>
              <w:t>700,000</w:t>
            </w:r>
          </w:p>
        </w:tc>
        <w:tc>
          <w:tcPr>
            <w:tcW w:w="840" w:type="dxa"/>
            <w:vAlign w:val="bottom"/>
            <w:vMerge w:val="restart"/>
            <w:shd w:val="clear" w:color="auto" w:fill="F2F2F2"/>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vMerge w:val="restart"/>
            <w:shd w:val="clear" w:color="auto" w:fill="F2F2F2"/>
          </w:tcPr>
          <w:p>
            <w:pPr>
              <w:jc w:val="center"/>
              <w:ind w:right="29"/>
              <w:spacing w:after="0"/>
              <w:rPr>
                <w:sz w:val="20"/>
                <w:szCs w:val="20"/>
                <w:color w:val="auto"/>
              </w:rPr>
            </w:pPr>
            <w:r>
              <w:rPr>
                <w:rFonts w:ascii="Arial" w:cs="Arial" w:eastAsia="Arial" w:hAnsi="Arial"/>
                <w:sz w:val="14"/>
                <w:szCs w:val="14"/>
                <w:color w:val="auto"/>
                <w:w w:val="99"/>
              </w:rPr>
              <w:t>—</w:t>
            </w:r>
          </w:p>
        </w:tc>
        <w:tc>
          <w:tcPr>
            <w:tcW w:w="1280" w:type="dxa"/>
            <w:vAlign w:val="bottom"/>
            <w:vMerge w:val="restart"/>
            <w:shd w:val="clear" w:color="auto" w:fill="F2F2F2"/>
          </w:tcPr>
          <w:p>
            <w:pPr>
              <w:ind w:left="360"/>
              <w:spacing w:after="0"/>
              <w:rPr>
                <w:sz w:val="20"/>
                <w:szCs w:val="20"/>
                <w:color w:val="auto"/>
              </w:rPr>
            </w:pPr>
            <w:r>
              <w:rPr>
                <w:rFonts w:ascii="Arial" w:cs="Arial" w:eastAsia="Arial" w:hAnsi="Arial"/>
                <w:sz w:val="14"/>
                <w:szCs w:val="14"/>
                <w:color w:val="auto"/>
              </w:rPr>
              <w:t>679,192</w:t>
            </w:r>
          </w:p>
        </w:tc>
        <w:tc>
          <w:tcPr>
            <w:tcW w:w="1280" w:type="dxa"/>
            <w:vAlign w:val="bottom"/>
            <w:vMerge w:val="restart"/>
            <w:shd w:val="clear" w:color="auto" w:fill="F2F2F2"/>
          </w:tcPr>
          <w:p>
            <w:pPr>
              <w:ind w:left="480"/>
              <w:spacing w:after="0"/>
              <w:rPr>
                <w:sz w:val="20"/>
                <w:szCs w:val="20"/>
                <w:color w:val="auto"/>
              </w:rPr>
            </w:pPr>
            <w:r>
              <w:rPr>
                <w:rFonts w:ascii="Arial" w:cs="Arial" w:eastAsia="Arial" w:hAnsi="Arial"/>
                <w:sz w:val="14"/>
                <w:szCs w:val="14"/>
                <w:color w:val="auto"/>
              </w:rPr>
              <w:t>6,000</w:t>
            </w:r>
          </w:p>
        </w:tc>
        <w:tc>
          <w:tcPr>
            <w:tcW w:w="1000" w:type="dxa"/>
            <w:vAlign w:val="bottom"/>
            <w:vMerge w:val="restart"/>
            <w:shd w:val="clear" w:color="auto" w:fill="F2F2F2"/>
          </w:tcPr>
          <w:p>
            <w:pPr>
              <w:jc w:val="right"/>
              <w:ind w:right="48"/>
              <w:spacing w:after="0"/>
              <w:rPr>
                <w:sz w:val="20"/>
                <w:szCs w:val="20"/>
                <w:color w:val="auto"/>
              </w:rPr>
            </w:pPr>
            <w:r>
              <w:rPr>
                <w:rFonts w:ascii="Arial" w:cs="Arial" w:eastAsia="Arial" w:hAnsi="Arial"/>
                <w:sz w:val="14"/>
                <w:szCs w:val="14"/>
                <w:color w:val="auto"/>
              </w:rPr>
              <w:t>1,385,192</w:t>
            </w:r>
          </w:p>
        </w:tc>
        <w:tc>
          <w:tcPr>
            <w:tcW w:w="0" w:type="dxa"/>
            <w:vAlign w:val="bottom"/>
          </w:tcPr>
          <w:p>
            <w:pPr>
              <w:spacing w:after="0"/>
              <w:rPr>
                <w:sz w:val="1"/>
                <w:szCs w:val="1"/>
                <w:color w:val="auto"/>
              </w:rPr>
            </w:pPr>
          </w:p>
        </w:tc>
      </w:tr>
      <w:tr>
        <w:trPr>
          <w:trHeight w:val="189"/>
        </w:trPr>
        <w:tc>
          <w:tcPr>
            <w:tcW w:w="2020" w:type="dxa"/>
            <w:vAlign w:val="bottom"/>
            <w:shd w:val="clear" w:color="auto" w:fill="F2F2F2"/>
          </w:tcPr>
          <w:p>
            <w:pPr>
              <w:spacing w:after="0"/>
              <w:rPr>
                <w:sz w:val="16"/>
                <w:szCs w:val="16"/>
                <w:color w:val="auto"/>
              </w:rPr>
            </w:pPr>
          </w:p>
        </w:tc>
        <w:tc>
          <w:tcPr>
            <w:tcW w:w="160" w:type="dxa"/>
            <w:vAlign w:val="bottom"/>
            <w:shd w:val="clear" w:color="auto" w:fill="F2F2F2"/>
          </w:tcPr>
          <w:p>
            <w:pPr>
              <w:spacing w:after="0"/>
              <w:rPr>
                <w:sz w:val="16"/>
                <w:szCs w:val="16"/>
                <w:color w:val="auto"/>
              </w:rPr>
            </w:pPr>
          </w:p>
        </w:tc>
        <w:tc>
          <w:tcPr>
            <w:tcW w:w="480" w:type="dxa"/>
            <w:vAlign w:val="bottom"/>
            <w:vMerge w:val="continue"/>
            <w:shd w:val="clear" w:color="auto" w:fill="F2F2F2"/>
          </w:tcPr>
          <w:p>
            <w:pPr>
              <w:spacing w:after="0"/>
              <w:rPr>
                <w:sz w:val="16"/>
                <w:szCs w:val="16"/>
                <w:color w:val="auto"/>
              </w:rPr>
            </w:pPr>
          </w:p>
        </w:tc>
        <w:tc>
          <w:tcPr>
            <w:tcW w:w="140" w:type="dxa"/>
            <w:vAlign w:val="bottom"/>
            <w:shd w:val="clear" w:color="auto" w:fill="F2F2F2"/>
          </w:tcPr>
          <w:p>
            <w:pPr>
              <w:spacing w:after="0"/>
              <w:rPr>
                <w:sz w:val="16"/>
                <w:szCs w:val="16"/>
                <w:color w:val="auto"/>
              </w:rPr>
            </w:pPr>
          </w:p>
        </w:tc>
        <w:tc>
          <w:tcPr>
            <w:tcW w:w="1040" w:type="dxa"/>
            <w:vAlign w:val="bottom"/>
            <w:vMerge w:val="continue"/>
            <w:shd w:val="clear" w:color="auto" w:fill="F2F2F2"/>
          </w:tcPr>
          <w:p>
            <w:pPr>
              <w:spacing w:after="0"/>
              <w:rPr>
                <w:sz w:val="16"/>
                <w:szCs w:val="16"/>
                <w:color w:val="auto"/>
              </w:rPr>
            </w:pPr>
          </w:p>
        </w:tc>
        <w:tc>
          <w:tcPr>
            <w:tcW w:w="840" w:type="dxa"/>
            <w:vAlign w:val="bottom"/>
            <w:vMerge w:val="continue"/>
            <w:shd w:val="clear" w:color="auto" w:fill="F2F2F2"/>
          </w:tcPr>
          <w:p>
            <w:pPr>
              <w:spacing w:after="0"/>
              <w:rPr>
                <w:sz w:val="16"/>
                <w:szCs w:val="16"/>
                <w:color w:val="auto"/>
              </w:rPr>
            </w:pPr>
          </w:p>
        </w:tc>
        <w:tc>
          <w:tcPr>
            <w:tcW w:w="1320" w:type="dxa"/>
            <w:vAlign w:val="bottom"/>
            <w:vMerge w:val="continue"/>
            <w:shd w:val="clear" w:color="auto" w:fill="F2F2F2"/>
          </w:tcPr>
          <w:p>
            <w:pPr>
              <w:spacing w:after="0"/>
              <w:rPr>
                <w:sz w:val="16"/>
                <w:szCs w:val="16"/>
                <w:color w:val="auto"/>
              </w:rPr>
            </w:pPr>
          </w:p>
        </w:tc>
        <w:tc>
          <w:tcPr>
            <w:tcW w:w="1280" w:type="dxa"/>
            <w:vAlign w:val="bottom"/>
            <w:vMerge w:val="continue"/>
            <w:shd w:val="clear" w:color="auto" w:fill="F2F2F2"/>
          </w:tcPr>
          <w:p>
            <w:pPr>
              <w:spacing w:after="0"/>
              <w:rPr>
                <w:sz w:val="16"/>
                <w:szCs w:val="16"/>
                <w:color w:val="auto"/>
              </w:rPr>
            </w:pPr>
          </w:p>
        </w:tc>
        <w:tc>
          <w:tcPr>
            <w:tcW w:w="1280" w:type="dxa"/>
            <w:vAlign w:val="bottom"/>
            <w:vMerge w:val="continue"/>
            <w:shd w:val="clear" w:color="auto" w:fill="F2F2F2"/>
          </w:tcPr>
          <w:p>
            <w:pPr>
              <w:spacing w:after="0"/>
              <w:rPr>
                <w:sz w:val="16"/>
                <w:szCs w:val="16"/>
                <w:color w:val="auto"/>
              </w:rPr>
            </w:pPr>
          </w:p>
        </w:tc>
        <w:tc>
          <w:tcPr>
            <w:tcW w:w="1000" w:type="dxa"/>
            <w:vAlign w:val="bottom"/>
            <w:vMerge w:val="continue"/>
            <w:shd w:val="clear" w:color="auto" w:fill="F2F2F2"/>
          </w:tcPr>
          <w:p>
            <w:pPr>
              <w:spacing w:after="0"/>
              <w:rPr>
                <w:sz w:val="16"/>
                <w:szCs w:val="16"/>
                <w:color w:val="auto"/>
              </w:rPr>
            </w:pPr>
          </w:p>
        </w:tc>
        <w:tc>
          <w:tcPr>
            <w:tcW w:w="0" w:type="dxa"/>
            <w:vAlign w:val="bottom"/>
          </w:tcPr>
          <w:p>
            <w:pPr>
              <w:spacing w:after="0"/>
              <w:rPr>
                <w:sz w:val="1"/>
                <w:szCs w:val="1"/>
                <w:color w:val="auto"/>
              </w:rPr>
            </w:pPr>
          </w:p>
        </w:tc>
      </w:tr>
      <w:tr>
        <w:trPr>
          <w:trHeight w:val="76"/>
        </w:trPr>
        <w:tc>
          <w:tcPr>
            <w:tcW w:w="2020" w:type="dxa"/>
            <w:vAlign w:val="bottom"/>
            <w:shd w:val="clear" w:color="auto" w:fill="F2F2F2"/>
          </w:tcPr>
          <w:p>
            <w:pPr>
              <w:spacing w:after="0"/>
              <w:rPr>
                <w:sz w:val="6"/>
                <w:szCs w:val="6"/>
                <w:color w:val="auto"/>
              </w:rPr>
            </w:pPr>
          </w:p>
        </w:tc>
        <w:tc>
          <w:tcPr>
            <w:tcW w:w="160" w:type="dxa"/>
            <w:vAlign w:val="bottom"/>
            <w:shd w:val="clear" w:color="auto" w:fill="F2F2F2"/>
          </w:tcPr>
          <w:p>
            <w:pPr>
              <w:spacing w:after="0"/>
              <w:rPr>
                <w:sz w:val="6"/>
                <w:szCs w:val="6"/>
                <w:color w:val="auto"/>
              </w:rPr>
            </w:pPr>
          </w:p>
        </w:tc>
        <w:tc>
          <w:tcPr>
            <w:tcW w:w="480" w:type="dxa"/>
            <w:vAlign w:val="bottom"/>
            <w:shd w:val="clear" w:color="auto" w:fill="F2F2F2"/>
          </w:tcPr>
          <w:p>
            <w:pPr>
              <w:spacing w:after="0"/>
              <w:rPr>
                <w:sz w:val="6"/>
                <w:szCs w:val="6"/>
                <w:color w:val="auto"/>
              </w:rPr>
            </w:pPr>
          </w:p>
        </w:tc>
        <w:tc>
          <w:tcPr>
            <w:tcW w:w="140" w:type="dxa"/>
            <w:vAlign w:val="bottom"/>
            <w:shd w:val="clear" w:color="auto" w:fill="F2F2F2"/>
          </w:tcPr>
          <w:p>
            <w:pPr>
              <w:spacing w:after="0"/>
              <w:rPr>
                <w:sz w:val="6"/>
                <w:szCs w:val="6"/>
                <w:color w:val="auto"/>
              </w:rPr>
            </w:pPr>
          </w:p>
        </w:tc>
        <w:tc>
          <w:tcPr>
            <w:tcW w:w="1040" w:type="dxa"/>
            <w:vAlign w:val="bottom"/>
            <w:shd w:val="clear" w:color="auto" w:fill="F2F2F2"/>
          </w:tcPr>
          <w:p>
            <w:pPr>
              <w:spacing w:after="0"/>
              <w:rPr>
                <w:sz w:val="6"/>
                <w:szCs w:val="6"/>
                <w:color w:val="auto"/>
              </w:rPr>
            </w:pPr>
          </w:p>
        </w:tc>
        <w:tc>
          <w:tcPr>
            <w:tcW w:w="840" w:type="dxa"/>
            <w:vAlign w:val="bottom"/>
            <w:shd w:val="clear" w:color="auto" w:fill="F2F2F2"/>
          </w:tcPr>
          <w:p>
            <w:pPr>
              <w:spacing w:after="0"/>
              <w:rPr>
                <w:sz w:val="6"/>
                <w:szCs w:val="6"/>
                <w:color w:val="auto"/>
              </w:rPr>
            </w:pPr>
          </w:p>
        </w:tc>
        <w:tc>
          <w:tcPr>
            <w:tcW w:w="1320" w:type="dxa"/>
            <w:vAlign w:val="bottom"/>
            <w:shd w:val="clear" w:color="auto" w:fill="F2F2F2"/>
          </w:tcPr>
          <w:p>
            <w:pPr>
              <w:spacing w:after="0"/>
              <w:rPr>
                <w:sz w:val="6"/>
                <w:szCs w:val="6"/>
                <w:color w:val="auto"/>
              </w:rPr>
            </w:pPr>
          </w:p>
        </w:tc>
        <w:tc>
          <w:tcPr>
            <w:tcW w:w="1280" w:type="dxa"/>
            <w:vAlign w:val="bottom"/>
            <w:shd w:val="clear" w:color="auto" w:fill="F2F2F2"/>
          </w:tcPr>
          <w:p>
            <w:pPr>
              <w:spacing w:after="0"/>
              <w:rPr>
                <w:sz w:val="6"/>
                <w:szCs w:val="6"/>
                <w:color w:val="auto"/>
              </w:rPr>
            </w:pPr>
          </w:p>
        </w:tc>
        <w:tc>
          <w:tcPr>
            <w:tcW w:w="1280" w:type="dxa"/>
            <w:vAlign w:val="bottom"/>
            <w:shd w:val="clear" w:color="auto" w:fill="F2F2F2"/>
          </w:tcPr>
          <w:p>
            <w:pPr>
              <w:spacing w:after="0"/>
              <w:rPr>
                <w:sz w:val="6"/>
                <w:szCs w:val="6"/>
                <w:color w:val="auto"/>
              </w:rPr>
            </w:pPr>
          </w:p>
        </w:tc>
        <w:tc>
          <w:tcPr>
            <w:tcW w:w="1000" w:type="dxa"/>
            <w:vAlign w:val="bottom"/>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344"/>
        </w:trPr>
        <w:tc>
          <w:tcPr>
            <w:tcW w:w="2020" w:type="dxa"/>
            <w:vAlign w:val="bottom"/>
          </w:tcPr>
          <w:p>
            <w:pPr>
              <w:ind w:left="60"/>
              <w:spacing w:after="0"/>
              <w:rPr>
                <w:sz w:val="20"/>
                <w:szCs w:val="20"/>
                <w:color w:val="auto"/>
              </w:rPr>
            </w:pPr>
            <w:r>
              <w:rPr>
                <w:rFonts w:ascii="Arial" w:cs="Arial" w:eastAsia="Arial" w:hAnsi="Arial"/>
                <w:sz w:val="14"/>
                <w:szCs w:val="14"/>
                <w:b w:val="1"/>
                <w:bCs w:val="1"/>
                <w:color w:val="auto"/>
              </w:rPr>
              <w:t>Timothy Regan</w:t>
            </w:r>
          </w:p>
        </w:tc>
        <w:tc>
          <w:tcPr>
            <w:tcW w:w="640" w:type="dxa"/>
            <w:vAlign w:val="bottom"/>
            <w:gridSpan w:val="2"/>
          </w:tcPr>
          <w:p>
            <w:pPr>
              <w:ind w:left="160"/>
              <w:spacing w:after="0"/>
              <w:rPr>
                <w:sz w:val="20"/>
                <w:szCs w:val="20"/>
                <w:color w:val="auto"/>
              </w:rPr>
            </w:pPr>
            <w:r>
              <w:rPr>
                <w:rFonts w:ascii="Arial" w:cs="Arial" w:eastAsia="Arial" w:hAnsi="Arial"/>
                <w:sz w:val="14"/>
                <w:szCs w:val="14"/>
                <w:color w:val="auto"/>
              </w:rPr>
              <w:t>2021</w:t>
            </w:r>
          </w:p>
        </w:tc>
        <w:tc>
          <w:tcPr>
            <w:tcW w:w="140" w:type="dxa"/>
            <w:vAlign w:val="bottom"/>
          </w:tcPr>
          <w:p>
            <w:pPr>
              <w:spacing w:after="0"/>
              <w:rPr>
                <w:sz w:val="24"/>
                <w:szCs w:val="24"/>
                <w:color w:val="auto"/>
              </w:rPr>
            </w:pPr>
          </w:p>
        </w:tc>
        <w:tc>
          <w:tcPr>
            <w:tcW w:w="1040" w:type="dxa"/>
            <w:vAlign w:val="bottom"/>
          </w:tcPr>
          <w:p>
            <w:pPr>
              <w:ind w:left="160"/>
              <w:spacing w:after="0"/>
              <w:rPr>
                <w:sz w:val="20"/>
                <w:szCs w:val="20"/>
                <w:color w:val="auto"/>
              </w:rPr>
            </w:pPr>
            <w:r>
              <w:rPr>
                <w:rFonts w:ascii="Arial" w:cs="Arial" w:eastAsia="Arial" w:hAnsi="Arial"/>
                <w:sz w:val="14"/>
                <w:szCs w:val="14"/>
                <w:color w:val="auto"/>
              </w:rPr>
              <w:t>470,833</w:t>
            </w:r>
          </w:p>
        </w:tc>
        <w:tc>
          <w:tcPr>
            <w:tcW w:w="840" w:type="dxa"/>
            <w:vAlign w:val="bottom"/>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tcPr>
          <w:p>
            <w:pPr>
              <w:jc w:val="right"/>
              <w:ind w:right="149"/>
              <w:spacing w:after="0"/>
              <w:rPr>
                <w:sz w:val="20"/>
                <w:szCs w:val="20"/>
                <w:color w:val="auto"/>
              </w:rPr>
            </w:pPr>
            <w:r>
              <w:rPr>
                <w:rFonts w:ascii="Arial" w:cs="Arial" w:eastAsia="Arial" w:hAnsi="Arial"/>
                <w:sz w:val="14"/>
                <w:szCs w:val="14"/>
                <w:color w:val="auto"/>
              </w:rPr>
              <w:t>4,671,019</w:t>
            </w:r>
            <w:r>
              <w:rPr>
                <w:rFonts w:ascii="Arial" w:cs="Arial" w:eastAsia="Arial" w:hAnsi="Arial"/>
                <w:sz w:val="23"/>
                <w:szCs w:val="23"/>
                <w:color w:val="auto"/>
                <w:vertAlign w:val="superscript"/>
              </w:rPr>
              <w:t>(1)</w:t>
            </w:r>
          </w:p>
        </w:tc>
        <w:tc>
          <w:tcPr>
            <w:tcW w:w="1280" w:type="dxa"/>
            <w:vAlign w:val="bottom"/>
          </w:tcPr>
          <w:p>
            <w:pPr>
              <w:ind w:left="360"/>
              <w:spacing w:after="0"/>
              <w:rPr>
                <w:sz w:val="20"/>
                <w:szCs w:val="20"/>
                <w:color w:val="auto"/>
              </w:rPr>
            </w:pPr>
            <w:r>
              <w:rPr>
                <w:rFonts w:ascii="Arial" w:cs="Arial" w:eastAsia="Arial" w:hAnsi="Arial"/>
                <w:sz w:val="14"/>
                <w:szCs w:val="14"/>
                <w:color w:val="auto"/>
              </w:rPr>
              <w:t>515,012</w:t>
            </w:r>
          </w:p>
        </w:tc>
        <w:tc>
          <w:tcPr>
            <w:tcW w:w="1280" w:type="dxa"/>
            <w:vAlign w:val="bottom"/>
          </w:tcPr>
          <w:p>
            <w:pPr>
              <w:ind w:left="480"/>
              <w:spacing w:after="0"/>
              <w:rPr>
                <w:sz w:val="20"/>
                <w:szCs w:val="20"/>
                <w:color w:val="auto"/>
              </w:rPr>
            </w:pPr>
            <w:r>
              <w:rPr>
                <w:rFonts w:ascii="Arial" w:cs="Arial" w:eastAsia="Arial" w:hAnsi="Arial"/>
                <w:sz w:val="14"/>
                <w:szCs w:val="14"/>
                <w:color w:val="auto"/>
              </w:rPr>
              <w:t>6,000</w:t>
            </w:r>
          </w:p>
        </w:tc>
        <w:tc>
          <w:tcPr>
            <w:tcW w:w="1000" w:type="dxa"/>
            <w:vAlign w:val="bottom"/>
          </w:tcPr>
          <w:p>
            <w:pPr>
              <w:jc w:val="right"/>
              <w:ind w:right="48"/>
              <w:spacing w:after="0"/>
              <w:rPr>
                <w:sz w:val="20"/>
                <w:szCs w:val="20"/>
                <w:color w:val="auto"/>
              </w:rPr>
            </w:pPr>
            <w:r>
              <w:rPr>
                <w:rFonts w:ascii="Arial" w:cs="Arial" w:eastAsia="Arial" w:hAnsi="Arial"/>
                <w:sz w:val="14"/>
                <w:szCs w:val="14"/>
                <w:color w:val="auto"/>
              </w:rPr>
              <w:t>5,662,864</w:t>
            </w:r>
          </w:p>
        </w:tc>
        <w:tc>
          <w:tcPr>
            <w:tcW w:w="0" w:type="dxa"/>
            <w:vAlign w:val="bottom"/>
          </w:tcPr>
          <w:p>
            <w:pPr>
              <w:spacing w:after="0"/>
              <w:rPr>
                <w:sz w:val="1"/>
                <w:szCs w:val="1"/>
                <w:color w:val="auto"/>
              </w:rPr>
            </w:pPr>
          </w:p>
        </w:tc>
      </w:tr>
      <w:tr>
        <w:trPr>
          <w:trHeight w:val="188"/>
        </w:trPr>
        <w:tc>
          <w:tcPr>
            <w:tcW w:w="2020" w:type="dxa"/>
            <w:vAlign w:val="bottom"/>
          </w:tcPr>
          <w:p>
            <w:pPr>
              <w:ind w:left="60"/>
              <w:spacing w:after="0"/>
              <w:rPr>
                <w:sz w:val="20"/>
                <w:szCs w:val="20"/>
                <w:color w:val="auto"/>
              </w:rPr>
            </w:pPr>
            <w:r>
              <w:rPr>
                <w:rFonts w:ascii="Arial" w:cs="Arial" w:eastAsia="Arial" w:hAnsi="Arial"/>
                <w:sz w:val="14"/>
                <w:szCs w:val="14"/>
                <w:i w:val="1"/>
                <w:iCs w:val="1"/>
                <w:color w:val="auto"/>
              </w:rPr>
              <w:t>Chief Financial Officer</w:t>
            </w:r>
          </w:p>
        </w:tc>
        <w:tc>
          <w:tcPr>
            <w:tcW w:w="640" w:type="dxa"/>
            <w:vAlign w:val="bottom"/>
            <w:gridSpan w:val="2"/>
            <w:vMerge w:val="restart"/>
          </w:tcPr>
          <w:p>
            <w:pPr>
              <w:ind w:left="160"/>
              <w:spacing w:after="0"/>
              <w:rPr>
                <w:sz w:val="20"/>
                <w:szCs w:val="20"/>
                <w:color w:val="auto"/>
              </w:rPr>
            </w:pPr>
            <w:r>
              <w:rPr>
                <w:rFonts w:ascii="Arial" w:cs="Arial" w:eastAsia="Arial" w:hAnsi="Arial"/>
                <w:sz w:val="14"/>
                <w:szCs w:val="14"/>
                <w:color w:val="auto"/>
              </w:rPr>
              <w:t>2020</w:t>
            </w:r>
          </w:p>
        </w:tc>
        <w:tc>
          <w:tcPr>
            <w:tcW w:w="140" w:type="dxa"/>
            <w:vAlign w:val="bottom"/>
          </w:tcPr>
          <w:p>
            <w:pPr>
              <w:spacing w:after="0"/>
              <w:rPr>
                <w:sz w:val="16"/>
                <w:szCs w:val="16"/>
                <w:color w:val="auto"/>
              </w:rPr>
            </w:pPr>
          </w:p>
        </w:tc>
        <w:tc>
          <w:tcPr>
            <w:tcW w:w="1040" w:type="dxa"/>
            <w:vAlign w:val="bottom"/>
            <w:vMerge w:val="restart"/>
          </w:tcPr>
          <w:p>
            <w:pPr>
              <w:ind w:left="160"/>
              <w:spacing w:after="0"/>
              <w:rPr>
                <w:sz w:val="20"/>
                <w:szCs w:val="20"/>
                <w:color w:val="auto"/>
              </w:rPr>
            </w:pPr>
            <w:r>
              <w:rPr>
                <w:rFonts w:ascii="Arial" w:cs="Arial" w:eastAsia="Arial" w:hAnsi="Arial"/>
                <w:sz w:val="14"/>
                <w:szCs w:val="14"/>
                <w:color w:val="auto"/>
              </w:rPr>
              <w:t>393,415</w:t>
            </w:r>
          </w:p>
        </w:tc>
        <w:tc>
          <w:tcPr>
            <w:tcW w:w="840" w:type="dxa"/>
            <w:vAlign w:val="bottom"/>
            <w:vMerge w:val="restart"/>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vMerge w:val="restart"/>
          </w:tcPr>
          <w:p>
            <w:pPr>
              <w:jc w:val="right"/>
              <w:ind w:right="309"/>
              <w:spacing w:after="0"/>
              <w:rPr>
                <w:sz w:val="20"/>
                <w:szCs w:val="20"/>
                <w:color w:val="auto"/>
              </w:rPr>
            </w:pPr>
            <w:r>
              <w:rPr>
                <w:rFonts w:ascii="Arial" w:cs="Arial" w:eastAsia="Arial" w:hAnsi="Arial"/>
                <w:sz w:val="14"/>
                <w:szCs w:val="14"/>
                <w:color w:val="auto"/>
              </w:rPr>
              <w:t>4,895,566</w:t>
            </w:r>
          </w:p>
        </w:tc>
        <w:tc>
          <w:tcPr>
            <w:tcW w:w="1280" w:type="dxa"/>
            <w:vAlign w:val="bottom"/>
            <w:vMerge w:val="restart"/>
          </w:tcPr>
          <w:p>
            <w:pPr>
              <w:ind w:left="360"/>
              <w:spacing w:after="0"/>
              <w:rPr>
                <w:sz w:val="20"/>
                <w:szCs w:val="20"/>
                <w:color w:val="auto"/>
              </w:rPr>
            </w:pPr>
            <w:r>
              <w:rPr>
                <w:rFonts w:ascii="Arial" w:cs="Arial" w:eastAsia="Arial" w:hAnsi="Arial"/>
                <w:sz w:val="14"/>
                <w:szCs w:val="14"/>
                <w:color w:val="auto"/>
              </w:rPr>
              <w:t>373,595</w:t>
            </w:r>
          </w:p>
        </w:tc>
        <w:tc>
          <w:tcPr>
            <w:tcW w:w="1280" w:type="dxa"/>
            <w:vAlign w:val="bottom"/>
            <w:vMerge w:val="restart"/>
          </w:tcPr>
          <w:p>
            <w:pPr>
              <w:ind w:left="480"/>
              <w:spacing w:after="0"/>
              <w:rPr>
                <w:sz w:val="20"/>
                <w:szCs w:val="20"/>
                <w:color w:val="auto"/>
              </w:rPr>
            </w:pPr>
            <w:r>
              <w:rPr>
                <w:rFonts w:ascii="Arial" w:cs="Arial" w:eastAsia="Arial" w:hAnsi="Arial"/>
                <w:sz w:val="14"/>
                <w:szCs w:val="14"/>
                <w:color w:val="auto"/>
              </w:rPr>
              <w:t>6,000</w:t>
            </w:r>
          </w:p>
        </w:tc>
        <w:tc>
          <w:tcPr>
            <w:tcW w:w="1000" w:type="dxa"/>
            <w:vAlign w:val="bottom"/>
            <w:vMerge w:val="restart"/>
          </w:tcPr>
          <w:p>
            <w:pPr>
              <w:jc w:val="right"/>
              <w:ind w:right="48"/>
              <w:spacing w:after="0"/>
              <w:rPr>
                <w:sz w:val="20"/>
                <w:szCs w:val="20"/>
                <w:color w:val="auto"/>
              </w:rPr>
            </w:pPr>
            <w:r>
              <w:rPr>
                <w:rFonts w:ascii="Arial" w:cs="Arial" w:eastAsia="Arial" w:hAnsi="Arial"/>
                <w:sz w:val="14"/>
                <w:szCs w:val="14"/>
                <w:color w:val="auto"/>
              </w:rPr>
              <w:t>5,668,576</w:t>
            </w:r>
          </w:p>
        </w:tc>
        <w:tc>
          <w:tcPr>
            <w:tcW w:w="0" w:type="dxa"/>
            <w:vAlign w:val="bottom"/>
          </w:tcPr>
          <w:p>
            <w:pPr>
              <w:spacing w:after="0"/>
              <w:rPr>
                <w:sz w:val="1"/>
                <w:szCs w:val="1"/>
                <w:color w:val="auto"/>
              </w:rPr>
            </w:pPr>
          </w:p>
        </w:tc>
      </w:tr>
      <w:tr>
        <w:trPr>
          <w:trHeight w:val="94"/>
        </w:trPr>
        <w:tc>
          <w:tcPr>
            <w:tcW w:w="2020" w:type="dxa"/>
            <w:vAlign w:val="bottom"/>
          </w:tcPr>
          <w:p>
            <w:pPr>
              <w:spacing w:after="0"/>
              <w:rPr>
                <w:sz w:val="8"/>
                <w:szCs w:val="8"/>
                <w:color w:val="auto"/>
              </w:rPr>
            </w:pPr>
          </w:p>
        </w:tc>
        <w:tc>
          <w:tcPr>
            <w:tcW w:w="640" w:type="dxa"/>
            <w:vAlign w:val="bottom"/>
            <w:gridSpan w:val="2"/>
            <w:vMerge w:val="continue"/>
          </w:tcPr>
          <w:p>
            <w:pPr>
              <w:spacing w:after="0"/>
              <w:rPr>
                <w:sz w:val="8"/>
                <w:szCs w:val="8"/>
                <w:color w:val="auto"/>
              </w:rPr>
            </w:pPr>
          </w:p>
        </w:tc>
        <w:tc>
          <w:tcPr>
            <w:tcW w:w="140" w:type="dxa"/>
            <w:vAlign w:val="bottom"/>
          </w:tcPr>
          <w:p>
            <w:pPr>
              <w:spacing w:after="0"/>
              <w:rPr>
                <w:sz w:val="8"/>
                <w:szCs w:val="8"/>
                <w:color w:val="auto"/>
              </w:rPr>
            </w:pPr>
          </w:p>
        </w:tc>
        <w:tc>
          <w:tcPr>
            <w:tcW w:w="1040" w:type="dxa"/>
            <w:vAlign w:val="bottom"/>
            <w:vMerge w:val="continue"/>
          </w:tcPr>
          <w:p>
            <w:pPr>
              <w:spacing w:after="0"/>
              <w:rPr>
                <w:sz w:val="8"/>
                <w:szCs w:val="8"/>
                <w:color w:val="auto"/>
              </w:rPr>
            </w:pPr>
          </w:p>
        </w:tc>
        <w:tc>
          <w:tcPr>
            <w:tcW w:w="840" w:type="dxa"/>
            <w:vAlign w:val="bottom"/>
            <w:vMerge w:val="continue"/>
          </w:tcPr>
          <w:p>
            <w:pPr>
              <w:spacing w:after="0"/>
              <w:rPr>
                <w:sz w:val="8"/>
                <w:szCs w:val="8"/>
                <w:color w:val="auto"/>
              </w:rPr>
            </w:pPr>
          </w:p>
        </w:tc>
        <w:tc>
          <w:tcPr>
            <w:tcW w:w="1320" w:type="dxa"/>
            <w:vAlign w:val="bottom"/>
            <w:vMerge w:val="continue"/>
          </w:tcPr>
          <w:p>
            <w:pPr>
              <w:spacing w:after="0"/>
              <w:rPr>
                <w:sz w:val="8"/>
                <w:szCs w:val="8"/>
                <w:color w:val="auto"/>
              </w:rPr>
            </w:pPr>
          </w:p>
        </w:tc>
        <w:tc>
          <w:tcPr>
            <w:tcW w:w="1280" w:type="dxa"/>
            <w:vAlign w:val="bottom"/>
            <w:vMerge w:val="continue"/>
          </w:tcPr>
          <w:p>
            <w:pPr>
              <w:spacing w:after="0"/>
              <w:rPr>
                <w:sz w:val="8"/>
                <w:szCs w:val="8"/>
                <w:color w:val="auto"/>
              </w:rPr>
            </w:pPr>
          </w:p>
        </w:tc>
        <w:tc>
          <w:tcPr>
            <w:tcW w:w="1280" w:type="dxa"/>
            <w:vAlign w:val="bottom"/>
            <w:vMerge w:val="continue"/>
          </w:tcPr>
          <w:p>
            <w:pPr>
              <w:spacing w:after="0"/>
              <w:rPr>
                <w:sz w:val="8"/>
                <w:szCs w:val="8"/>
                <w:color w:val="auto"/>
              </w:rPr>
            </w:pPr>
          </w:p>
        </w:tc>
        <w:tc>
          <w:tcPr>
            <w:tcW w:w="10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76"/>
        </w:trPr>
        <w:tc>
          <w:tcPr>
            <w:tcW w:w="2020" w:type="dxa"/>
            <w:vAlign w:val="bottom"/>
          </w:tcPr>
          <w:p>
            <w:pPr>
              <w:spacing w:after="0"/>
              <w:rPr>
                <w:sz w:val="6"/>
                <w:szCs w:val="6"/>
                <w:color w:val="auto"/>
              </w:rPr>
            </w:pPr>
          </w:p>
        </w:tc>
        <w:tc>
          <w:tcPr>
            <w:tcW w:w="640" w:type="dxa"/>
            <w:vAlign w:val="bottom"/>
            <w:gridSpan w:val="2"/>
          </w:tcPr>
          <w:p>
            <w:pPr>
              <w:spacing w:after="0"/>
              <w:rPr>
                <w:sz w:val="6"/>
                <w:szCs w:val="6"/>
                <w:color w:val="auto"/>
              </w:rPr>
            </w:pPr>
          </w:p>
        </w:tc>
        <w:tc>
          <w:tcPr>
            <w:tcW w:w="140" w:type="dxa"/>
            <w:vAlign w:val="bottom"/>
          </w:tcPr>
          <w:p>
            <w:pPr>
              <w:spacing w:after="0"/>
              <w:rPr>
                <w:sz w:val="6"/>
                <w:szCs w:val="6"/>
                <w:color w:val="auto"/>
              </w:rPr>
            </w:pPr>
          </w:p>
        </w:tc>
        <w:tc>
          <w:tcPr>
            <w:tcW w:w="1040" w:type="dxa"/>
            <w:vAlign w:val="bottom"/>
          </w:tcPr>
          <w:p>
            <w:pPr>
              <w:spacing w:after="0"/>
              <w:rPr>
                <w:sz w:val="6"/>
                <w:szCs w:val="6"/>
                <w:color w:val="auto"/>
              </w:rPr>
            </w:pPr>
          </w:p>
        </w:tc>
        <w:tc>
          <w:tcPr>
            <w:tcW w:w="840" w:type="dxa"/>
            <w:vAlign w:val="bottom"/>
          </w:tcPr>
          <w:p>
            <w:pPr>
              <w:spacing w:after="0"/>
              <w:rPr>
                <w:sz w:val="6"/>
                <w:szCs w:val="6"/>
                <w:color w:val="auto"/>
              </w:rPr>
            </w:pPr>
          </w:p>
        </w:tc>
        <w:tc>
          <w:tcPr>
            <w:tcW w:w="1320" w:type="dxa"/>
            <w:vAlign w:val="bottom"/>
          </w:tcPr>
          <w:p>
            <w:pPr>
              <w:spacing w:after="0"/>
              <w:rPr>
                <w:sz w:val="6"/>
                <w:szCs w:val="6"/>
                <w:color w:val="auto"/>
              </w:rPr>
            </w:pPr>
          </w:p>
        </w:tc>
        <w:tc>
          <w:tcPr>
            <w:tcW w:w="1280" w:type="dxa"/>
            <w:vAlign w:val="bottom"/>
          </w:tcPr>
          <w:p>
            <w:pPr>
              <w:spacing w:after="0"/>
              <w:rPr>
                <w:sz w:val="6"/>
                <w:szCs w:val="6"/>
                <w:color w:val="auto"/>
              </w:rPr>
            </w:pPr>
          </w:p>
        </w:tc>
        <w:tc>
          <w:tcPr>
            <w:tcW w:w="1280" w:type="dxa"/>
            <w:vAlign w:val="bottom"/>
          </w:tcPr>
          <w:p>
            <w:pPr>
              <w:spacing w:after="0"/>
              <w:rPr>
                <w:sz w:val="6"/>
                <w:szCs w:val="6"/>
                <w:color w:val="auto"/>
              </w:rPr>
            </w:pPr>
          </w:p>
        </w:tc>
        <w:tc>
          <w:tcPr>
            <w:tcW w:w="10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51"/>
        </w:trPr>
        <w:tc>
          <w:tcPr>
            <w:tcW w:w="2020" w:type="dxa"/>
            <w:vAlign w:val="bottom"/>
            <w:shd w:val="clear" w:color="auto" w:fill="F2F2F2"/>
          </w:tcPr>
          <w:p>
            <w:pPr>
              <w:spacing w:after="0"/>
              <w:rPr>
                <w:sz w:val="24"/>
                <w:szCs w:val="24"/>
                <w:color w:val="auto"/>
              </w:rPr>
            </w:pPr>
          </w:p>
        </w:tc>
        <w:tc>
          <w:tcPr>
            <w:tcW w:w="160" w:type="dxa"/>
            <w:vAlign w:val="bottom"/>
            <w:shd w:val="clear" w:color="auto" w:fill="F2F2F2"/>
          </w:tcPr>
          <w:p>
            <w:pPr>
              <w:spacing w:after="0"/>
              <w:rPr>
                <w:sz w:val="24"/>
                <w:szCs w:val="24"/>
                <w:color w:val="auto"/>
              </w:rPr>
            </w:pPr>
          </w:p>
        </w:tc>
        <w:tc>
          <w:tcPr>
            <w:tcW w:w="480" w:type="dxa"/>
            <w:vAlign w:val="bottom"/>
            <w:shd w:val="clear" w:color="auto" w:fill="F2F2F2"/>
          </w:tcPr>
          <w:p>
            <w:pPr>
              <w:spacing w:after="0"/>
              <w:rPr>
                <w:sz w:val="20"/>
                <w:szCs w:val="20"/>
                <w:color w:val="auto"/>
              </w:rPr>
            </w:pPr>
            <w:r>
              <w:rPr>
                <w:rFonts w:ascii="Arial" w:cs="Arial" w:eastAsia="Arial" w:hAnsi="Arial"/>
                <w:sz w:val="14"/>
                <w:szCs w:val="14"/>
                <w:color w:val="auto"/>
              </w:rPr>
              <w:t>2021</w:t>
            </w:r>
          </w:p>
        </w:tc>
        <w:tc>
          <w:tcPr>
            <w:tcW w:w="140" w:type="dxa"/>
            <w:vAlign w:val="bottom"/>
            <w:shd w:val="clear" w:color="auto" w:fill="F2F2F2"/>
          </w:tcPr>
          <w:p>
            <w:pPr>
              <w:spacing w:after="0"/>
              <w:rPr>
                <w:sz w:val="24"/>
                <w:szCs w:val="24"/>
                <w:color w:val="auto"/>
              </w:rPr>
            </w:pPr>
          </w:p>
        </w:tc>
        <w:tc>
          <w:tcPr>
            <w:tcW w:w="1040" w:type="dxa"/>
            <w:vAlign w:val="bottom"/>
            <w:shd w:val="clear" w:color="auto" w:fill="F2F2F2"/>
          </w:tcPr>
          <w:p>
            <w:pPr>
              <w:ind w:left="160"/>
              <w:spacing w:after="0"/>
              <w:rPr>
                <w:sz w:val="20"/>
                <w:szCs w:val="20"/>
                <w:color w:val="auto"/>
              </w:rPr>
            </w:pPr>
            <w:r>
              <w:rPr>
                <w:rFonts w:ascii="Arial" w:cs="Arial" w:eastAsia="Arial" w:hAnsi="Arial"/>
                <w:sz w:val="14"/>
                <w:szCs w:val="14"/>
                <w:color w:val="auto"/>
              </w:rPr>
              <w:t>600,000</w:t>
            </w:r>
          </w:p>
        </w:tc>
        <w:tc>
          <w:tcPr>
            <w:tcW w:w="840" w:type="dxa"/>
            <w:vAlign w:val="bottom"/>
            <w:shd w:val="clear" w:color="auto" w:fill="F2F2F2"/>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shd w:val="clear" w:color="auto" w:fill="F2F2F2"/>
          </w:tcPr>
          <w:p>
            <w:pPr>
              <w:jc w:val="center"/>
              <w:ind w:right="29"/>
              <w:spacing w:after="0"/>
              <w:rPr>
                <w:sz w:val="20"/>
                <w:szCs w:val="20"/>
                <w:color w:val="auto"/>
              </w:rPr>
            </w:pPr>
            <w:r>
              <w:rPr>
                <w:rFonts w:ascii="Arial" w:cs="Arial" w:eastAsia="Arial" w:hAnsi="Arial"/>
                <w:sz w:val="14"/>
                <w:szCs w:val="14"/>
                <w:color w:val="auto"/>
                <w:w w:val="99"/>
              </w:rPr>
              <w:t>—</w:t>
            </w:r>
          </w:p>
        </w:tc>
        <w:tc>
          <w:tcPr>
            <w:tcW w:w="1280" w:type="dxa"/>
            <w:vAlign w:val="bottom"/>
            <w:shd w:val="clear" w:color="auto" w:fill="F2F2F2"/>
          </w:tcPr>
          <w:p>
            <w:pPr>
              <w:ind w:left="360"/>
              <w:spacing w:after="0"/>
              <w:rPr>
                <w:sz w:val="20"/>
                <w:szCs w:val="20"/>
                <w:color w:val="auto"/>
              </w:rPr>
            </w:pPr>
            <w:r>
              <w:rPr>
                <w:rFonts w:ascii="Arial" w:cs="Arial" w:eastAsia="Arial" w:hAnsi="Arial"/>
                <w:sz w:val="14"/>
                <w:szCs w:val="14"/>
                <w:color w:val="auto"/>
              </w:rPr>
              <w:t>874,200</w:t>
            </w:r>
          </w:p>
        </w:tc>
        <w:tc>
          <w:tcPr>
            <w:tcW w:w="1280" w:type="dxa"/>
            <w:vAlign w:val="bottom"/>
            <w:shd w:val="clear" w:color="auto" w:fill="F2F2F2"/>
          </w:tcPr>
          <w:p>
            <w:pPr>
              <w:ind w:left="420"/>
              <w:spacing w:after="0"/>
              <w:rPr>
                <w:sz w:val="20"/>
                <w:szCs w:val="20"/>
                <w:color w:val="auto"/>
              </w:rPr>
            </w:pPr>
            <w:r>
              <w:rPr>
                <w:rFonts w:ascii="Arial" w:cs="Arial" w:eastAsia="Arial" w:hAnsi="Arial"/>
                <w:sz w:val="14"/>
                <w:szCs w:val="14"/>
                <w:color w:val="auto"/>
              </w:rPr>
              <w:t>23,500</w:t>
            </w:r>
            <w:r>
              <w:rPr>
                <w:rFonts w:ascii="Arial" w:cs="Arial" w:eastAsia="Arial" w:hAnsi="Arial"/>
                <w:sz w:val="23"/>
                <w:szCs w:val="23"/>
                <w:color w:val="auto"/>
                <w:vertAlign w:val="superscript"/>
              </w:rPr>
              <w:t>(4)</w:t>
            </w:r>
          </w:p>
        </w:tc>
        <w:tc>
          <w:tcPr>
            <w:tcW w:w="1000" w:type="dxa"/>
            <w:vAlign w:val="bottom"/>
            <w:shd w:val="clear" w:color="auto" w:fill="F2F2F2"/>
          </w:tcPr>
          <w:p>
            <w:pPr>
              <w:jc w:val="right"/>
              <w:ind w:right="48"/>
              <w:spacing w:after="0"/>
              <w:rPr>
                <w:sz w:val="20"/>
                <w:szCs w:val="20"/>
                <w:color w:val="auto"/>
              </w:rPr>
            </w:pPr>
            <w:r>
              <w:rPr>
                <w:rFonts w:ascii="Arial" w:cs="Arial" w:eastAsia="Arial" w:hAnsi="Arial"/>
                <w:sz w:val="14"/>
                <w:szCs w:val="14"/>
                <w:color w:val="auto"/>
              </w:rPr>
              <w:t>1,497,700</w:t>
            </w:r>
          </w:p>
        </w:tc>
        <w:tc>
          <w:tcPr>
            <w:tcW w:w="0" w:type="dxa"/>
            <w:vAlign w:val="bottom"/>
          </w:tcPr>
          <w:p>
            <w:pPr>
              <w:spacing w:after="0"/>
              <w:rPr>
                <w:sz w:val="1"/>
                <w:szCs w:val="1"/>
                <w:color w:val="auto"/>
              </w:rPr>
            </w:pPr>
          </w:p>
        </w:tc>
      </w:tr>
      <w:tr>
        <w:trPr>
          <w:trHeight w:val="168"/>
        </w:trPr>
        <w:tc>
          <w:tcPr>
            <w:tcW w:w="2020" w:type="dxa"/>
            <w:vAlign w:val="bottom"/>
            <w:shd w:val="clear" w:color="auto" w:fill="F2F2F2"/>
          </w:tcPr>
          <w:p>
            <w:pPr>
              <w:ind w:left="60"/>
              <w:spacing w:after="0"/>
              <w:rPr>
                <w:sz w:val="20"/>
                <w:szCs w:val="20"/>
                <w:color w:val="auto"/>
              </w:rPr>
            </w:pPr>
            <w:r>
              <w:rPr>
                <w:rFonts w:ascii="Arial" w:cs="Arial" w:eastAsia="Arial" w:hAnsi="Arial"/>
                <w:sz w:val="14"/>
                <w:szCs w:val="14"/>
                <w:b w:val="1"/>
                <w:bCs w:val="1"/>
                <w:color w:val="auto"/>
              </w:rPr>
              <w:t>Timothy Young</w:t>
            </w:r>
          </w:p>
        </w:tc>
        <w:tc>
          <w:tcPr>
            <w:tcW w:w="160" w:type="dxa"/>
            <w:vAlign w:val="bottom"/>
            <w:shd w:val="clear" w:color="auto" w:fill="F2F2F2"/>
          </w:tcPr>
          <w:p>
            <w:pPr>
              <w:spacing w:after="0"/>
              <w:rPr>
                <w:sz w:val="14"/>
                <w:szCs w:val="14"/>
                <w:color w:val="auto"/>
              </w:rPr>
            </w:pPr>
          </w:p>
        </w:tc>
        <w:tc>
          <w:tcPr>
            <w:tcW w:w="480" w:type="dxa"/>
            <w:vAlign w:val="bottom"/>
            <w:vMerge w:val="restart"/>
            <w:shd w:val="clear" w:color="auto" w:fill="F2F2F2"/>
          </w:tcPr>
          <w:p>
            <w:pPr>
              <w:spacing w:after="0"/>
              <w:rPr>
                <w:sz w:val="20"/>
                <w:szCs w:val="20"/>
                <w:color w:val="auto"/>
              </w:rPr>
            </w:pPr>
            <w:r>
              <w:rPr>
                <w:rFonts w:ascii="Arial" w:cs="Arial" w:eastAsia="Arial" w:hAnsi="Arial"/>
                <w:sz w:val="14"/>
                <w:szCs w:val="14"/>
                <w:color w:val="auto"/>
              </w:rPr>
              <w:t>2020</w:t>
            </w:r>
          </w:p>
        </w:tc>
        <w:tc>
          <w:tcPr>
            <w:tcW w:w="140" w:type="dxa"/>
            <w:vAlign w:val="bottom"/>
            <w:shd w:val="clear" w:color="auto" w:fill="F2F2F2"/>
          </w:tcPr>
          <w:p>
            <w:pPr>
              <w:spacing w:after="0"/>
              <w:rPr>
                <w:sz w:val="14"/>
                <w:szCs w:val="14"/>
                <w:color w:val="auto"/>
              </w:rPr>
            </w:pPr>
          </w:p>
        </w:tc>
        <w:tc>
          <w:tcPr>
            <w:tcW w:w="1040" w:type="dxa"/>
            <w:vAlign w:val="bottom"/>
            <w:vMerge w:val="restart"/>
            <w:shd w:val="clear" w:color="auto" w:fill="F2F2F2"/>
          </w:tcPr>
          <w:p>
            <w:pPr>
              <w:ind w:left="160"/>
              <w:spacing w:after="0"/>
              <w:rPr>
                <w:sz w:val="20"/>
                <w:szCs w:val="20"/>
                <w:color w:val="auto"/>
              </w:rPr>
            </w:pPr>
            <w:r>
              <w:rPr>
                <w:rFonts w:ascii="Arial" w:cs="Arial" w:eastAsia="Arial" w:hAnsi="Arial"/>
                <w:sz w:val="14"/>
                <w:szCs w:val="14"/>
                <w:color w:val="auto"/>
              </w:rPr>
              <w:t>516,667</w:t>
            </w:r>
          </w:p>
        </w:tc>
        <w:tc>
          <w:tcPr>
            <w:tcW w:w="840" w:type="dxa"/>
            <w:vAlign w:val="bottom"/>
            <w:vMerge w:val="restart"/>
            <w:shd w:val="clear" w:color="auto" w:fill="F2F2F2"/>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vMerge w:val="restart"/>
            <w:shd w:val="clear" w:color="auto" w:fill="F2F2F2"/>
          </w:tcPr>
          <w:p>
            <w:pPr>
              <w:ind w:left="240"/>
              <w:spacing w:after="0"/>
              <w:rPr>
                <w:sz w:val="20"/>
                <w:szCs w:val="20"/>
                <w:color w:val="auto"/>
              </w:rPr>
            </w:pPr>
            <w:r>
              <w:rPr>
                <w:rFonts w:ascii="Arial" w:cs="Arial" w:eastAsia="Arial" w:hAnsi="Arial"/>
                <w:sz w:val="14"/>
                <w:szCs w:val="14"/>
                <w:color w:val="auto"/>
              </w:rPr>
              <w:t>19,143,883</w:t>
            </w:r>
            <w:r>
              <w:rPr>
                <w:rFonts w:ascii="Arial" w:cs="Arial" w:eastAsia="Arial" w:hAnsi="Arial"/>
                <w:sz w:val="23"/>
                <w:szCs w:val="23"/>
                <w:color w:val="auto"/>
                <w:vertAlign w:val="superscript"/>
              </w:rPr>
              <w:t>(5)</w:t>
            </w:r>
          </w:p>
        </w:tc>
        <w:tc>
          <w:tcPr>
            <w:tcW w:w="1280" w:type="dxa"/>
            <w:vAlign w:val="bottom"/>
            <w:vMerge w:val="restart"/>
            <w:shd w:val="clear" w:color="auto" w:fill="F2F2F2"/>
          </w:tcPr>
          <w:p>
            <w:pPr>
              <w:ind w:left="360"/>
              <w:spacing w:after="0"/>
              <w:rPr>
                <w:sz w:val="20"/>
                <w:szCs w:val="20"/>
                <w:color w:val="auto"/>
              </w:rPr>
            </w:pPr>
            <w:r>
              <w:rPr>
                <w:rFonts w:ascii="Arial" w:cs="Arial" w:eastAsia="Arial" w:hAnsi="Arial"/>
                <w:sz w:val="14"/>
                <w:szCs w:val="14"/>
                <w:color w:val="auto"/>
              </w:rPr>
              <w:t>890,778</w:t>
            </w:r>
          </w:p>
        </w:tc>
        <w:tc>
          <w:tcPr>
            <w:tcW w:w="1280" w:type="dxa"/>
            <w:vAlign w:val="bottom"/>
            <w:vMerge w:val="restart"/>
            <w:shd w:val="clear" w:color="auto" w:fill="F2F2F2"/>
          </w:tcPr>
          <w:p>
            <w:pPr>
              <w:ind w:left="480"/>
              <w:spacing w:after="0"/>
              <w:rPr>
                <w:sz w:val="20"/>
                <w:szCs w:val="20"/>
                <w:color w:val="auto"/>
              </w:rPr>
            </w:pPr>
            <w:r>
              <w:rPr>
                <w:rFonts w:ascii="Arial" w:cs="Arial" w:eastAsia="Arial" w:hAnsi="Arial"/>
                <w:sz w:val="14"/>
                <w:szCs w:val="14"/>
                <w:color w:val="auto"/>
              </w:rPr>
              <w:t>6,000</w:t>
            </w:r>
          </w:p>
        </w:tc>
        <w:tc>
          <w:tcPr>
            <w:tcW w:w="1000" w:type="dxa"/>
            <w:vAlign w:val="bottom"/>
            <w:vMerge w:val="restart"/>
            <w:shd w:val="clear" w:color="auto" w:fill="F2F2F2"/>
          </w:tcPr>
          <w:p>
            <w:pPr>
              <w:jc w:val="center"/>
              <w:ind w:left="8"/>
              <w:spacing w:after="0"/>
              <w:rPr>
                <w:sz w:val="20"/>
                <w:szCs w:val="20"/>
                <w:color w:val="auto"/>
              </w:rPr>
            </w:pPr>
            <w:r>
              <w:rPr>
                <w:rFonts w:ascii="Arial" w:cs="Arial" w:eastAsia="Arial" w:hAnsi="Arial"/>
                <w:sz w:val="14"/>
                <w:szCs w:val="14"/>
                <w:color w:val="auto"/>
              </w:rPr>
              <w:t>20,557,328</w:t>
            </w:r>
          </w:p>
        </w:tc>
        <w:tc>
          <w:tcPr>
            <w:tcW w:w="0" w:type="dxa"/>
            <w:vAlign w:val="bottom"/>
          </w:tcPr>
          <w:p>
            <w:pPr>
              <w:spacing w:after="0"/>
              <w:rPr>
                <w:sz w:val="1"/>
                <w:szCs w:val="1"/>
                <w:color w:val="auto"/>
              </w:rPr>
            </w:pPr>
          </w:p>
        </w:tc>
      </w:tr>
      <w:tr>
        <w:trPr>
          <w:trHeight w:val="142"/>
        </w:trPr>
        <w:tc>
          <w:tcPr>
            <w:tcW w:w="2020" w:type="dxa"/>
            <w:vAlign w:val="bottom"/>
            <w:vMerge w:val="restart"/>
            <w:shd w:val="clear" w:color="auto" w:fill="F2F2F2"/>
          </w:tcPr>
          <w:p>
            <w:pPr>
              <w:ind w:left="60"/>
              <w:spacing w:after="0"/>
              <w:rPr>
                <w:sz w:val="20"/>
                <w:szCs w:val="20"/>
                <w:color w:val="auto"/>
              </w:rPr>
            </w:pPr>
            <w:r>
              <w:rPr>
                <w:rFonts w:ascii="Arial" w:cs="Arial" w:eastAsia="Arial" w:hAnsi="Arial"/>
                <w:sz w:val="14"/>
                <w:szCs w:val="14"/>
                <w:i w:val="1"/>
                <w:iCs w:val="1"/>
                <w:color w:val="auto"/>
              </w:rPr>
              <w:t>President</w:t>
            </w:r>
          </w:p>
        </w:tc>
        <w:tc>
          <w:tcPr>
            <w:tcW w:w="160" w:type="dxa"/>
            <w:vAlign w:val="bottom"/>
            <w:shd w:val="clear" w:color="auto" w:fill="F2F2F2"/>
          </w:tcPr>
          <w:p>
            <w:pPr>
              <w:spacing w:after="0"/>
              <w:rPr>
                <w:sz w:val="12"/>
                <w:szCs w:val="12"/>
                <w:color w:val="auto"/>
              </w:rPr>
            </w:pPr>
          </w:p>
        </w:tc>
        <w:tc>
          <w:tcPr>
            <w:tcW w:w="480" w:type="dxa"/>
            <w:vAlign w:val="bottom"/>
            <w:vMerge w:val="continue"/>
            <w:shd w:val="clear" w:color="auto" w:fill="F2F2F2"/>
          </w:tcPr>
          <w:p>
            <w:pPr>
              <w:spacing w:after="0"/>
              <w:rPr>
                <w:sz w:val="12"/>
                <w:szCs w:val="12"/>
                <w:color w:val="auto"/>
              </w:rPr>
            </w:pPr>
          </w:p>
        </w:tc>
        <w:tc>
          <w:tcPr>
            <w:tcW w:w="140" w:type="dxa"/>
            <w:vAlign w:val="bottom"/>
            <w:shd w:val="clear" w:color="auto" w:fill="F2F2F2"/>
          </w:tcPr>
          <w:p>
            <w:pPr>
              <w:spacing w:after="0"/>
              <w:rPr>
                <w:sz w:val="12"/>
                <w:szCs w:val="12"/>
                <w:color w:val="auto"/>
              </w:rPr>
            </w:pPr>
          </w:p>
        </w:tc>
        <w:tc>
          <w:tcPr>
            <w:tcW w:w="1040" w:type="dxa"/>
            <w:vAlign w:val="bottom"/>
            <w:vMerge w:val="continue"/>
            <w:shd w:val="clear" w:color="auto" w:fill="F2F2F2"/>
          </w:tcPr>
          <w:p>
            <w:pPr>
              <w:spacing w:after="0"/>
              <w:rPr>
                <w:sz w:val="12"/>
                <w:szCs w:val="12"/>
                <w:color w:val="auto"/>
              </w:rPr>
            </w:pPr>
          </w:p>
        </w:tc>
        <w:tc>
          <w:tcPr>
            <w:tcW w:w="840" w:type="dxa"/>
            <w:vAlign w:val="bottom"/>
            <w:vMerge w:val="continue"/>
            <w:shd w:val="clear" w:color="auto" w:fill="F2F2F2"/>
          </w:tcPr>
          <w:p>
            <w:pPr>
              <w:spacing w:after="0"/>
              <w:rPr>
                <w:sz w:val="12"/>
                <w:szCs w:val="12"/>
                <w:color w:val="auto"/>
              </w:rPr>
            </w:pPr>
          </w:p>
        </w:tc>
        <w:tc>
          <w:tcPr>
            <w:tcW w:w="1320" w:type="dxa"/>
            <w:vAlign w:val="bottom"/>
            <w:vMerge w:val="continue"/>
            <w:shd w:val="clear" w:color="auto" w:fill="F2F2F2"/>
          </w:tcPr>
          <w:p>
            <w:pPr>
              <w:spacing w:after="0"/>
              <w:rPr>
                <w:sz w:val="12"/>
                <w:szCs w:val="12"/>
                <w:color w:val="auto"/>
              </w:rPr>
            </w:pPr>
          </w:p>
        </w:tc>
        <w:tc>
          <w:tcPr>
            <w:tcW w:w="1280" w:type="dxa"/>
            <w:vAlign w:val="bottom"/>
            <w:vMerge w:val="continue"/>
            <w:shd w:val="clear" w:color="auto" w:fill="F2F2F2"/>
          </w:tcPr>
          <w:p>
            <w:pPr>
              <w:spacing w:after="0"/>
              <w:rPr>
                <w:sz w:val="12"/>
                <w:szCs w:val="12"/>
                <w:color w:val="auto"/>
              </w:rPr>
            </w:pPr>
          </w:p>
        </w:tc>
        <w:tc>
          <w:tcPr>
            <w:tcW w:w="1280" w:type="dxa"/>
            <w:vAlign w:val="bottom"/>
            <w:vMerge w:val="continue"/>
            <w:shd w:val="clear" w:color="auto" w:fill="F2F2F2"/>
          </w:tcPr>
          <w:p>
            <w:pPr>
              <w:spacing w:after="0"/>
              <w:rPr>
                <w:sz w:val="12"/>
                <w:szCs w:val="12"/>
                <w:color w:val="auto"/>
              </w:rPr>
            </w:pPr>
          </w:p>
        </w:tc>
        <w:tc>
          <w:tcPr>
            <w:tcW w:w="1000" w:type="dxa"/>
            <w:vAlign w:val="bottom"/>
            <w:vMerge w:val="continue"/>
            <w:shd w:val="clear" w:color="auto" w:fill="F2F2F2"/>
          </w:tcPr>
          <w:p>
            <w:pPr>
              <w:spacing w:after="0"/>
              <w:rPr>
                <w:sz w:val="12"/>
                <w:szCs w:val="12"/>
                <w:color w:val="auto"/>
              </w:rPr>
            </w:pPr>
          </w:p>
        </w:tc>
        <w:tc>
          <w:tcPr>
            <w:tcW w:w="0" w:type="dxa"/>
            <w:vAlign w:val="bottom"/>
          </w:tcPr>
          <w:p>
            <w:pPr>
              <w:spacing w:after="0"/>
              <w:rPr>
                <w:sz w:val="1"/>
                <w:szCs w:val="1"/>
                <w:color w:val="auto"/>
              </w:rPr>
            </w:pPr>
          </w:p>
        </w:tc>
      </w:tr>
      <w:tr>
        <w:trPr>
          <w:trHeight w:val="40"/>
        </w:trPr>
        <w:tc>
          <w:tcPr>
            <w:tcW w:w="2020" w:type="dxa"/>
            <w:vAlign w:val="bottom"/>
            <w:vMerge w:val="continue"/>
            <w:shd w:val="clear" w:color="auto" w:fill="F2F2F2"/>
          </w:tcPr>
          <w:p>
            <w:pPr>
              <w:spacing w:after="0"/>
              <w:rPr>
                <w:sz w:val="3"/>
                <w:szCs w:val="3"/>
                <w:color w:val="auto"/>
              </w:rPr>
            </w:pPr>
          </w:p>
        </w:tc>
        <w:tc>
          <w:tcPr>
            <w:tcW w:w="160" w:type="dxa"/>
            <w:vAlign w:val="bottom"/>
            <w:shd w:val="clear" w:color="auto" w:fill="F2F2F2"/>
          </w:tcPr>
          <w:p>
            <w:pPr>
              <w:spacing w:after="0"/>
              <w:rPr>
                <w:sz w:val="3"/>
                <w:szCs w:val="3"/>
                <w:color w:val="auto"/>
              </w:rPr>
            </w:pPr>
          </w:p>
        </w:tc>
        <w:tc>
          <w:tcPr>
            <w:tcW w:w="480" w:type="dxa"/>
            <w:vAlign w:val="bottom"/>
            <w:shd w:val="clear" w:color="auto" w:fill="F2F2F2"/>
          </w:tcPr>
          <w:p>
            <w:pPr>
              <w:spacing w:after="0"/>
              <w:rPr>
                <w:sz w:val="3"/>
                <w:szCs w:val="3"/>
                <w:color w:val="auto"/>
              </w:rPr>
            </w:pPr>
          </w:p>
        </w:tc>
        <w:tc>
          <w:tcPr>
            <w:tcW w:w="140" w:type="dxa"/>
            <w:vAlign w:val="bottom"/>
            <w:shd w:val="clear" w:color="auto" w:fill="F2F2F2"/>
          </w:tcPr>
          <w:p>
            <w:pPr>
              <w:spacing w:after="0"/>
              <w:rPr>
                <w:sz w:val="3"/>
                <w:szCs w:val="3"/>
                <w:color w:val="auto"/>
              </w:rPr>
            </w:pPr>
          </w:p>
        </w:tc>
        <w:tc>
          <w:tcPr>
            <w:tcW w:w="1040" w:type="dxa"/>
            <w:vAlign w:val="bottom"/>
            <w:shd w:val="clear" w:color="auto" w:fill="F2F2F2"/>
          </w:tcPr>
          <w:p>
            <w:pPr>
              <w:spacing w:after="0"/>
              <w:rPr>
                <w:sz w:val="3"/>
                <w:szCs w:val="3"/>
                <w:color w:val="auto"/>
              </w:rPr>
            </w:pPr>
          </w:p>
        </w:tc>
        <w:tc>
          <w:tcPr>
            <w:tcW w:w="840" w:type="dxa"/>
            <w:vAlign w:val="bottom"/>
            <w:shd w:val="clear" w:color="auto" w:fill="F2F2F2"/>
          </w:tcPr>
          <w:p>
            <w:pPr>
              <w:spacing w:after="0"/>
              <w:rPr>
                <w:sz w:val="3"/>
                <w:szCs w:val="3"/>
                <w:color w:val="auto"/>
              </w:rPr>
            </w:pPr>
          </w:p>
        </w:tc>
        <w:tc>
          <w:tcPr>
            <w:tcW w:w="1320" w:type="dxa"/>
            <w:vAlign w:val="bottom"/>
            <w:shd w:val="clear" w:color="auto" w:fill="F2F2F2"/>
          </w:tcPr>
          <w:p>
            <w:pPr>
              <w:spacing w:after="0"/>
              <w:rPr>
                <w:sz w:val="3"/>
                <w:szCs w:val="3"/>
                <w:color w:val="auto"/>
              </w:rPr>
            </w:pPr>
          </w:p>
        </w:tc>
        <w:tc>
          <w:tcPr>
            <w:tcW w:w="1280" w:type="dxa"/>
            <w:vAlign w:val="bottom"/>
            <w:shd w:val="clear" w:color="auto" w:fill="F2F2F2"/>
          </w:tcPr>
          <w:p>
            <w:pPr>
              <w:spacing w:after="0"/>
              <w:rPr>
                <w:sz w:val="3"/>
                <w:szCs w:val="3"/>
                <w:color w:val="auto"/>
              </w:rPr>
            </w:pPr>
          </w:p>
        </w:tc>
        <w:tc>
          <w:tcPr>
            <w:tcW w:w="1280" w:type="dxa"/>
            <w:vAlign w:val="bottom"/>
            <w:shd w:val="clear" w:color="auto" w:fill="F2F2F2"/>
          </w:tcPr>
          <w:p>
            <w:pPr>
              <w:spacing w:after="0"/>
              <w:rPr>
                <w:sz w:val="3"/>
                <w:szCs w:val="3"/>
                <w:color w:val="auto"/>
              </w:rPr>
            </w:pPr>
          </w:p>
        </w:tc>
        <w:tc>
          <w:tcPr>
            <w:tcW w:w="1000" w:type="dxa"/>
            <w:vAlign w:val="bottom"/>
            <w:shd w:val="clear" w:color="auto" w:fill="F2F2F2"/>
          </w:tcPr>
          <w:p>
            <w:pPr>
              <w:spacing w:after="0"/>
              <w:rPr>
                <w:sz w:val="3"/>
                <w:szCs w:val="3"/>
                <w:color w:val="auto"/>
              </w:rPr>
            </w:pPr>
          </w:p>
        </w:tc>
        <w:tc>
          <w:tcPr>
            <w:tcW w:w="0" w:type="dxa"/>
            <w:vAlign w:val="bottom"/>
          </w:tcPr>
          <w:p>
            <w:pPr>
              <w:spacing w:after="0"/>
              <w:rPr>
                <w:sz w:val="1"/>
                <w:szCs w:val="1"/>
                <w:color w:val="auto"/>
              </w:rPr>
            </w:pPr>
          </w:p>
        </w:tc>
      </w:tr>
      <w:tr>
        <w:trPr>
          <w:trHeight w:val="351"/>
        </w:trPr>
        <w:tc>
          <w:tcPr>
            <w:tcW w:w="2020" w:type="dxa"/>
            <w:vAlign w:val="bottom"/>
            <w:shd w:val="clear" w:color="auto" w:fill="F2F2F2"/>
          </w:tcPr>
          <w:p>
            <w:pPr>
              <w:spacing w:after="0"/>
              <w:rPr>
                <w:sz w:val="24"/>
                <w:szCs w:val="24"/>
                <w:color w:val="auto"/>
              </w:rPr>
            </w:pPr>
          </w:p>
        </w:tc>
        <w:tc>
          <w:tcPr>
            <w:tcW w:w="160" w:type="dxa"/>
            <w:vAlign w:val="bottom"/>
            <w:shd w:val="clear" w:color="auto" w:fill="F2F2F2"/>
          </w:tcPr>
          <w:p>
            <w:pPr>
              <w:spacing w:after="0"/>
              <w:rPr>
                <w:sz w:val="24"/>
                <w:szCs w:val="24"/>
                <w:color w:val="auto"/>
              </w:rPr>
            </w:pPr>
          </w:p>
        </w:tc>
        <w:tc>
          <w:tcPr>
            <w:tcW w:w="480" w:type="dxa"/>
            <w:vAlign w:val="bottom"/>
            <w:shd w:val="clear" w:color="auto" w:fill="F2F2F2"/>
          </w:tcPr>
          <w:p>
            <w:pPr>
              <w:spacing w:after="0"/>
              <w:rPr>
                <w:sz w:val="20"/>
                <w:szCs w:val="20"/>
                <w:color w:val="auto"/>
              </w:rPr>
            </w:pPr>
            <w:r>
              <w:rPr>
                <w:rFonts w:ascii="Arial" w:cs="Arial" w:eastAsia="Arial" w:hAnsi="Arial"/>
                <w:sz w:val="14"/>
                <w:szCs w:val="14"/>
                <w:color w:val="auto"/>
                <w:w w:val="92"/>
              </w:rPr>
              <w:t>2019</w:t>
            </w:r>
            <w:r>
              <w:rPr>
                <w:rFonts w:ascii="Arial" w:cs="Arial" w:eastAsia="Arial" w:hAnsi="Arial"/>
                <w:sz w:val="23"/>
                <w:szCs w:val="23"/>
                <w:color w:val="auto"/>
                <w:w w:val="92"/>
                <w:vertAlign w:val="superscript"/>
              </w:rPr>
              <w:t>(6)</w:t>
            </w:r>
          </w:p>
        </w:tc>
        <w:tc>
          <w:tcPr>
            <w:tcW w:w="140" w:type="dxa"/>
            <w:vAlign w:val="bottom"/>
            <w:shd w:val="clear" w:color="auto" w:fill="F2F2F2"/>
          </w:tcPr>
          <w:p>
            <w:pPr>
              <w:spacing w:after="0"/>
              <w:rPr>
                <w:sz w:val="24"/>
                <w:szCs w:val="24"/>
                <w:color w:val="auto"/>
              </w:rPr>
            </w:pPr>
          </w:p>
        </w:tc>
        <w:tc>
          <w:tcPr>
            <w:tcW w:w="1040" w:type="dxa"/>
            <w:vAlign w:val="bottom"/>
            <w:shd w:val="clear" w:color="auto" w:fill="F2F2F2"/>
          </w:tcPr>
          <w:p>
            <w:pPr>
              <w:ind w:left="160"/>
              <w:spacing w:after="0"/>
              <w:rPr>
                <w:sz w:val="20"/>
                <w:szCs w:val="20"/>
                <w:color w:val="auto"/>
              </w:rPr>
            </w:pPr>
            <w:r>
              <w:rPr>
                <w:rFonts w:ascii="Arial" w:cs="Arial" w:eastAsia="Arial" w:hAnsi="Arial"/>
                <w:sz w:val="14"/>
                <w:szCs w:val="14"/>
                <w:color w:val="auto"/>
              </w:rPr>
              <w:t>115,705</w:t>
            </w:r>
          </w:p>
        </w:tc>
        <w:tc>
          <w:tcPr>
            <w:tcW w:w="840" w:type="dxa"/>
            <w:vAlign w:val="bottom"/>
            <w:shd w:val="clear" w:color="auto" w:fill="F2F2F2"/>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shd w:val="clear" w:color="auto" w:fill="F2F2F2"/>
          </w:tcPr>
          <w:p>
            <w:pPr>
              <w:ind w:left="240"/>
              <w:spacing w:after="0"/>
              <w:rPr>
                <w:sz w:val="20"/>
                <w:szCs w:val="20"/>
                <w:color w:val="auto"/>
              </w:rPr>
            </w:pPr>
            <w:r>
              <w:rPr>
                <w:rFonts w:ascii="Arial" w:cs="Arial" w:eastAsia="Arial" w:hAnsi="Arial"/>
                <w:sz w:val="14"/>
                <w:szCs w:val="14"/>
                <w:color w:val="auto"/>
              </w:rPr>
              <w:t>20,293,391</w:t>
            </w:r>
            <w:r>
              <w:rPr>
                <w:rFonts w:ascii="Arial" w:cs="Arial" w:eastAsia="Arial" w:hAnsi="Arial"/>
                <w:sz w:val="23"/>
                <w:szCs w:val="23"/>
                <w:color w:val="auto"/>
                <w:vertAlign w:val="superscript"/>
              </w:rPr>
              <w:t>(7)</w:t>
            </w:r>
          </w:p>
        </w:tc>
        <w:tc>
          <w:tcPr>
            <w:tcW w:w="1280" w:type="dxa"/>
            <w:vAlign w:val="bottom"/>
            <w:shd w:val="clear" w:color="auto" w:fill="F2F2F2"/>
          </w:tcPr>
          <w:p>
            <w:pPr>
              <w:ind w:left="360"/>
              <w:spacing w:after="0"/>
              <w:rPr>
                <w:sz w:val="20"/>
                <w:szCs w:val="20"/>
                <w:color w:val="auto"/>
              </w:rPr>
            </w:pPr>
            <w:r>
              <w:rPr>
                <w:rFonts w:ascii="Arial" w:cs="Arial" w:eastAsia="Arial" w:hAnsi="Arial"/>
                <w:sz w:val="14"/>
                <w:szCs w:val="14"/>
                <w:color w:val="auto"/>
              </w:rPr>
              <w:t>116,438</w:t>
            </w:r>
          </w:p>
        </w:tc>
        <w:tc>
          <w:tcPr>
            <w:tcW w:w="1280" w:type="dxa"/>
            <w:vAlign w:val="bottom"/>
            <w:shd w:val="clear" w:color="auto" w:fill="F2F2F2"/>
          </w:tcPr>
          <w:p>
            <w:pPr>
              <w:ind w:left="480"/>
              <w:spacing w:after="0"/>
              <w:rPr>
                <w:sz w:val="20"/>
                <w:szCs w:val="20"/>
                <w:color w:val="auto"/>
              </w:rPr>
            </w:pPr>
            <w:r>
              <w:rPr>
                <w:rFonts w:ascii="Arial" w:cs="Arial" w:eastAsia="Arial" w:hAnsi="Arial"/>
                <w:sz w:val="14"/>
                <w:szCs w:val="14"/>
                <w:color w:val="auto"/>
              </w:rPr>
              <w:t>1,500</w:t>
            </w:r>
          </w:p>
        </w:tc>
        <w:tc>
          <w:tcPr>
            <w:tcW w:w="1000" w:type="dxa"/>
            <w:vAlign w:val="bottom"/>
            <w:shd w:val="clear" w:color="auto" w:fill="F2F2F2"/>
          </w:tcPr>
          <w:p>
            <w:pPr>
              <w:jc w:val="center"/>
              <w:ind w:left="8"/>
              <w:spacing w:after="0"/>
              <w:rPr>
                <w:sz w:val="20"/>
                <w:szCs w:val="20"/>
                <w:color w:val="auto"/>
              </w:rPr>
            </w:pPr>
            <w:r>
              <w:rPr>
                <w:rFonts w:ascii="Arial" w:cs="Arial" w:eastAsia="Arial" w:hAnsi="Arial"/>
                <w:sz w:val="14"/>
                <w:szCs w:val="14"/>
                <w:color w:val="auto"/>
              </w:rPr>
              <w:t>20,527,034</w:t>
            </w:r>
          </w:p>
        </w:tc>
        <w:tc>
          <w:tcPr>
            <w:tcW w:w="0" w:type="dxa"/>
            <w:vAlign w:val="bottom"/>
          </w:tcPr>
          <w:p>
            <w:pPr>
              <w:spacing w:after="0"/>
              <w:rPr>
                <w:sz w:val="1"/>
                <w:szCs w:val="1"/>
                <w:color w:val="auto"/>
              </w:rPr>
            </w:pPr>
          </w:p>
        </w:tc>
      </w:tr>
      <w:tr>
        <w:trPr>
          <w:trHeight w:val="355"/>
        </w:trPr>
        <w:tc>
          <w:tcPr>
            <w:tcW w:w="2020" w:type="dxa"/>
            <w:vAlign w:val="bottom"/>
          </w:tcPr>
          <w:p>
            <w:pPr>
              <w:spacing w:after="0"/>
              <w:rPr>
                <w:sz w:val="24"/>
                <w:szCs w:val="24"/>
                <w:color w:val="auto"/>
              </w:rPr>
            </w:pPr>
          </w:p>
        </w:tc>
        <w:tc>
          <w:tcPr>
            <w:tcW w:w="640" w:type="dxa"/>
            <w:vAlign w:val="bottom"/>
            <w:gridSpan w:val="2"/>
          </w:tcPr>
          <w:p>
            <w:pPr>
              <w:ind w:left="160"/>
              <w:spacing w:after="0"/>
              <w:rPr>
                <w:sz w:val="20"/>
                <w:szCs w:val="20"/>
                <w:color w:val="auto"/>
              </w:rPr>
            </w:pPr>
            <w:r>
              <w:rPr>
                <w:rFonts w:ascii="Arial" w:cs="Arial" w:eastAsia="Arial" w:hAnsi="Arial"/>
                <w:sz w:val="14"/>
                <w:szCs w:val="14"/>
                <w:color w:val="auto"/>
              </w:rPr>
              <w:t>2021</w:t>
            </w:r>
          </w:p>
        </w:tc>
        <w:tc>
          <w:tcPr>
            <w:tcW w:w="140" w:type="dxa"/>
            <w:vAlign w:val="bottom"/>
          </w:tcPr>
          <w:p>
            <w:pPr>
              <w:spacing w:after="0"/>
              <w:rPr>
                <w:sz w:val="24"/>
                <w:szCs w:val="24"/>
                <w:color w:val="auto"/>
              </w:rPr>
            </w:pPr>
          </w:p>
        </w:tc>
        <w:tc>
          <w:tcPr>
            <w:tcW w:w="1040" w:type="dxa"/>
            <w:vAlign w:val="bottom"/>
          </w:tcPr>
          <w:p>
            <w:pPr>
              <w:ind w:left="160"/>
              <w:spacing w:after="0"/>
              <w:rPr>
                <w:sz w:val="20"/>
                <w:szCs w:val="20"/>
                <w:color w:val="auto"/>
              </w:rPr>
            </w:pPr>
            <w:r>
              <w:rPr>
                <w:rFonts w:ascii="Arial" w:cs="Arial" w:eastAsia="Arial" w:hAnsi="Arial"/>
                <w:sz w:val="14"/>
                <w:szCs w:val="14"/>
                <w:color w:val="auto"/>
              </w:rPr>
              <w:t>475,000</w:t>
            </w:r>
          </w:p>
        </w:tc>
        <w:tc>
          <w:tcPr>
            <w:tcW w:w="840" w:type="dxa"/>
            <w:vAlign w:val="bottom"/>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tcPr>
          <w:p>
            <w:pPr>
              <w:jc w:val="right"/>
              <w:ind w:right="149"/>
              <w:spacing w:after="0"/>
              <w:rPr>
                <w:sz w:val="20"/>
                <w:szCs w:val="20"/>
                <w:color w:val="auto"/>
              </w:rPr>
            </w:pPr>
            <w:r>
              <w:rPr>
                <w:rFonts w:ascii="Arial" w:cs="Arial" w:eastAsia="Arial" w:hAnsi="Arial"/>
                <w:sz w:val="14"/>
                <w:szCs w:val="14"/>
                <w:color w:val="auto"/>
              </w:rPr>
              <w:t>3,113,995</w:t>
            </w:r>
            <w:r>
              <w:rPr>
                <w:rFonts w:ascii="Arial" w:cs="Arial" w:eastAsia="Arial" w:hAnsi="Arial"/>
                <w:sz w:val="23"/>
                <w:szCs w:val="23"/>
                <w:color w:val="auto"/>
                <w:vertAlign w:val="superscript"/>
              </w:rPr>
              <w:t>(1)</w:t>
            </w:r>
          </w:p>
        </w:tc>
        <w:tc>
          <w:tcPr>
            <w:tcW w:w="1280" w:type="dxa"/>
            <w:vAlign w:val="bottom"/>
          </w:tcPr>
          <w:p>
            <w:pPr>
              <w:ind w:left="360"/>
              <w:spacing w:after="0"/>
              <w:rPr>
                <w:sz w:val="20"/>
                <w:szCs w:val="20"/>
                <w:color w:val="auto"/>
              </w:rPr>
            </w:pPr>
            <w:r>
              <w:rPr>
                <w:rFonts w:ascii="Arial" w:cs="Arial" w:eastAsia="Arial" w:hAnsi="Arial"/>
                <w:sz w:val="14"/>
                <w:szCs w:val="14"/>
                <w:color w:val="auto"/>
              </w:rPr>
              <w:t>517,326</w:t>
            </w:r>
          </w:p>
        </w:tc>
        <w:tc>
          <w:tcPr>
            <w:tcW w:w="1280" w:type="dxa"/>
            <w:vAlign w:val="bottom"/>
          </w:tcPr>
          <w:p>
            <w:pPr>
              <w:ind w:left="480"/>
              <w:spacing w:after="0"/>
              <w:rPr>
                <w:sz w:val="20"/>
                <w:szCs w:val="20"/>
                <w:color w:val="auto"/>
              </w:rPr>
            </w:pPr>
            <w:r>
              <w:rPr>
                <w:rFonts w:ascii="Arial" w:cs="Arial" w:eastAsia="Arial" w:hAnsi="Arial"/>
                <w:sz w:val="14"/>
                <w:szCs w:val="14"/>
                <w:color w:val="auto"/>
              </w:rPr>
              <w:t>4,500</w:t>
            </w:r>
          </w:p>
        </w:tc>
        <w:tc>
          <w:tcPr>
            <w:tcW w:w="1000" w:type="dxa"/>
            <w:vAlign w:val="bottom"/>
          </w:tcPr>
          <w:p>
            <w:pPr>
              <w:jc w:val="right"/>
              <w:ind w:right="48"/>
              <w:spacing w:after="0"/>
              <w:rPr>
                <w:sz w:val="20"/>
                <w:szCs w:val="20"/>
                <w:color w:val="auto"/>
              </w:rPr>
            </w:pPr>
            <w:r>
              <w:rPr>
                <w:rFonts w:ascii="Arial" w:cs="Arial" w:eastAsia="Arial" w:hAnsi="Arial"/>
                <w:sz w:val="14"/>
                <w:szCs w:val="14"/>
                <w:color w:val="auto"/>
              </w:rPr>
              <w:t>4,110,821</w:t>
            </w:r>
          </w:p>
        </w:tc>
        <w:tc>
          <w:tcPr>
            <w:tcW w:w="0" w:type="dxa"/>
            <w:vAlign w:val="bottom"/>
          </w:tcPr>
          <w:p>
            <w:pPr>
              <w:spacing w:after="0"/>
              <w:rPr>
                <w:sz w:val="1"/>
                <w:szCs w:val="1"/>
                <w:color w:val="auto"/>
              </w:rPr>
            </w:pPr>
          </w:p>
        </w:tc>
      </w:tr>
      <w:tr>
        <w:trPr>
          <w:trHeight w:val="164"/>
        </w:trPr>
        <w:tc>
          <w:tcPr>
            <w:tcW w:w="2020" w:type="dxa"/>
            <w:vAlign w:val="bottom"/>
          </w:tcPr>
          <w:p>
            <w:pPr>
              <w:ind w:left="60"/>
              <w:spacing w:after="0"/>
              <w:rPr>
                <w:sz w:val="20"/>
                <w:szCs w:val="20"/>
                <w:color w:val="auto"/>
              </w:rPr>
            </w:pPr>
            <w:r>
              <w:rPr>
                <w:rFonts w:ascii="Arial" w:cs="Arial" w:eastAsia="Arial" w:hAnsi="Arial"/>
                <w:sz w:val="14"/>
                <w:szCs w:val="14"/>
                <w:b w:val="1"/>
                <w:bCs w:val="1"/>
                <w:color w:val="auto"/>
              </w:rPr>
              <w:t>Bart E. Volkmer</w:t>
            </w:r>
          </w:p>
        </w:tc>
        <w:tc>
          <w:tcPr>
            <w:tcW w:w="640" w:type="dxa"/>
            <w:vAlign w:val="bottom"/>
            <w:gridSpan w:val="2"/>
            <w:vMerge w:val="restart"/>
          </w:tcPr>
          <w:p>
            <w:pPr>
              <w:ind w:left="160"/>
              <w:spacing w:after="0"/>
              <w:rPr>
                <w:sz w:val="20"/>
                <w:szCs w:val="20"/>
                <w:color w:val="auto"/>
              </w:rPr>
            </w:pPr>
            <w:r>
              <w:rPr>
                <w:rFonts w:ascii="Arial" w:cs="Arial" w:eastAsia="Arial" w:hAnsi="Arial"/>
                <w:sz w:val="14"/>
                <w:szCs w:val="14"/>
                <w:color w:val="auto"/>
              </w:rPr>
              <w:t>2020</w:t>
            </w:r>
          </w:p>
        </w:tc>
        <w:tc>
          <w:tcPr>
            <w:tcW w:w="140" w:type="dxa"/>
            <w:vAlign w:val="bottom"/>
          </w:tcPr>
          <w:p>
            <w:pPr>
              <w:spacing w:after="0"/>
              <w:rPr>
                <w:sz w:val="14"/>
                <w:szCs w:val="14"/>
                <w:color w:val="auto"/>
              </w:rPr>
            </w:pPr>
          </w:p>
        </w:tc>
        <w:tc>
          <w:tcPr>
            <w:tcW w:w="1040" w:type="dxa"/>
            <w:vAlign w:val="bottom"/>
            <w:vMerge w:val="restart"/>
          </w:tcPr>
          <w:p>
            <w:pPr>
              <w:ind w:left="160"/>
              <w:spacing w:after="0"/>
              <w:rPr>
                <w:sz w:val="20"/>
                <w:szCs w:val="20"/>
                <w:color w:val="auto"/>
              </w:rPr>
            </w:pPr>
            <w:r>
              <w:rPr>
                <w:rFonts w:ascii="Arial" w:cs="Arial" w:eastAsia="Arial" w:hAnsi="Arial"/>
                <w:sz w:val="14"/>
                <w:szCs w:val="14"/>
                <w:color w:val="auto"/>
              </w:rPr>
              <w:t>475,000</w:t>
            </w:r>
          </w:p>
        </w:tc>
        <w:tc>
          <w:tcPr>
            <w:tcW w:w="840" w:type="dxa"/>
            <w:vAlign w:val="bottom"/>
            <w:vMerge w:val="restart"/>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vMerge w:val="restart"/>
          </w:tcPr>
          <w:p>
            <w:pPr>
              <w:jc w:val="right"/>
              <w:ind w:right="309"/>
              <w:spacing w:after="0"/>
              <w:rPr>
                <w:sz w:val="20"/>
                <w:szCs w:val="20"/>
                <w:color w:val="auto"/>
              </w:rPr>
            </w:pPr>
            <w:r>
              <w:rPr>
                <w:rFonts w:ascii="Arial" w:cs="Arial" w:eastAsia="Arial" w:hAnsi="Arial"/>
                <w:sz w:val="14"/>
                <w:szCs w:val="14"/>
                <w:color w:val="auto"/>
              </w:rPr>
              <w:t>2,422,649</w:t>
            </w:r>
          </w:p>
        </w:tc>
        <w:tc>
          <w:tcPr>
            <w:tcW w:w="1280" w:type="dxa"/>
            <w:vAlign w:val="bottom"/>
            <w:vMerge w:val="restart"/>
          </w:tcPr>
          <w:p>
            <w:pPr>
              <w:ind w:left="360"/>
              <w:spacing w:after="0"/>
              <w:rPr>
                <w:sz w:val="20"/>
                <w:szCs w:val="20"/>
                <w:color w:val="auto"/>
              </w:rPr>
            </w:pPr>
            <w:r>
              <w:rPr>
                <w:rFonts w:ascii="Arial" w:cs="Arial" w:eastAsia="Arial" w:hAnsi="Arial"/>
                <w:sz w:val="14"/>
                <w:szCs w:val="14"/>
                <w:color w:val="auto"/>
              </w:rPr>
              <w:t>408,322</w:t>
            </w:r>
          </w:p>
        </w:tc>
        <w:tc>
          <w:tcPr>
            <w:tcW w:w="1280" w:type="dxa"/>
            <w:vAlign w:val="bottom"/>
            <w:vMerge w:val="restart"/>
          </w:tcPr>
          <w:p>
            <w:pPr>
              <w:ind w:left="480"/>
              <w:spacing w:after="0"/>
              <w:rPr>
                <w:sz w:val="20"/>
                <w:szCs w:val="20"/>
                <w:color w:val="auto"/>
              </w:rPr>
            </w:pPr>
            <w:r>
              <w:rPr>
                <w:rFonts w:ascii="Arial" w:cs="Arial" w:eastAsia="Arial" w:hAnsi="Arial"/>
                <w:sz w:val="14"/>
                <w:szCs w:val="14"/>
                <w:color w:val="auto"/>
              </w:rPr>
              <w:t>4,500</w:t>
            </w:r>
          </w:p>
        </w:tc>
        <w:tc>
          <w:tcPr>
            <w:tcW w:w="1000" w:type="dxa"/>
            <w:vAlign w:val="bottom"/>
            <w:vMerge w:val="restart"/>
          </w:tcPr>
          <w:p>
            <w:pPr>
              <w:jc w:val="right"/>
              <w:ind w:right="48"/>
              <w:spacing w:after="0"/>
              <w:rPr>
                <w:sz w:val="20"/>
                <w:szCs w:val="20"/>
                <w:color w:val="auto"/>
              </w:rPr>
            </w:pPr>
            <w:r>
              <w:rPr>
                <w:rFonts w:ascii="Arial" w:cs="Arial" w:eastAsia="Arial" w:hAnsi="Arial"/>
                <w:sz w:val="14"/>
                <w:szCs w:val="14"/>
                <w:color w:val="auto"/>
              </w:rPr>
              <w:t>3,310,471</w:t>
            </w:r>
          </w:p>
        </w:tc>
        <w:tc>
          <w:tcPr>
            <w:tcW w:w="0" w:type="dxa"/>
            <w:vAlign w:val="bottom"/>
          </w:tcPr>
          <w:p>
            <w:pPr>
              <w:spacing w:after="0"/>
              <w:rPr>
                <w:sz w:val="1"/>
                <w:szCs w:val="1"/>
                <w:color w:val="auto"/>
              </w:rPr>
            </w:pPr>
          </w:p>
        </w:tc>
      </w:tr>
      <w:tr>
        <w:trPr>
          <w:trHeight w:val="107"/>
        </w:trPr>
        <w:tc>
          <w:tcPr>
            <w:tcW w:w="2020" w:type="dxa"/>
            <w:vAlign w:val="bottom"/>
            <w:vMerge w:val="restart"/>
          </w:tcPr>
          <w:p>
            <w:pPr>
              <w:ind w:left="60"/>
              <w:spacing w:after="0"/>
              <w:rPr>
                <w:sz w:val="20"/>
                <w:szCs w:val="20"/>
                <w:color w:val="auto"/>
              </w:rPr>
            </w:pPr>
            <w:r>
              <w:rPr>
                <w:rFonts w:ascii="Arial" w:cs="Arial" w:eastAsia="Arial" w:hAnsi="Arial"/>
                <w:sz w:val="14"/>
                <w:szCs w:val="14"/>
                <w:i w:val="1"/>
                <w:iCs w:val="1"/>
                <w:color w:val="auto"/>
              </w:rPr>
              <w:t>Chief Legal Officer</w:t>
            </w:r>
          </w:p>
        </w:tc>
        <w:tc>
          <w:tcPr>
            <w:tcW w:w="640" w:type="dxa"/>
            <w:vAlign w:val="bottom"/>
            <w:gridSpan w:val="2"/>
            <w:vMerge w:val="continue"/>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vMerge w:val="continue"/>
          </w:tcPr>
          <w:p>
            <w:pPr>
              <w:spacing w:after="0"/>
              <w:rPr>
                <w:sz w:val="9"/>
                <w:szCs w:val="9"/>
                <w:color w:val="auto"/>
              </w:rPr>
            </w:pPr>
          </w:p>
        </w:tc>
        <w:tc>
          <w:tcPr>
            <w:tcW w:w="840" w:type="dxa"/>
            <w:vAlign w:val="bottom"/>
            <w:vMerge w:val="continue"/>
          </w:tcPr>
          <w:p>
            <w:pPr>
              <w:spacing w:after="0"/>
              <w:rPr>
                <w:sz w:val="9"/>
                <w:szCs w:val="9"/>
                <w:color w:val="auto"/>
              </w:rPr>
            </w:pPr>
          </w:p>
        </w:tc>
        <w:tc>
          <w:tcPr>
            <w:tcW w:w="1320" w:type="dxa"/>
            <w:vAlign w:val="bottom"/>
            <w:vMerge w:val="continue"/>
          </w:tcPr>
          <w:p>
            <w:pPr>
              <w:spacing w:after="0"/>
              <w:rPr>
                <w:sz w:val="9"/>
                <w:szCs w:val="9"/>
                <w:color w:val="auto"/>
              </w:rPr>
            </w:pPr>
          </w:p>
        </w:tc>
        <w:tc>
          <w:tcPr>
            <w:tcW w:w="1280" w:type="dxa"/>
            <w:vAlign w:val="bottom"/>
            <w:vMerge w:val="continue"/>
          </w:tcPr>
          <w:p>
            <w:pPr>
              <w:spacing w:after="0"/>
              <w:rPr>
                <w:sz w:val="9"/>
                <w:szCs w:val="9"/>
                <w:color w:val="auto"/>
              </w:rPr>
            </w:pPr>
          </w:p>
        </w:tc>
        <w:tc>
          <w:tcPr>
            <w:tcW w:w="1280" w:type="dxa"/>
            <w:vAlign w:val="bottom"/>
            <w:vMerge w:val="continue"/>
          </w:tcPr>
          <w:p>
            <w:pPr>
              <w:spacing w:after="0"/>
              <w:rPr>
                <w:sz w:val="9"/>
                <w:szCs w:val="9"/>
                <w:color w:val="auto"/>
              </w:rPr>
            </w:pPr>
          </w:p>
        </w:tc>
        <w:tc>
          <w:tcPr>
            <w:tcW w:w="10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2020" w:type="dxa"/>
            <w:vAlign w:val="bottom"/>
            <w:vMerge w:val="continue"/>
          </w:tcPr>
          <w:p>
            <w:pPr>
              <w:spacing w:after="0"/>
              <w:rPr>
                <w:sz w:val="7"/>
                <w:szCs w:val="7"/>
                <w:color w:val="auto"/>
              </w:rPr>
            </w:pPr>
          </w:p>
        </w:tc>
        <w:tc>
          <w:tcPr>
            <w:tcW w:w="160" w:type="dxa"/>
            <w:vAlign w:val="bottom"/>
          </w:tcPr>
          <w:p>
            <w:pPr>
              <w:spacing w:after="0"/>
              <w:rPr>
                <w:sz w:val="7"/>
                <w:szCs w:val="7"/>
                <w:color w:val="auto"/>
              </w:rPr>
            </w:pPr>
          </w:p>
        </w:tc>
        <w:tc>
          <w:tcPr>
            <w:tcW w:w="48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840" w:type="dxa"/>
            <w:vAlign w:val="bottom"/>
          </w:tcPr>
          <w:p>
            <w:pPr>
              <w:spacing w:after="0"/>
              <w:rPr>
                <w:sz w:val="7"/>
                <w:szCs w:val="7"/>
                <w:color w:val="auto"/>
              </w:rPr>
            </w:pPr>
          </w:p>
        </w:tc>
        <w:tc>
          <w:tcPr>
            <w:tcW w:w="1320" w:type="dxa"/>
            <w:vAlign w:val="bottom"/>
          </w:tcPr>
          <w:p>
            <w:pPr>
              <w:spacing w:after="0"/>
              <w:rPr>
                <w:sz w:val="7"/>
                <w:szCs w:val="7"/>
                <w:color w:val="auto"/>
              </w:rPr>
            </w:pPr>
          </w:p>
        </w:tc>
        <w:tc>
          <w:tcPr>
            <w:tcW w:w="1280" w:type="dxa"/>
            <w:vAlign w:val="bottom"/>
          </w:tcPr>
          <w:p>
            <w:pPr>
              <w:spacing w:after="0"/>
              <w:rPr>
                <w:sz w:val="7"/>
                <w:szCs w:val="7"/>
                <w:color w:val="auto"/>
              </w:rPr>
            </w:pPr>
          </w:p>
        </w:tc>
        <w:tc>
          <w:tcPr>
            <w:tcW w:w="1280" w:type="dxa"/>
            <w:vAlign w:val="bottom"/>
          </w:tcPr>
          <w:p>
            <w:pPr>
              <w:spacing w:after="0"/>
              <w:rPr>
                <w:sz w:val="7"/>
                <w:szCs w:val="7"/>
                <w:color w:val="auto"/>
              </w:rPr>
            </w:pPr>
          </w:p>
        </w:tc>
        <w:tc>
          <w:tcPr>
            <w:tcW w:w="10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70"/>
        </w:trPr>
        <w:tc>
          <w:tcPr>
            <w:tcW w:w="2020" w:type="dxa"/>
            <w:vAlign w:val="bottom"/>
          </w:tcPr>
          <w:p>
            <w:pPr>
              <w:spacing w:after="0"/>
              <w:rPr>
                <w:sz w:val="23"/>
                <w:szCs w:val="23"/>
                <w:color w:val="auto"/>
              </w:rPr>
            </w:pPr>
          </w:p>
        </w:tc>
        <w:tc>
          <w:tcPr>
            <w:tcW w:w="640" w:type="dxa"/>
            <w:vAlign w:val="bottom"/>
            <w:gridSpan w:val="2"/>
          </w:tcPr>
          <w:p>
            <w:pPr>
              <w:ind w:left="160"/>
              <w:spacing w:after="0"/>
              <w:rPr>
                <w:sz w:val="20"/>
                <w:szCs w:val="20"/>
                <w:color w:val="auto"/>
              </w:rPr>
            </w:pPr>
            <w:r>
              <w:rPr>
                <w:rFonts w:ascii="Arial" w:cs="Arial" w:eastAsia="Arial" w:hAnsi="Arial"/>
                <w:sz w:val="14"/>
                <w:szCs w:val="14"/>
                <w:color w:val="auto"/>
              </w:rPr>
              <w:t>2019</w:t>
            </w:r>
          </w:p>
        </w:tc>
        <w:tc>
          <w:tcPr>
            <w:tcW w:w="140" w:type="dxa"/>
            <w:vAlign w:val="bottom"/>
          </w:tcPr>
          <w:p>
            <w:pPr>
              <w:spacing w:after="0"/>
              <w:rPr>
                <w:sz w:val="23"/>
                <w:szCs w:val="23"/>
                <w:color w:val="auto"/>
              </w:rPr>
            </w:pPr>
          </w:p>
        </w:tc>
        <w:tc>
          <w:tcPr>
            <w:tcW w:w="1040" w:type="dxa"/>
            <w:vAlign w:val="bottom"/>
          </w:tcPr>
          <w:p>
            <w:pPr>
              <w:ind w:left="160"/>
              <w:spacing w:after="0"/>
              <w:rPr>
                <w:sz w:val="20"/>
                <w:szCs w:val="20"/>
                <w:color w:val="auto"/>
              </w:rPr>
            </w:pPr>
            <w:r>
              <w:rPr>
                <w:rFonts w:ascii="Arial" w:cs="Arial" w:eastAsia="Arial" w:hAnsi="Arial"/>
                <w:sz w:val="14"/>
                <w:szCs w:val="14"/>
                <w:color w:val="auto"/>
              </w:rPr>
              <w:t>472,917</w:t>
            </w:r>
          </w:p>
        </w:tc>
        <w:tc>
          <w:tcPr>
            <w:tcW w:w="840" w:type="dxa"/>
            <w:vAlign w:val="bottom"/>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tcPr>
          <w:p>
            <w:pPr>
              <w:jc w:val="right"/>
              <w:ind w:right="309"/>
              <w:spacing w:after="0"/>
              <w:rPr>
                <w:sz w:val="20"/>
                <w:szCs w:val="20"/>
                <w:color w:val="auto"/>
              </w:rPr>
            </w:pPr>
            <w:r>
              <w:rPr>
                <w:rFonts w:ascii="Arial" w:cs="Arial" w:eastAsia="Arial" w:hAnsi="Arial"/>
                <w:sz w:val="14"/>
                <w:szCs w:val="14"/>
                <w:color w:val="auto"/>
              </w:rPr>
              <w:t>2,333,167</w:t>
            </w:r>
          </w:p>
        </w:tc>
        <w:tc>
          <w:tcPr>
            <w:tcW w:w="1280" w:type="dxa"/>
            <w:vAlign w:val="bottom"/>
          </w:tcPr>
          <w:p>
            <w:pPr>
              <w:ind w:left="360"/>
              <w:spacing w:after="0"/>
              <w:rPr>
                <w:sz w:val="20"/>
                <w:szCs w:val="20"/>
                <w:color w:val="auto"/>
              </w:rPr>
            </w:pPr>
            <w:r>
              <w:rPr>
                <w:rFonts w:ascii="Arial" w:cs="Arial" w:eastAsia="Arial" w:hAnsi="Arial"/>
                <w:sz w:val="14"/>
                <w:szCs w:val="14"/>
                <w:color w:val="auto"/>
              </w:rPr>
              <w:t>384,213</w:t>
            </w:r>
          </w:p>
        </w:tc>
        <w:tc>
          <w:tcPr>
            <w:tcW w:w="1280" w:type="dxa"/>
            <w:vAlign w:val="bottom"/>
          </w:tcPr>
          <w:p>
            <w:pPr>
              <w:ind w:left="480"/>
              <w:spacing w:after="0"/>
              <w:rPr>
                <w:sz w:val="20"/>
                <w:szCs w:val="20"/>
                <w:color w:val="auto"/>
              </w:rPr>
            </w:pPr>
            <w:r>
              <w:rPr>
                <w:rFonts w:ascii="Arial" w:cs="Arial" w:eastAsia="Arial" w:hAnsi="Arial"/>
                <w:sz w:val="14"/>
                <w:szCs w:val="14"/>
                <w:color w:val="auto"/>
              </w:rPr>
              <w:t>4,500</w:t>
            </w:r>
          </w:p>
        </w:tc>
        <w:tc>
          <w:tcPr>
            <w:tcW w:w="1000" w:type="dxa"/>
            <w:vAlign w:val="bottom"/>
          </w:tcPr>
          <w:p>
            <w:pPr>
              <w:jc w:val="right"/>
              <w:ind w:right="48"/>
              <w:spacing w:after="0"/>
              <w:rPr>
                <w:sz w:val="20"/>
                <w:szCs w:val="20"/>
                <w:color w:val="auto"/>
              </w:rPr>
            </w:pPr>
            <w:r>
              <w:rPr>
                <w:rFonts w:ascii="Arial" w:cs="Arial" w:eastAsia="Arial" w:hAnsi="Arial"/>
                <w:sz w:val="14"/>
                <w:szCs w:val="14"/>
                <w:color w:val="auto"/>
              </w:rPr>
              <w:t>3,194,797</w:t>
            </w:r>
          </w:p>
        </w:tc>
        <w:tc>
          <w:tcPr>
            <w:tcW w:w="0" w:type="dxa"/>
            <w:vAlign w:val="bottom"/>
          </w:tcPr>
          <w:p>
            <w:pPr>
              <w:spacing w:after="0"/>
              <w:rPr>
                <w:sz w:val="1"/>
                <w:szCs w:val="1"/>
                <w:color w:val="auto"/>
              </w:rPr>
            </w:pPr>
          </w:p>
        </w:tc>
      </w:tr>
      <w:tr>
        <w:trPr>
          <w:trHeight w:val="76"/>
        </w:trPr>
        <w:tc>
          <w:tcPr>
            <w:tcW w:w="2020" w:type="dxa"/>
            <w:vAlign w:val="bottom"/>
          </w:tcPr>
          <w:p>
            <w:pPr>
              <w:spacing w:after="0"/>
              <w:rPr>
                <w:sz w:val="6"/>
                <w:szCs w:val="6"/>
                <w:color w:val="auto"/>
              </w:rPr>
            </w:pPr>
          </w:p>
        </w:tc>
        <w:tc>
          <w:tcPr>
            <w:tcW w:w="640" w:type="dxa"/>
            <w:vAlign w:val="bottom"/>
            <w:gridSpan w:val="2"/>
          </w:tcPr>
          <w:p>
            <w:pPr>
              <w:spacing w:after="0"/>
              <w:rPr>
                <w:sz w:val="6"/>
                <w:szCs w:val="6"/>
                <w:color w:val="auto"/>
              </w:rPr>
            </w:pPr>
          </w:p>
        </w:tc>
        <w:tc>
          <w:tcPr>
            <w:tcW w:w="140" w:type="dxa"/>
            <w:vAlign w:val="bottom"/>
          </w:tcPr>
          <w:p>
            <w:pPr>
              <w:spacing w:after="0"/>
              <w:rPr>
                <w:sz w:val="6"/>
                <w:szCs w:val="6"/>
                <w:color w:val="auto"/>
              </w:rPr>
            </w:pPr>
          </w:p>
        </w:tc>
        <w:tc>
          <w:tcPr>
            <w:tcW w:w="1040" w:type="dxa"/>
            <w:vAlign w:val="bottom"/>
          </w:tcPr>
          <w:p>
            <w:pPr>
              <w:spacing w:after="0"/>
              <w:rPr>
                <w:sz w:val="6"/>
                <w:szCs w:val="6"/>
                <w:color w:val="auto"/>
              </w:rPr>
            </w:pPr>
          </w:p>
        </w:tc>
        <w:tc>
          <w:tcPr>
            <w:tcW w:w="840" w:type="dxa"/>
            <w:vAlign w:val="bottom"/>
          </w:tcPr>
          <w:p>
            <w:pPr>
              <w:spacing w:after="0"/>
              <w:rPr>
                <w:sz w:val="6"/>
                <w:szCs w:val="6"/>
                <w:color w:val="auto"/>
              </w:rPr>
            </w:pPr>
          </w:p>
        </w:tc>
        <w:tc>
          <w:tcPr>
            <w:tcW w:w="1320" w:type="dxa"/>
            <w:vAlign w:val="bottom"/>
          </w:tcPr>
          <w:p>
            <w:pPr>
              <w:spacing w:after="0"/>
              <w:rPr>
                <w:sz w:val="6"/>
                <w:szCs w:val="6"/>
                <w:color w:val="auto"/>
              </w:rPr>
            </w:pPr>
          </w:p>
        </w:tc>
        <w:tc>
          <w:tcPr>
            <w:tcW w:w="1280" w:type="dxa"/>
            <w:vAlign w:val="bottom"/>
          </w:tcPr>
          <w:p>
            <w:pPr>
              <w:spacing w:after="0"/>
              <w:rPr>
                <w:sz w:val="6"/>
                <w:szCs w:val="6"/>
                <w:color w:val="auto"/>
              </w:rPr>
            </w:pPr>
          </w:p>
        </w:tc>
        <w:tc>
          <w:tcPr>
            <w:tcW w:w="1280" w:type="dxa"/>
            <w:vAlign w:val="bottom"/>
          </w:tcPr>
          <w:p>
            <w:pPr>
              <w:spacing w:after="0"/>
              <w:rPr>
                <w:sz w:val="6"/>
                <w:szCs w:val="6"/>
                <w:color w:val="auto"/>
              </w:rPr>
            </w:pPr>
          </w:p>
        </w:tc>
        <w:tc>
          <w:tcPr>
            <w:tcW w:w="10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49"/>
        </w:trPr>
        <w:tc>
          <w:tcPr>
            <w:tcW w:w="2020" w:type="dxa"/>
            <w:vAlign w:val="bottom"/>
            <w:shd w:val="clear" w:color="auto" w:fill="F2F2F2"/>
          </w:tcPr>
          <w:p>
            <w:pPr>
              <w:ind w:left="60"/>
              <w:spacing w:after="0"/>
              <w:rPr>
                <w:sz w:val="20"/>
                <w:szCs w:val="20"/>
                <w:color w:val="auto"/>
              </w:rPr>
            </w:pPr>
            <w:r>
              <w:rPr>
                <w:rFonts w:ascii="Arial" w:cs="Arial" w:eastAsia="Arial" w:hAnsi="Arial"/>
                <w:sz w:val="14"/>
                <w:szCs w:val="14"/>
                <w:b w:val="1"/>
                <w:bCs w:val="1"/>
                <w:color w:val="auto"/>
              </w:rPr>
              <w:t>Olivia Nottebohm</w:t>
            </w:r>
          </w:p>
        </w:tc>
        <w:tc>
          <w:tcPr>
            <w:tcW w:w="160" w:type="dxa"/>
            <w:vAlign w:val="bottom"/>
            <w:shd w:val="clear" w:color="auto" w:fill="F2F2F2"/>
          </w:tcPr>
          <w:p>
            <w:pPr>
              <w:spacing w:after="0"/>
              <w:rPr>
                <w:sz w:val="21"/>
                <w:szCs w:val="21"/>
                <w:color w:val="auto"/>
              </w:rPr>
            </w:pPr>
          </w:p>
        </w:tc>
        <w:tc>
          <w:tcPr>
            <w:tcW w:w="480" w:type="dxa"/>
            <w:vAlign w:val="bottom"/>
            <w:shd w:val="clear" w:color="auto" w:fill="F2F2F2"/>
          </w:tcPr>
          <w:p>
            <w:pPr>
              <w:spacing w:after="0"/>
              <w:rPr>
                <w:sz w:val="20"/>
                <w:szCs w:val="20"/>
                <w:color w:val="auto"/>
              </w:rPr>
            </w:pPr>
            <w:r>
              <w:rPr>
                <w:rFonts w:ascii="Arial" w:cs="Arial" w:eastAsia="Arial" w:hAnsi="Arial"/>
                <w:sz w:val="14"/>
                <w:szCs w:val="14"/>
                <w:color w:val="auto"/>
              </w:rPr>
              <w:t>2021</w:t>
            </w:r>
          </w:p>
        </w:tc>
        <w:tc>
          <w:tcPr>
            <w:tcW w:w="140" w:type="dxa"/>
            <w:vAlign w:val="bottom"/>
            <w:shd w:val="clear" w:color="auto" w:fill="F2F2F2"/>
          </w:tcPr>
          <w:p>
            <w:pPr>
              <w:spacing w:after="0"/>
              <w:rPr>
                <w:sz w:val="21"/>
                <w:szCs w:val="21"/>
                <w:color w:val="auto"/>
              </w:rPr>
            </w:pPr>
          </w:p>
        </w:tc>
        <w:tc>
          <w:tcPr>
            <w:tcW w:w="1040" w:type="dxa"/>
            <w:vAlign w:val="bottom"/>
            <w:shd w:val="clear" w:color="auto" w:fill="F2F2F2"/>
          </w:tcPr>
          <w:p>
            <w:pPr>
              <w:jc w:val="center"/>
              <w:spacing w:after="0" w:line="250" w:lineRule="exact"/>
              <w:rPr>
                <w:sz w:val="20"/>
                <w:szCs w:val="20"/>
                <w:color w:val="auto"/>
              </w:rPr>
            </w:pPr>
            <w:r>
              <w:rPr>
                <w:rFonts w:ascii="Arial" w:cs="Arial" w:eastAsia="Arial" w:hAnsi="Arial"/>
                <w:sz w:val="14"/>
                <w:szCs w:val="14"/>
                <w:color w:val="auto"/>
                <w:w w:val="94"/>
              </w:rPr>
              <w:t>55,128</w:t>
            </w:r>
            <w:r>
              <w:rPr>
                <w:rFonts w:ascii="Arial" w:cs="Arial" w:eastAsia="Arial" w:hAnsi="Arial"/>
                <w:sz w:val="23"/>
                <w:szCs w:val="23"/>
                <w:color w:val="auto"/>
                <w:w w:val="94"/>
                <w:vertAlign w:val="superscript"/>
              </w:rPr>
              <w:t>(8)</w:t>
            </w:r>
          </w:p>
        </w:tc>
        <w:tc>
          <w:tcPr>
            <w:tcW w:w="840" w:type="dxa"/>
            <w:vAlign w:val="bottom"/>
            <w:shd w:val="clear" w:color="auto" w:fill="F2F2F2"/>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shd w:val="clear" w:color="auto" w:fill="F2F2F2"/>
          </w:tcPr>
          <w:p>
            <w:pPr>
              <w:jc w:val="center"/>
              <w:ind w:right="29"/>
              <w:spacing w:after="0"/>
              <w:rPr>
                <w:sz w:val="20"/>
                <w:szCs w:val="20"/>
                <w:color w:val="auto"/>
              </w:rPr>
            </w:pPr>
            <w:r>
              <w:rPr>
                <w:rFonts w:ascii="Arial" w:cs="Arial" w:eastAsia="Arial" w:hAnsi="Arial"/>
                <w:sz w:val="14"/>
                <w:szCs w:val="14"/>
                <w:color w:val="auto"/>
                <w:w w:val="99"/>
              </w:rPr>
              <w:t>—</w:t>
            </w:r>
          </w:p>
        </w:tc>
        <w:tc>
          <w:tcPr>
            <w:tcW w:w="1280" w:type="dxa"/>
            <w:vAlign w:val="bottom"/>
            <w:shd w:val="clear" w:color="auto" w:fill="F2F2F2"/>
          </w:tcPr>
          <w:p>
            <w:pPr>
              <w:jc w:val="center"/>
              <w:spacing w:after="0" w:line="249" w:lineRule="exact"/>
              <w:rPr>
                <w:sz w:val="20"/>
                <w:szCs w:val="20"/>
                <w:color w:val="auto"/>
              </w:rPr>
            </w:pPr>
            <w:r>
              <w:rPr>
                <w:rFonts w:ascii="Arial" w:cs="Arial" w:eastAsia="Arial" w:hAnsi="Arial"/>
                <w:sz w:val="28"/>
                <w:szCs w:val="28"/>
                <w:color w:val="auto"/>
                <w:w w:val="89"/>
                <w:vertAlign w:val="subscript"/>
              </w:rPr>
              <w:t>—</w:t>
            </w:r>
            <w:r>
              <w:rPr>
                <w:rFonts w:ascii="Arial" w:cs="Arial" w:eastAsia="Arial" w:hAnsi="Arial"/>
                <w:sz w:val="12"/>
                <w:szCs w:val="12"/>
                <w:color w:val="auto"/>
                <w:w w:val="89"/>
              </w:rPr>
              <w:t>(9)</w:t>
            </w:r>
          </w:p>
        </w:tc>
        <w:tc>
          <w:tcPr>
            <w:tcW w:w="1280" w:type="dxa"/>
            <w:vAlign w:val="bottom"/>
            <w:shd w:val="clear" w:color="auto" w:fill="F2F2F2"/>
          </w:tcPr>
          <w:p>
            <w:pPr>
              <w:ind w:left="480"/>
              <w:spacing w:after="0"/>
              <w:rPr>
                <w:sz w:val="20"/>
                <w:szCs w:val="20"/>
                <w:color w:val="auto"/>
              </w:rPr>
            </w:pPr>
            <w:r>
              <w:rPr>
                <w:rFonts w:ascii="Arial" w:cs="Arial" w:eastAsia="Arial" w:hAnsi="Arial"/>
                <w:sz w:val="14"/>
                <w:szCs w:val="14"/>
                <w:color w:val="auto"/>
              </w:rPr>
              <w:t>1,500</w:t>
            </w:r>
          </w:p>
        </w:tc>
        <w:tc>
          <w:tcPr>
            <w:tcW w:w="1000" w:type="dxa"/>
            <w:vAlign w:val="bottom"/>
            <w:shd w:val="clear" w:color="auto" w:fill="F2F2F2"/>
          </w:tcPr>
          <w:p>
            <w:pPr>
              <w:jc w:val="right"/>
              <w:ind w:right="48"/>
              <w:spacing w:after="0"/>
              <w:rPr>
                <w:sz w:val="20"/>
                <w:szCs w:val="20"/>
                <w:color w:val="auto"/>
              </w:rPr>
            </w:pPr>
            <w:r>
              <w:rPr>
                <w:rFonts w:ascii="Arial" w:cs="Arial" w:eastAsia="Arial" w:hAnsi="Arial"/>
                <w:sz w:val="14"/>
                <w:szCs w:val="14"/>
                <w:color w:val="auto"/>
              </w:rPr>
              <w:t>56,628</w:t>
            </w:r>
          </w:p>
        </w:tc>
        <w:tc>
          <w:tcPr>
            <w:tcW w:w="0" w:type="dxa"/>
            <w:vAlign w:val="bottom"/>
          </w:tcPr>
          <w:p>
            <w:pPr>
              <w:spacing w:after="0"/>
              <w:rPr>
                <w:sz w:val="1"/>
                <w:szCs w:val="1"/>
                <w:color w:val="auto"/>
              </w:rPr>
            </w:pPr>
          </w:p>
        </w:tc>
      </w:tr>
      <w:tr>
        <w:trPr>
          <w:trHeight w:val="162"/>
        </w:trPr>
        <w:tc>
          <w:tcPr>
            <w:tcW w:w="2020" w:type="dxa"/>
            <w:vAlign w:val="bottom"/>
            <w:shd w:val="clear" w:color="auto" w:fill="F2F2F2"/>
          </w:tcPr>
          <w:p>
            <w:pPr>
              <w:ind w:left="60"/>
              <w:spacing w:after="0"/>
              <w:rPr>
                <w:sz w:val="20"/>
                <w:szCs w:val="20"/>
                <w:color w:val="auto"/>
              </w:rPr>
            </w:pPr>
            <w:r>
              <w:rPr>
                <w:rFonts w:ascii="Arial" w:cs="Arial" w:eastAsia="Arial" w:hAnsi="Arial"/>
                <w:sz w:val="14"/>
                <w:szCs w:val="14"/>
                <w:i w:val="1"/>
                <w:iCs w:val="1"/>
                <w:color w:val="auto"/>
              </w:rPr>
              <w:t>Former Chief Operating</w:t>
            </w:r>
          </w:p>
        </w:tc>
        <w:tc>
          <w:tcPr>
            <w:tcW w:w="160" w:type="dxa"/>
            <w:vAlign w:val="bottom"/>
            <w:shd w:val="clear" w:color="auto" w:fill="F2F2F2"/>
          </w:tcPr>
          <w:p>
            <w:pPr>
              <w:spacing w:after="0"/>
              <w:rPr>
                <w:sz w:val="14"/>
                <w:szCs w:val="14"/>
                <w:color w:val="auto"/>
              </w:rPr>
            </w:pPr>
          </w:p>
        </w:tc>
        <w:tc>
          <w:tcPr>
            <w:tcW w:w="480" w:type="dxa"/>
            <w:vAlign w:val="bottom"/>
            <w:shd w:val="clear" w:color="auto" w:fill="F2F2F2"/>
          </w:tcPr>
          <w:p>
            <w:pPr>
              <w:spacing w:after="0"/>
              <w:rPr>
                <w:sz w:val="14"/>
                <w:szCs w:val="14"/>
                <w:color w:val="auto"/>
              </w:rPr>
            </w:pPr>
          </w:p>
        </w:tc>
        <w:tc>
          <w:tcPr>
            <w:tcW w:w="140" w:type="dxa"/>
            <w:vAlign w:val="bottom"/>
            <w:shd w:val="clear" w:color="auto" w:fill="F2F2F2"/>
          </w:tcPr>
          <w:p>
            <w:pPr>
              <w:spacing w:after="0"/>
              <w:rPr>
                <w:sz w:val="14"/>
                <w:szCs w:val="14"/>
                <w:color w:val="auto"/>
              </w:rPr>
            </w:pPr>
          </w:p>
        </w:tc>
        <w:tc>
          <w:tcPr>
            <w:tcW w:w="1040" w:type="dxa"/>
            <w:vAlign w:val="bottom"/>
            <w:shd w:val="clear" w:color="auto" w:fill="F2F2F2"/>
          </w:tcPr>
          <w:p>
            <w:pPr>
              <w:spacing w:after="0"/>
              <w:rPr>
                <w:sz w:val="14"/>
                <w:szCs w:val="14"/>
                <w:color w:val="auto"/>
              </w:rPr>
            </w:pPr>
          </w:p>
        </w:tc>
        <w:tc>
          <w:tcPr>
            <w:tcW w:w="840" w:type="dxa"/>
            <w:vAlign w:val="bottom"/>
            <w:shd w:val="clear" w:color="auto" w:fill="F2F2F2"/>
          </w:tcPr>
          <w:p>
            <w:pPr>
              <w:spacing w:after="0"/>
              <w:rPr>
                <w:sz w:val="14"/>
                <w:szCs w:val="14"/>
                <w:color w:val="auto"/>
              </w:rPr>
            </w:pPr>
          </w:p>
        </w:tc>
        <w:tc>
          <w:tcPr>
            <w:tcW w:w="1320" w:type="dxa"/>
            <w:vAlign w:val="bottom"/>
            <w:shd w:val="clear" w:color="auto" w:fill="F2F2F2"/>
          </w:tcPr>
          <w:p>
            <w:pPr>
              <w:spacing w:after="0"/>
              <w:rPr>
                <w:sz w:val="14"/>
                <w:szCs w:val="14"/>
                <w:color w:val="auto"/>
              </w:rPr>
            </w:pPr>
          </w:p>
        </w:tc>
        <w:tc>
          <w:tcPr>
            <w:tcW w:w="1280" w:type="dxa"/>
            <w:vAlign w:val="bottom"/>
            <w:shd w:val="clear" w:color="auto" w:fill="F2F2F2"/>
          </w:tcPr>
          <w:p>
            <w:pPr>
              <w:spacing w:after="0"/>
              <w:rPr>
                <w:sz w:val="14"/>
                <w:szCs w:val="14"/>
                <w:color w:val="auto"/>
              </w:rPr>
            </w:pPr>
          </w:p>
        </w:tc>
        <w:tc>
          <w:tcPr>
            <w:tcW w:w="1280" w:type="dxa"/>
            <w:vAlign w:val="bottom"/>
            <w:shd w:val="clear" w:color="auto" w:fill="F2F2F2"/>
          </w:tcPr>
          <w:p>
            <w:pPr>
              <w:spacing w:after="0"/>
              <w:rPr>
                <w:sz w:val="14"/>
                <w:szCs w:val="14"/>
                <w:color w:val="auto"/>
              </w:rPr>
            </w:pPr>
          </w:p>
        </w:tc>
        <w:tc>
          <w:tcPr>
            <w:tcW w:w="1000" w:type="dxa"/>
            <w:vAlign w:val="bottom"/>
            <w:shd w:val="clear" w:color="auto" w:fill="F2F2F2"/>
          </w:tcPr>
          <w:p>
            <w:pPr>
              <w:spacing w:after="0"/>
              <w:rPr>
                <w:sz w:val="14"/>
                <w:szCs w:val="14"/>
                <w:color w:val="auto"/>
              </w:rPr>
            </w:pPr>
          </w:p>
        </w:tc>
        <w:tc>
          <w:tcPr>
            <w:tcW w:w="0" w:type="dxa"/>
            <w:vAlign w:val="bottom"/>
          </w:tcPr>
          <w:p>
            <w:pPr>
              <w:spacing w:after="0"/>
              <w:rPr>
                <w:sz w:val="1"/>
                <w:szCs w:val="1"/>
                <w:color w:val="auto"/>
              </w:rPr>
            </w:pPr>
          </w:p>
        </w:tc>
      </w:tr>
      <w:tr>
        <w:trPr>
          <w:trHeight w:val="264"/>
        </w:trPr>
        <w:tc>
          <w:tcPr>
            <w:tcW w:w="2020" w:type="dxa"/>
            <w:vAlign w:val="bottom"/>
            <w:shd w:val="clear" w:color="auto" w:fill="F2F2F2"/>
          </w:tcPr>
          <w:p>
            <w:pPr>
              <w:ind w:left="60"/>
              <w:spacing w:after="0"/>
              <w:rPr>
                <w:sz w:val="20"/>
                <w:szCs w:val="20"/>
                <w:color w:val="auto"/>
              </w:rPr>
            </w:pPr>
            <w:r>
              <w:rPr>
                <w:rFonts w:ascii="Arial" w:cs="Arial" w:eastAsia="Arial" w:hAnsi="Arial"/>
                <w:sz w:val="14"/>
                <w:szCs w:val="14"/>
                <w:i w:val="1"/>
                <w:iCs w:val="1"/>
                <w:color w:val="auto"/>
              </w:rPr>
              <w:t>Officer</w:t>
            </w:r>
          </w:p>
        </w:tc>
        <w:tc>
          <w:tcPr>
            <w:tcW w:w="160" w:type="dxa"/>
            <w:vAlign w:val="bottom"/>
            <w:shd w:val="clear" w:color="auto" w:fill="F2F2F2"/>
          </w:tcPr>
          <w:p>
            <w:pPr>
              <w:spacing w:after="0"/>
              <w:rPr>
                <w:sz w:val="22"/>
                <w:szCs w:val="22"/>
                <w:color w:val="auto"/>
              </w:rPr>
            </w:pPr>
          </w:p>
        </w:tc>
        <w:tc>
          <w:tcPr>
            <w:tcW w:w="480" w:type="dxa"/>
            <w:vAlign w:val="bottom"/>
            <w:shd w:val="clear" w:color="auto" w:fill="F2F2F2"/>
          </w:tcPr>
          <w:p>
            <w:pPr>
              <w:spacing w:after="0"/>
              <w:rPr>
                <w:sz w:val="20"/>
                <w:szCs w:val="20"/>
                <w:color w:val="auto"/>
              </w:rPr>
            </w:pPr>
            <w:r>
              <w:rPr>
                <w:rFonts w:ascii="Arial" w:cs="Arial" w:eastAsia="Arial" w:hAnsi="Arial"/>
                <w:sz w:val="14"/>
                <w:szCs w:val="14"/>
                <w:color w:val="auto"/>
              </w:rPr>
              <w:t>2020</w:t>
            </w:r>
          </w:p>
        </w:tc>
        <w:tc>
          <w:tcPr>
            <w:tcW w:w="140" w:type="dxa"/>
            <w:vAlign w:val="bottom"/>
            <w:shd w:val="clear" w:color="auto" w:fill="F2F2F2"/>
          </w:tcPr>
          <w:p>
            <w:pPr>
              <w:spacing w:after="0"/>
              <w:rPr>
                <w:sz w:val="22"/>
                <w:szCs w:val="22"/>
                <w:color w:val="auto"/>
              </w:rPr>
            </w:pPr>
          </w:p>
        </w:tc>
        <w:tc>
          <w:tcPr>
            <w:tcW w:w="1040" w:type="dxa"/>
            <w:vAlign w:val="bottom"/>
            <w:shd w:val="clear" w:color="auto" w:fill="F2F2F2"/>
          </w:tcPr>
          <w:p>
            <w:pPr>
              <w:ind w:left="160"/>
              <w:spacing w:after="0"/>
              <w:rPr>
                <w:sz w:val="20"/>
                <w:szCs w:val="20"/>
                <w:color w:val="auto"/>
              </w:rPr>
            </w:pPr>
            <w:r>
              <w:rPr>
                <w:rFonts w:ascii="Arial" w:cs="Arial" w:eastAsia="Arial" w:hAnsi="Arial"/>
                <w:sz w:val="14"/>
                <w:szCs w:val="14"/>
                <w:color w:val="auto"/>
              </w:rPr>
              <w:t>450,961</w:t>
            </w:r>
            <w:r>
              <w:rPr>
                <w:rFonts w:ascii="Arial" w:cs="Arial" w:eastAsia="Arial" w:hAnsi="Arial"/>
                <w:sz w:val="23"/>
                <w:szCs w:val="23"/>
                <w:color w:val="auto"/>
                <w:vertAlign w:val="superscript"/>
              </w:rPr>
              <w:t>(10)</w:t>
            </w:r>
          </w:p>
        </w:tc>
        <w:tc>
          <w:tcPr>
            <w:tcW w:w="840" w:type="dxa"/>
            <w:vAlign w:val="bottom"/>
            <w:shd w:val="clear" w:color="auto" w:fill="F2F2F2"/>
          </w:tcPr>
          <w:p>
            <w:pPr>
              <w:jc w:val="center"/>
              <w:ind w:right="28"/>
              <w:spacing w:after="0"/>
              <w:rPr>
                <w:sz w:val="20"/>
                <w:szCs w:val="20"/>
                <w:color w:val="auto"/>
              </w:rPr>
            </w:pPr>
            <w:r>
              <w:rPr>
                <w:rFonts w:ascii="Arial" w:cs="Arial" w:eastAsia="Arial" w:hAnsi="Arial"/>
                <w:sz w:val="14"/>
                <w:szCs w:val="14"/>
                <w:color w:val="auto"/>
                <w:w w:val="99"/>
              </w:rPr>
              <w:t>—</w:t>
            </w:r>
          </w:p>
        </w:tc>
        <w:tc>
          <w:tcPr>
            <w:tcW w:w="1320" w:type="dxa"/>
            <w:vAlign w:val="bottom"/>
            <w:shd w:val="clear" w:color="auto" w:fill="F2F2F2"/>
          </w:tcPr>
          <w:p>
            <w:pPr>
              <w:ind w:left="240"/>
              <w:spacing w:after="0"/>
              <w:rPr>
                <w:sz w:val="20"/>
                <w:szCs w:val="20"/>
                <w:color w:val="auto"/>
              </w:rPr>
            </w:pPr>
            <w:r>
              <w:rPr>
                <w:rFonts w:ascii="Arial" w:cs="Arial" w:eastAsia="Arial" w:hAnsi="Arial"/>
                <w:sz w:val="14"/>
                <w:szCs w:val="14"/>
                <w:color w:val="auto"/>
              </w:rPr>
              <w:t>16,523,486</w:t>
            </w:r>
            <w:r>
              <w:rPr>
                <w:rFonts w:ascii="Arial" w:cs="Arial" w:eastAsia="Arial" w:hAnsi="Arial"/>
                <w:sz w:val="23"/>
                <w:szCs w:val="23"/>
                <w:color w:val="auto"/>
                <w:vertAlign w:val="superscript"/>
              </w:rPr>
              <w:t>(11)</w:t>
            </w:r>
          </w:p>
        </w:tc>
        <w:tc>
          <w:tcPr>
            <w:tcW w:w="1280" w:type="dxa"/>
            <w:vAlign w:val="bottom"/>
            <w:shd w:val="clear" w:color="auto" w:fill="F2F2F2"/>
          </w:tcPr>
          <w:p>
            <w:pPr>
              <w:jc w:val="center"/>
              <w:spacing w:after="0" w:line="263" w:lineRule="exact"/>
              <w:rPr>
                <w:sz w:val="20"/>
                <w:szCs w:val="20"/>
                <w:color w:val="auto"/>
              </w:rPr>
            </w:pPr>
            <w:r>
              <w:rPr>
                <w:rFonts w:ascii="Arial" w:cs="Arial" w:eastAsia="Arial" w:hAnsi="Arial"/>
                <w:sz w:val="28"/>
                <w:szCs w:val="28"/>
                <w:color w:val="auto"/>
                <w:w w:val="89"/>
                <w:vertAlign w:val="subscript"/>
              </w:rPr>
              <w:t>—</w:t>
            </w:r>
            <w:r>
              <w:rPr>
                <w:rFonts w:ascii="Arial" w:cs="Arial" w:eastAsia="Arial" w:hAnsi="Arial"/>
                <w:sz w:val="12"/>
                <w:szCs w:val="12"/>
                <w:color w:val="auto"/>
                <w:w w:val="89"/>
              </w:rPr>
              <w:t>(12)</w:t>
            </w:r>
          </w:p>
        </w:tc>
        <w:tc>
          <w:tcPr>
            <w:tcW w:w="1280" w:type="dxa"/>
            <w:vAlign w:val="bottom"/>
            <w:shd w:val="clear" w:color="auto" w:fill="F2F2F2"/>
          </w:tcPr>
          <w:p>
            <w:pPr>
              <w:ind w:left="480"/>
              <w:spacing w:after="0"/>
              <w:rPr>
                <w:sz w:val="20"/>
                <w:szCs w:val="20"/>
                <w:color w:val="auto"/>
              </w:rPr>
            </w:pPr>
            <w:r>
              <w:rPr>
                <w:rFonts w:ascii="Arial" w:cs="Arial" w:eastAsia="Arial" w:hAnsi="Arial"/>
                <w:sz w:val="14"/>
                <w:szCs w:val="14"/>
                <w:color w:val="auto"/>
              </w:rPr>
              <w:t>5,750</w:t>
            </w:r>
          </w:p>
        </w:tc>
        <w:tc>
          <w:tcPr>
            <w:tcW w:w="1000" w:type="dxa"/>
            <w:vAlign w:val="bottom"/>
            <w:shd w:val="clear" w:color="auto" w:fill="F2F2F2"/>
          </w:tcPr>
          <w:p>
            <w:pPr>
              <w:jc w:val="center"/>
              <w:ind w:left="8"/>
              <w:spacing w:after="0"/>
              <w:rPr>
                <w:sz w:val="20"/>
                <w:szCs w:val="20"/>
                <w:color w:val="auto"/>
              </w:rPr>
            </w:pPr>
            <w:r>
              <w:rPr>
                <w:rFonts w:ascii="Arial" w:cs="Arial" w:eastAsia="Arial" w:hAnsi="Arial"/>
                <w:sz w:val="14"/>
                <w:szCs w:val="14"/>
                <w:color w:val="auto"/>
              </w:rPr>
              <w:t>16,980,197</w:t>
            </w:r>
          </w:p>
        </w:tc>
        <w:tc>
          <w:tcPr>
            <w:tcW w:w="0" w:type="dxa"/>
            <w:vAlign w:val="bottom"/>
          </w:tcPr>
          <w:p>
            <w:pPr>
              <w:spacing w:after="0"/>
              <w:rPr>
                <w:sz w:val="1"/>
                <w:szCs w:val="1"/>
                <w:color w:val="auto"/>
              </w:rPr>
            </w:pPr>
          </w:p>
        </w:tc>
      </w:tr>
    </w:tbl>
    <w:p>
      <w:pPr>
        <w:spacing w:after="0" w:line="99" w:lineRule="exact"/>
        <w:rPr>
          <w:sz w:val="20"/>
          <w:szCs w:val="20"/>
          <w:color w:val="auto"/>
        </w:rPr>
      </w:pPr>
    </w:p>
    <w:p>
      <w:pPr>
        <w:ind w:left="244" w:right="100" w:hanging="244"/>
        <w:spacing w:after="0" w:line="214" w:lineRule="auto"/>
        <w:tabs>
          <w:tab w:leader="none" w:pos="244" w:val="left"/>
        </w:tabs>
        <w:numPr>
          <w:ilvl w:val="0"/>
          <w:numId w:val="71"/>
        </w:numPr>
        <w:rPr>
          <w:rFonts w:ascii="Arial" w:cs="Arial" w:eastAsia="Arial" w:hAnsi="Arial"/>
          <w:sz w:val="22"/>
          <w:szCs w:val="22"/>
          <w:color w:val="auto"/>
          <w:vertAlign w:val="superscript"/>
        </w:rPr>
      </w:pPr>
      <w:r>
        <w:rPr>
          <w:rFonts w:ascii="Arial" w:cs="Arial" w:eastAsia="Arial" w:hAnsi="Arial"/>
          <w:sz w:val="14"/>
          <w:szCs w:val="14"/>
          <w:color w:val="auto"/>
        </w:rPr>
        <w:t>Unless otherwise described in the footnotes below, the amounts reported represent the aggregate grant-date fair value of the RSAs based on the closing price for a share of our Class A common stock as reported by Nasdaq on the day immediately preceding the grant date, calculated in accordance with ASC Topic 718.</w:t>
      </w:r>
    </w:p>
    <w:p>
      <w:pPr>
        <w:ind w:left="244" w:right="240" w:hanging="244"/>
        <w:spacing w:after="0" w:line="195" w:lineRule="auto"/>
        <w:tabs>
          <w:tab w:leader="none" w:pos="244" w:val="left"/>
        </w:tabs>
        <w:numPr>
          <w:ilvl w:val="0"/>
          <w:numId w:val="71"/>
        </w:numPr>
        <w:rPr>
          <w:rFonts w:ascii="Arial" w:cs="Arial" w:eastAsia="Arial" w:hAnsi="Arial"/>
          <w:sz w:val="22"/>
          <w:szCs w:val="22"/>
          <w:color w:val="auto"/>
          <w:vertAlign w:val="superscript"/>
        </w:rPr>
      </w:pPr>
      <w:r>
        <w:rPr>
          <w:rFonts w:ascii="Arial" w:cs="Arial" w:eastAsia="Arial" w:hAnsi="Arial"/>
          <w:sz w:val="14"/>
          <w:szCs w:val="14"/>
          <w:color w:val="auto"/>
        </w:rPr>
        <w:t>The amounts reported represent the amounts payable under our cash bonus plans for 2019, 2020, and 2021, respectively. See “</w:t>
      </w:r>
      <w:r>
        <w:rPr>
          <w:rFonts w:ascii="Arial" w:cs="Arial" w:eastAsia="Arial" w:hAnsi="Arial"/>
          <w:sz w:val="14"/>
          <w:szCs w:val="14"/>
          <w:i w:val="1"/>
          <w:iCs w:val="1"/>
          <w:color w:val="auto"/>
        </w:rPr>
        <w:t>Compensation</w:t>
      </w:r>
      <w:r>
        <w:rPr>
          <w:rFonts w:ascii="Arial" w:cs="Arial" w:eastAsia="Arial" w:hAnsi="Arial"/>
          <w:sz w:val="14"/>
          <w:szCs w:val="14"/>
          <w:color w:val="auto"/>
        </w:rPr>
        <w:t xml:space="preserve"> </w:t>
      </w:r>
      <w:r>
        <w:rPr>
          <w:rFonts w:ascii="Arial" w:cs="Arial" w:eastAsia="Arial" w:hAnsi="Arial"/>
          <w:sz w:val="14"/>
          <w:szCs w:val="14"/>
          <w:i w:val="1"/>
          <w:iCs w:val="1"/>
          <w:color w:val="auto"/>
        </w:rPr>
        <w:t>Elements—Annual Cash Bonuses</w:t>
      </w:r>
      <w:r>
        <w:rPr>
          <w:rFonts w:ascii="Arial" w:cs="Arial" w:eastAsia="Arial" w:hAnsi="Arial"/>
          <w:sz w:val="14"/>
          <w:szCs w:val="14"/>
          <w:color w:val="auto"/>
        </w:rPr>
        <w:t>” above.</w:t>
      </w:r>
    </w:p>
    <w:p>
      <w:pPr>
        <w:spacing w:after="0" w:line="1" w:lineRule="exact"/>
        <w:rPr>
          <w:rFonts w:ascii="Arial" w:cs="Arial" w:eastAsia="Arial" w:hAnsi="Arial"/>
          <w:sz w:val="22"/>
          <w:szCs w:val="22"/>
          <w:color w:val="auto"/>
          <w:vertAlign w:val="superscript"/>
        </w:rPr>
      </w:pPr>
    </w:p>
    <w:p>
      <w:pPr>
        <w:ind w:left="244" w:hanging="244"/>
        <w:spacing w:after="0" w:line="183" w:lineRule="auto"/>
        <w:tabs>
          <w:tab w:leader="none" w:pos="244" w:val="left"/>
        </w:tabs>
        <w:numPr>
          <w:ilvl w:val="0"/>
          <w:numId w:val="71"/>
        </w:numPr>
        <w:rPr>
          <w:rFonts w:ascii="Arial" w:cs="Arial" w:eastAsia="Arial" w:hAnsi="Arial"/>
          <w:sz w:val="20"/>
          <w:szCs w:val="20"/>
          <w:color w:val="auto"/>
          <w:vertAlign w:val="superscript"/>
        </w:rPr>
      </w:pPr>
      <w:r>
        <w:rPr>
          <w:rFonts w:ascii="Arial" w:cs="Arial" w:eastAsia="Arial" w:hAnsi="Arial"/>
          <w:sz w:val="14"/>
          <w:szCs w:val="14"/>
          <w:color w:val="auto"/>
        </w:rPr>
        <w:t>Unless otherwise noted, the amount reported reflects matching 401(k) contributions in 2019, 2020 and 2021.</w:t>
      </w:r>
    </w:p>
    <w:p>
      <w:pPr>
        <w:spacing w:after="0" w:line="13" w:lineRule="exact"/>
        <w:rPr>
          <w:rFonts w:ascii="Arial" w:cs="Arial" w:eastAsia="Arial" w:hAnsi="Arial"/>
          <w:sz w:val="20"/>
          <w:szCs w:val="20"/>
          <w:color w:val="auto"/>
          <w:vertAlign w:val="superscript"/>
        </w:rPr>
      </w:pPr>
    </w:p>
    <w:p>
      <w:pPr>
        <w:ind w:left="244" w:hanging="244"/>
        <w:spacing w:after="0" w:line="183" w:lineRule="auto"/>
        <w:tabs>
          <w:tab w:leader="none" w:pos="244" w:val="left"/>
        </w:tabs>
        <w:numPr>
          <w:ilvl w:val="0"/>
          <w:numId w:val="71"/>
        </w:numPr>
        <w:rPr>
          <w:rFonts w:ascii="Arial" w:cs="Arial" w:eastAsia="Arial" w:hAnsi="Arial"/>
          <w:sz w:val="20"/>
          <w:szCs w:val="20"/>
          <w:color w:val="auto"/>
          <w:vertAlign w:val="superscript"/>
        </w:rPr>
      </w:pPr>
      <w:r>
        <w:rPr>
          <w:rFonts w:ascii="Arial" w:cs="Arial" w:eastAsia="Arial" w:hAnsi="Arial"/>
          <w:sz w:val="14"/>
          <w:szCs w:val="14"/>
          <w:color w:val="auto"/>
        </w:rPr>
        <w:t>Includes expenses related to security programs and related costs.</w:t>
      </w:r>
    </w:p>
    <w:p>
      <w:pPr>
        <w:ind w:left="244" w:right="60" w:hanging="244"/>
        <w:spacing w:after="0" w:line="223" w:lineRule="auto"/>
        <w:tabs>
          <w:tab w:leader="none" w:pos="244" w:val="left"/>
        </w:tabs>
        <w:numPr>
          <w:ilvl w:val="0"/>
          <w:numId w:val="71"/>
        </w:numPr>
        <w:rPr>
          <w:rFonts w:ascii="Arial" w:cs="Arial" w:eastAsia="Arial" w:hAnsi="Arial"/>
          <w:sz w:val="22"/>
          <w:szCs w:val="22"/>
          <w:color w:val="auto"/>
          <w:vertAlign w:val="superscript"/>
        </w:rPr>
      </w:pPr>
      <w:r>
        <w:rPr>
          <w:rFonts w:ascii="Arial" w:cs="Arial" w:eastAsia="Arial" w:hAnsi="Arial"/>
          <w:sz w:val="14"/>
          <w:szCs w:val="14"/>
          <w:color w:val="auto"/>
        </w:rPr>
        <w:t>The amount reported represents the aggregate grant-date fair value of RSAs calculated in accordance with ASC Topic 718. RSAs are eligible to vest over an approximately three-year performance period based on the achievement of certain stock price goals measured over a consecutive thirty-day trading period during twelve-month measurement periods. We calculated the grant date fair value based on multiple stock price paths developed through the use of a Monte Carlo simulation. See “</w:t>
      </w:r>
      <w:r>
        <w:rPr>
          <w:rFonts w:ascii="Arial" w:cs="Arial" w:eastAsia="Arial" w:hAnsi="Arial"/>
          <w:sz w:val="14"/>
          <w:szCs w:val="14"/>
          <w:i w:val="1"/>
          <w:iCs w:val="1"/>
          <w:color w:val="auto"/>
        </w:rPr>
        <w:t>Accounting for Stock-Based Compensation</w:t>
      </w:r>
      <w:r>
        <w:rPr>
          <w:rFonts w:ascii="Arial" w:cs="Arial" w:eastAsia="Arial" w:hAnsi="Arial"/>
          <w:sz w:val="14"/>
          <w:szCs w:val="14"/>
          <w:color w:val="auto"/>
        </w:rPr>
        <w:t>” above. If the RSAs were instead valued based on the achievement of the maximum stock price goals in each measurement period (and thus the maximum number of shares that may be issued under the performance-based RSA are issued), the aggregate market value of the RSAs on the date of grant would be $32,044,160.</w:t>
      </w:r>
    </w:p>
    <w:p>
      <w:pPr>
        <w:spacing w:after="0" w:line="2" w:lineRule="exact"/>
        <w:rPr>
          <w:rFonts w:ascii="Arial" w:cs="Arial" w:eastAsia="Arial" w:hAnsi="Arial"/>
          <w:sz w:val="22"/>
          <w:szCs w:val="22"/>
          <w:color w:val="auto"/>
          <w:vertAlign w:val="superscript"/>
        </w:rPr>
      </w:pPr>
    </w:p>
    <w:p>
      <w:pPr>
        <w:ind w:left="244" w:right="540" w:hanging="244"/>
        <w:spacing w:after="0" w:line="196" w:lineRule="auto"/>
        <w:tabs>
          <w:tab w:leader="none" w:pos="244" w:val="left"/>
        </w:tabs>
        <w:numPr>
          <w:ilvl w:val="0"/>
          <w:numId w:val="71"/>
        </w:numPr>
        <w:rPr>
          <w:rFonts w:ascii="Arial" w:cs="Arial" w:eastAsia="Arial" w:hAnsi="Arial"/>
          <w:sz w:val="22"/>
          <w:szCs w:val="22"/>
          <w:color w:val="auto"/>
          <w:vertAlign w:val="superscript"/>
        </w:rPr>
      </w:pPr>
      <w:r>
        <w:rPr>
          <w:rFonts w:ascii="Arial" w:cs="Arial" w:eastAsia="Arial" w:hAnsi="Arial"/>
          <w:sz w:val="14"/>
          <w:szCs w:val="14"/>
          <w:color w:val="auto"/>
        </w:rPr>
        <w:t>Mr. Young joined us in October 2019, and therefore his salary and non-equity incentive plan compensation set forth in the table above was prorated for the portion of 2019 in which he was employed with us.</w:t>
      </w:r>
    </w:p>
    <w:p>
      <w:pPr>
        <w:ind w:left="244" w:hanging="244"/>
        <w:spacing w:after="0" w:line="196" w:lineRule="auto"/>
        <w:tabs>
          <w:tab w:leader="none" w:pos="244" w:val="left"/>
        </w:tabs>
        <w:numPr>
          <w:ilvl w:val="0"/>
          <w:numId w:val="71"/>
        </w:numPr>
        <w:rPr>
          <w:rFonts w:ascii="Arial" w:cs="Arial" w:eastAsia="Arial" w:hAnsi="Arial"/>
          <w:sz w:val="20"/>
          <w:szCs w:val="20"/>
          <w:color w:val="auto"/>
          <w:vertAlign w:val="superscript"/>
        </w:rPr>
      </w:pPr>
      <w:r>
        <w:rPr>
          <w:rFonts w:ascii="Arial" w:cs="Arial" w:eastAsia="Arial" w:hAnsi="Arial"/>
          <w:sz w:val="14"/>
          <w:szCs w:val="14"/>
          <w:color w:val="auto"/>
        </w:rPr>
        <w:t>The grant-date fair value is based on the closing price of our Class A common stock on Mr. Young’s first day of employment with us.</w:t>
      </w:r>
    </w:p>
    <w:p>
      <w:pPr>
        <w:ind w:left="244" w:hanging="244"/>
        <w:spacing w:after="0" w:line="195" w:lineRule="auto"/>
        <w:tabs>
          <w:tab w:leader="none" w:pos="244" w:val="left"/>
        </w:tabs>
        <w:numPr>
          <w:ilvl w:val="0"/>
          <w:numId w:val="71"/>
        </w:numPr>
        <w:rPr>
          <w:rFonts w:ascii="Arial" w:cs="Arial" w:eastAsia="Arial" w:hAnsi="Arial"/>
          <w:sz w:val="22"/>
          <w:szCs w:val="22"/>
          <w:color w:val="auto"/>
          <w:vertAlign w:val="superscript"/>
        </w:rPr>
      </w:pPr>
      <w:r>
        <w:rPr>
          <w:rFonts w:ascii="Arial" w:cs="Arial" w:eastAsia="Arial" w:hAnsi="Arial"/>
          <w:sz w:val="14"/>
          <w:szCs w:val="14"/>
          <w:color w:val="auto"/>
        </w:rPr>
        <w:t>Ms. Nottebohm resigned from the company in February 2021. Amount reported represents Ms. Nottebohm’s salary prorated for the portion of 2021 in which she was employed with us.</w:t>
      </w:r>
    </w:p>
    <w:p>
      <w:pPr>
        <w:spacing w:after="0" w:line="1" w:lineRule="exact"/>
        <w:rPr>
          <w:rFonts w:ascii="Arial" w:cs="Arial" w:eastAsia="Arial" w:hAnsi="Arial"/>
          <w:sz w:val="22"/>
          <w:szCs w:val="22"/>
          <w:color w:val="auto"/>
          <w:vertAlign w:val="superscript"/>
        </w:rPr>
      </w:pPr>
    </w:p>
    <w:p>
      <w:pPr>
        <w:ind w:left="244" w:hanging="244"/>
        <w:spacing w:after="0" w:line="183" w:lineRule="auto"/>
        <w:tabs>
          <w:tab w:leader="none" w:pos="244" w:val="left"/>
        </w:tabs>
        <w:numPr>
          <w:ilvl w:val="0"/>
          <w:numId w:val="71"/>
        </w:numPr>
        <w:rPr>
          <w:rFonts w:ascii="Arial" w:cs="Arial" w:eastAsia="Arial" w:hAnsi="Arial"/>
          <w:sz w:val="20"/>
          <w:szCs w:val="20"/>
          <w:color w:val="auto"/>
          <w:vertAlign w:val="superscript"/>
        </w:rPr>
      </w:pPr>
      <w:r>
        <w:rPr>
          <w:rFonts w:ascii="Arial" w:cs="Arial" w:eastAsia="Arial" w:hAnsi="Arial"/>
          <w:sz w:val="14"/>
          <w:szCs w:val="14"/>
          <w:color w:val="auto"/>
        </w:rPr>
        <w:t>Ms. Nottebohm resigned from the company in February 2021 and therefore was ineligible to receive her 2021 annual cash bonus.</w:t>
      </w:r>
    </w:p>
    <w:p>
      <w:pPr>
        <w:spacing w:after="0" w:line="13" w:lineRule="exact"/>
        <w:rPr>
          <w:rFonts w:ascii="Arial" w:cs="Arial" w:eastAsia="Arial" w:hAnsi="Arial"/>
          <w:sz w:val="20"/>
          <w:szCs w:val="20"/>
          <w:color w:val="auto"/>
          <w:vertAlign w:val="superscript"/>
        </w:rPr>
      </w:pPr>
    </w:p>
    <w:p>
      <w:pPr>
        <w:ind w:left="244" w:right="340" w:hanging="244"/>
        <w:spacing w:after="0" w:line="207" w:lineRule="auto"/>
        <w:tabs>
          <w:tab w:leader="none" w:pos="244" w:val="left"/>
        </w:tabs>
        <w:numPr>
          <w:ilvl w:val="0"/>
          <w:numId w:val="71"/>
        </w:numPr>
        <w:rPr>
          <w:rFonts w:ascii="Arial" w:cs="Arial" w:eastAsia="Arial" w:hAnsi="Arial"/>
          <w:sz w:val="20"/>
          <w:szCs w:val="20"/>
          <w:color w:val="auto"/>
          <w:vertAlign w:val="superscript"/>
        </w:rPr>
      </w:pPr>
      <w:r>
        <w:rPr>
          <w:rFonts w:ascii="Arial" w:cs="Arial" w:eastAsia="Arial" w:hAnsi="Arial"/>
          <w:sz w:val="14"/>
          <w:szCs w:val="14"/>
          <w:color w:val="auto"/>
        </w:rPr>
        <w:t>Ms. Nottebohm joined the company in February 2020. Amount reported represents Ms. Nottebohm’s salary prorated for the portion of 2020 in which she was employed with us.</w:t>
      </w:r>
    </w:p>
    <w:p>
      <w:pPr>
        <w:ind w:left="244" w:right="120" w:hanging="244"/>
        <w:spacing w:after="0" w:line="211" w:lineRule="auto"/>
        <w:tabs>
          <w:tab w:leader="none" w:pos="244" w:val="left"/>
        </w:tabs>
        <w:numPr>
          <w:ilvl w:val="0"/>
          <w:numId w:val="71"/>
        </w:numPr>
        <w:rPr>
          <w:rFonts w:ascii="Arial" w:cs="Arial" w:eastAsia="Arial" w:hAnsi="Arial"/>
          <w:sz w:val="20"/>
          <w:szCs w:val="20"/>
          <w:color w:val="auto"/>
          <w:vertAlign w:val="superscript"/>
        </w:rPr>
      </w:pPr>
      <w:r>
        <w:rPr>
          <w:rFonts w:ascii="Arial" w:cs="Arial" w:eastAsia="Arial" w:hAnsi="Arial"/>
          <w:sz w:val="14"/>
          <w:szCs w:val="14"/>
          <w:color w:val="auto"/>
        </w:rPr>
        <w:t>633,569 unvested RSAs, representing a grant date fair value of $12,392,610, were forfeited upon Ms. Nottebohm’s resignation in February 2021. In connection with Ms. Nottebohm’s separation agreement, the unvested RSAs that would have vested if she had remained employed through February 15, 2021 were accelerated to vest on February 5, 2021. See “</w:t>
      </w:r>
      <w:r>
        <w:rPr>
          <w:rFonts w:ascii="Arial" w:cs="Arial" w:eastAsia="Arial" w:hAnsi="Arial"/>
          <w:sz w:val="14"/>
          <w:szCs w:val="14"/>
          <w:i w:val="1"/>
          <w:iCs w:val="1"/>
          <w:color w:val="auto"/>
        </w:rPr>
        <w:t>Potential Payments on Termination or Change in Control—</w:t>
      </w:r>
    </w:p>
    <w:p>
      <w:pPr>
        <w:ind w:left="244"/>
        <w:spacing w:after="0"/>
        <w:rPr>
          <w:rFonts w:ascii="Arial" w:cs="Arial" w:eastAsia="Arial" w:hAnsi="Arial"/>
          <w:sz w:val="20"/>
          <w:szCs w:val="20"/>
          <w:color w:val="auto"/>
          <w:vertAlign w:val="superscript"/>
        </w:rPr>
      </w:pPr>
      <w:r>
        <w:rPr>
          <w:rFonts w:ascii="Arial" w:cs="Arial" w:eastAsia="Arial" w:hAnsi="Arial"/>
          <w:sz w:val="14"/>
          <w:szCs w:val="14"/>
          <w:i w:val="1"/>
          <w:iCs w:val="1"/>
          <w:color w:val="auto"/>
        </w:rPr>
        <w:t>Ms. Nottebohm’s Separation</w:t>
      </w:r>
      <w:r>
        <w:rPr>
          <w:rFonts w:ascii="Arial" w:cs="Arial" w:eastAsia="Arial" w:hAnsi="Arial"/>
          <w:sz w:val="14"/>
          <w:szCs w:val="14"/>
          <w:color w:val="auto"/>
        </w:rPr>
        <w:t>” below.</w:t>
      </w:r>
    </w:p>
    <w:p>
      <w:pPr>
        <w:spacing w:after="0" w:line="14" w:lineRule="exact"/>
        <w:rPr>
          <w:rFonts w:ascii="Arial" w:cs="Arial" w:eastAsia="Arial" w:hAnsi="Arial"/>
          <w:sz w:val="20"/>
          <w:szCs w:val="20"/>
          <w:color w:val="auto"/>
          <w:vertAlign w:val="superscript"/>
        </w:rPr>
      </w:pPr>
    </w:p>
    <w:p>
      <w:pPr>
        <w:ind w:left="244" w:hanging="244"/>
        <w:spacing w:after="0" w:line="183" w:lineRule="auto"/>
        <w:tabs>
          <w:tab w:leader="none" w:pos="244" w:val="left"/>
        </w:tabs>
        <w:numPr>
          <w:ilvl w:val="0"/>
          <w:numId w:val="71"/>
        </w:numPr>
        <w:rPr>
          <w:rFonts w:ascii="Arial" w:cs="Arial" w:eastAsia="Arial" w:hAnsi="Arial"/>
          <w:sz w:val="20"/>
          <w:szCs w:val="20"/>
          <w:color w:val="auto"/>
          <w:vertAlign w:val="superscript"/>
        </w:rPr>
      </w:pPr>
      <w:r>
        <w:rPr>
          <w:rFonts w:ascii="Arial" w:cs="Arial" w:eastAsia="Arial" w:hAnsi="Arial"/>
          <w:sz w:val="14"/>
          <w:szCs w:val="14"/>
          <w:color w:val="auto"/>
        </w:rPr>
        <w:t>Ms. Nottebohm resigned from the company in February 2021 and therefore was ineligible to receive her 2020 annual cash bonus.</w:t>
      </w:r>
    </w:p>
    <w:p>
      <w:pPr>
        <w:spacing w:after="0" w:line="189" w:lineRule="exact"/>
        <w:rPr>
          <w:sz w:val="20"/>
          <w:szCs w:val="20"/>
          <w:color w:val="auto"/>
        </w:rPr>
      </w:pPr>
    </w:p>
    <w:p>
      <w:pPr>
        <w:ind w:left="524" w:hanging="524"/>
        <w:spacing w:after="0"/>
        <w:tabs>
          <w:tab w:leader="none" w:pos="524" w:val="left"/>
        </w:tabs>
        <w:numPr>
          <w:ilvl w:val="0"/>
          <w:numId w:val="72"/>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126365</wp:posOffset>
            </wp:positionV>
            <wp:extent cx="6995160" cy="171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52" w:name="page53"/>
    <w:bookmarkEnd w:id="52"/>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384"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Grants of Plan-Based Awards in 2021</w:t>
      </w:r>
    </w:p>
    <w:p>
      <w:pPr>
        <w:spacing w:after="0" w:line="206" w:lineRule="exact"/>
        <w:rPr>
          <w:sz w:val="20"/>
          <w:szCs w:val="20"/>
          <w:color w:val="auto"/>
        </w:rPr>
      </w:pPr>
    </w:p>
    <w:p>
      <w:pPr>
        <w:ind w:left="720"/>
        <w:spacing w:after="0"/>
        <w:rPr>
          <w:sz w:val="20"/>
          <w:szCs w:val="20"/>
          <w:color w:val="auto"/>
        </w:rPr>
      </w:pPr>
      <w:r>
        <w:rPr>
          <w:rFonts w:ascii="Arial" w:cs="Arial" w:eastAsia="Arial" w:hAnsi="Arial"/>
          <w:sz w:val="16"/>
          <w:szCs w:val="16"/>
          <w:color w:val="auto"/>
        </w:rPr>
        <w:t>The following table shows all plan-based awards granted to our named executive officers during fiscal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55245</wp:posOffset>
            </wp:positionV>
            <wp:extent cx="6077585" cy="20745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6077585" cy="2074545"/>
                    </a:xfrm>
                    <a:prstGeom prst="rect">
                      <a:avLst/>
                    </a:prstGeom>
                    <a:noFill/>
                  </pic:spPr>
                </pic:pic>
              </a:graphicData>
            </a:graphic>
          </wp:anchor>
        </w:drawing>
      </w:r>
    </w:p>
    <w:p>
      <w:pPr>
        <w:spacing w:after="0" w:line="67" w:lineRule="exact"/>
        <w:rPr>
          <w:sz w:val="20"/>
          <w:szCs w:val="20"/>
          <w:color w:val="auto"/>
        </w:rPr>
      </w:pPr>
    </w:p>
    <w:tbl>
      <w:tblPr>
        <w:tblLayout w:type="fixed"/>
        <w:tblInd w:w="720" w:type="dxa"/>
        <w:tblCellMar>
          <w:top w:w="0" w:type="dxa"/>
          <w:left w:w="0" w:type="dxa"/>
          <w:bottom w:w="0" w:type="dxa"/>
          <w:right w:w="0" w:type="dxa"/>
        </w:tblCellMar>
      </w:tblPr>
      <w:tr>
        <w:trPr>
          <w:trHeight w:val="270"/>
        </w:trPr>
        <w:tc>
          <w:tcPr>
            <w:tcW w:w="1800" w:type="dxa"/>
            <w:vAlign w:val="bottom"/>
            <w:shd w:val="clear" w:color="auto" w:fill="0063A6"/>
          </w:tcPr>
          <w:p>
            <w:pPr>
              <w:spacing w:after="0"/>
              <w:rPr>
                <w:sz w:val="23"/>
                <w:szCs w:val="23"/>
                <w:color w:val="auto"/>
              </w:rPr>
            </w:pPr>
          </w:p>
        </w:tc>
        <w:tc>
          <w:tcPr>
            <w:tcW w:w="1220" w:type="dxa"/>
            <w:vAlign w:val="bottom"/>
            <w:shd w:val="clear" w:color="auto" w:fill="0063A6"/>
          </w:tcPr>
          <w:p>
            <w:pPr>
              <w:spacing w:after="0"/>
              <w:rPr>
                <w:sz w:val="23"/>
                <w:szCs w:val="23"/>
                <w:color w:val="auto"/>
              </w:rPr>
            </w:pPr>
          </w:p>
        </w:tc>
        <w:tc>
          <w:tcPr>
            <w:tcW w:w="1300" w:type="dxa"/>
            <w:vAlign w:val="bottom"/>
            <w:shd w:val="clear" w:color="auto" w:fill="0063A6"/>
          </w:tcPr>
          <w:p>
            <w:pPr>
              <w:spacing w:after="0"/>
              <w:rPr>
                <w:sz w:val="23"/>
                <w:szCs w:val="23"/>
                <w:color w:val="auto"/>
              </w:rPr>
            </w:pPr>
          </w:p>
        </w:tc>
        <w:tc>
          <w:tcPr>
            <w:tcW w:w="2900" w:type="dxa"/>
            <w:vAlign w:val="bottom"/>
            <w:gridSpan w:val="3"/>
            <w:shd w:val="clear" w:color="auto" w:fill="0063A6"/>
          </w:tcPr>
          <w:p>
            <w:pPr>
              <w:jc w:val="center"/>
              <w:spacing w:after="0"/>
              <w:rPr>
                <w:sz w:val="20"/>
                <w:szCs w:val="20"/>
                <w:color w:val="auto"/>
              </w:rPr>
            </w:pPr>
            <w:r>
              <w:rPr>
                <w:rFonts w:ascii="Arial" w:cs="Arial" w:eastAsia="Arial" w:hAnsi="Arial"/>
                <w:sz w:val="14"/>
                <w:szCs w:val="14"/>
                <w:b w:val="1"/>
                <w:bCs w:val="1"/>
                <w:color w:val="FFFFFF"/>
              </w:rPr>
              <w:t>Estimated Future Payouts Under</w:t>
            </w:r>
          </w:p>
        </w:tc>
        <w:tc>
          <w:tcPr>
            <w:tcW w:w="10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All Other</w:t>
            </w:r>
          </w:p>
        </w:tc>
        <w:tc>
          <w:tcPr>
            <w:tcW w:w="1320" w:type="dxa"/>
            <w:vAlign w:val="bottom"/>
            <w:shd w:val="clear" w:color="auto" w:fill="0063A6"/>
          </w:tcPr>
          <w:p>
            <w:pPr>
              <w:spacing w:after="0"/>
              <w:rPr>
                <w:sz w:val="23"/>
                <w:szCs w:val="23"/>
                <w:color w:val="auto"/>
              </w:rPr>
            </w:pPr>
          </w:p>
        </w:tc>
      </w:tr>
      <w:tr>
        <w:trPr>
          <w:trHeight w:val="148"/>
        </w:trPr>
        <w:tc>
          <w:tcPr>
            <w:tcW w:w="1800" w:type="dxa"/>
            <w:vAlign w:val="bottom"/>
            <w:shd w:val="clear" w:color="auto" w:fill="0063A6"/>
          </w:tcPr>
          <w:p>
            <w:pPr>
              <w:spacing w:after="0"/>
              <w:rPr>
                <w:sz w:val="12"/>
                <w:szCs w:val="12"/>
                <w:color w:val="auto"/>
              </w:rPr>
            </w:pPr>
          </w:p>
        </w:tc>
        <w:tc>
          <w:tcPr>
            <w:tcW w:w="1220" w:type="dxa"/>
            <w:vAlign w:val="bottom"/>
            <w:shd w:val="clear" w:color="auto" w:fill="0063A6"/>
          </w:tcPr>
          <w:p>
            <w:pPr>
              <w:spacing w:after="0"/>
              <w:rPr>
                <w:sz w:val="12"/>
                <w:szCs w:val="12"/>
                <w:color w:val="auto"/>
              </w:rPr>
            </w:pPr>
          </w:p>
        </w:tc>
        <w:tc>
          <w:tcPr>
            <w:tcW w:w="1300" w:type="dxa"/>
            <w:vAlign w:val="bottom"/>
            <w:shd w:val="clear" w:color="auto" w:fill="0063A6"/>
          </w:tcPr>
          <w:p>
            <w:pPr>
              <w:spacing w:after="0"/>
              <w:rPr>
                <w:sz w:val="12"/>
                <w:szCs w:val="12"/>
                <w:color w:val="auto"/>
              </w:rPr>
            </w:pPr>
          </w:p>
        </w:tc>
        <w:tc>
          <w:tcPr>
            <w:tcW w:w="2900" w:type="dxa"/>
            <w:vAlign w:val="bottom"/>
            <w:gridSpan w:val="3"/>
            <w:shd w:val="clear" w:color="auto" w:fill="0063A6"/>
          </w:tcPr>
          <w:p>
            <w:pPr>
              <w:jc w:val="center"/>
              <w:spacing w:after="0" w:line="148" w:lineRule="exact"/>
              <w:rPr>
                <w:sz w:val="20"/>
                <w:szCs w:val="20"/>
                <w:color w:val="auto"/>
              </w:rPr>
            </w:pPr>
            <w:r>
              <w:rPr>
                <w:rFonts w:ascii="Arial" w:cs="Arial" w:eastAsia="Arial" w:hAnsi="Arial"/>
                <w:sz w:val="14"/>
                <w:szCs w:val="14"/>
                <w:b w:val="1"/>
                <w:bCs w:val="1"/>
                <w:color w:val="FFFFFF"/>
              </w:rPr>
              <w:t>Non-Equity Incentive</w:t>
            </w:r>
          </w:p>
        </w:tc>
        <w:tc>
          <w:tcPr>
            <w:tcW w:w="1020" w:type="dxa"/>
            <w:vAlign w:val="bottom"/>
            <w:shd w:val="clear" w:color="auto" w:fill="0063A6"/>
          </w:tcPr>
          <w:p>
            <w:pPr>
              <w:jc w:val="center"/>
              <w:spacing w:after="0" w:line="148" w:lineRule="exact"/>
              <w:rPr>
                <w:sz w:val="20"/>
                <w:szCs w:val="20"/>
                <w:color w:val="auto"/>
              </w:rPr>
            </w:pPr>
            <w:r>
              <w:rPr>
                <w:rFonts w:ascii="Arial" w:cs="Arial" w:eastAsia="Arial" w:hAnsi="Arial"/>
                <w:sz w:val="14"/>
                <w:szCs w:val="14"/>
                <w:b w:val="1"/>
                <w:bCs w:val="1"/>
                <w:color w:val="FFFFFF"/>
                <w:w w:val="99"/>
              </w:rPr>
              <w:t>Stock</w:t>
            </w:r>
          </w:p>
        </w:tc>
        <w:tc>
          <w:tcPr>
            <w:tcW w:w="1320" w:type="dxa"/>
            <w:vAlign w:val="bottom"/>
            <w:shd w:val="clear" w:color="auto" w:fill="0063A6"/>
          </w:tcPr>
          <w:p>
            <w:pPr>
              <w:spacing w:after="0"/>
              <w:rPr>
                <w:sz w:val="12"/>
                <w:szCs w:val="12"/>
                <w:color w:val="auto"/>
              </w:rPr>
            </w:pPr>
          </w:p>
        </w:tc>
      </w:tr>
      <w:tr>
        <w:trPr>
          <w:trHeight w:val="194"/>
        </w:trPr>
        <w:tc>
          <w:tcPr>
            <w:tcW w:w="1800" w:type="dxa"/>
            <w:vAlign w:val="bottom"/>
            <w:shd w:val="clear" w:color="auto" w:fill="0063A6"/>
          </w:tcPr>
          <w:p>
            <w:pPr>
              <w:spacing w:after="0"/>
              <w:rPr>
                <w:sz w:val="16"/>
                <w:szCs w:val="16"/>
                <w:color w:val="auto"/>
              </w:rPr>
            </w:pPr>
          </w:p>
        </w:tc>
        <w:tc>
          <w:tcPr>
            <w:tcW w:w="1220" w:type="dxa"/>
            <w:vAlign w:val="bottom"/>
            <w:shd w:val="clear" w:color="auto" w:fill="0063A6"/>
          </w:tcPr>
          <w:p>
            <w:pPr>
              <w:spacing w:after="0"/>
              <w:rPr>
                <w:sz w:val="16"/>
                <w:szCs w:val="16"/>
                <w:color w:val="auto"/>
              </w:rPr>
            </w:pPr>
          </w:p>
        </w:tc>
        <w:tc>
          <w:tcPr>
            <w:tcW w:w="1300" w:type="dxa"/>
            <w:vAlign w:val="bottom"/>
            <w:shd w:val="clear" w:color="auto" w:fill="0063A6"/>
          </w:tcPr>
          <w:p>
            <w:pPr>
              <w:spacing w:after="0"/>
              <w:rPr>
                <w:sz w:val="16"/>
                <w:szCs w:val="16"/>
                <w:color w:val="auto"/>
              </w:rPr>
            </w:pPr>
          </w:p>
        </w:tc>
        <w:tc>
          <w:tcPr>
            <w:tcW w:w="2900" w:type="dxa"/>
            <w:vAlign w:val="bottom"/>
            <w:gridSpan w:val="3"/>
            <w:shd w:val="clear" w:color="auto" w:fill="0063A6"/>
          </w:tcPr>
          <w:p>
            <w:pPr>
              <w:jc w:val="center"/>
              <w:spacing w:after="0" w:line="193" w:lineRule="exact"/>
              <w:rPr>
                <w:sz w:val="20"/>
                <w:szCs w:val="20"/>
                <w:color w:val="auto"/>
              </w:rPr>
            </w:pPr>
            <w:r>
              <w:rPr>
                <w:rFonts w:ascii="Arial" w:cs="Arial" w:eastAsia="Arial" w:hAnsi="Arial"/>
                <w:sz w:val="14"/>
                <w:szCs w:val="14"/>
                <w:b w:val="1"/>
                <w:bCs w:val="1"/>
                <w:color w:val="FFFFFF"/>
                <w:w w:val="96"/>
              </w:rPr>
              <w:t>Plan Awards ($)</w:t>
            </w:r>
            <w:r>
              <w:rPr>
                <w:rFonts w:ascii="Arial" w:cs="Arial" w:eastAsia="Arial" w:hAnsi="Arial"/>
                <w:sz w:val="22"/>
                <w:szCs w:val="22"/>
                <w:b w:val="1"/>
                <w:bCs w:val="1"/>
                <w:color w:val="FFFFFF"/>
                <w:w w:val="96"/>
                <w:vertAlign w:val="superscript"/>
              </w:rPr>
              <w:t>(1)(2)</w:t>
            </w:r>
          </w:p>
        </w:tc>
        <w:tc>
          <w:tcPr>
            <w:tcW w:w="10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Awards:</w:t>
            </w:r>
          </w:p>
        </w:tc>
        <w:tc>
          <w:tcPr>
            <w:tcW w:w="1320" w:type="dxa"/>
            <w:vAlign w:val="bottom"/>
            <w:shd w:val="clear" w:color="auto" w:fill="0063A6"/>
          </w:tcPr>
          <w:p>
            <w:pPr>
              <w:spacing w:after="0"/>
              <w:rPr>
                <w:sz w:val="16"/>
                <w:szCs w:val="16"/>
                <w:color w:val="auto"/>
              </w:rPr>
            </w:pPr>
          </w:p>
        </w:tc>
      </w:tr>
      <w:tr>
        <w:trPr>
          <w:trHeight w:val="145"/>
        </w:trPr>
        <w:tc>
          <w:tcPr>
            <w:tcW w:w="1800" w:type="dxa"/>
            <w:vAlign w:val="bottom"/>
            <w:shd w:val="clear" w:color="auto" w:fill="0063A6"/>
          </w:tcPr>
          <w:p>
            <w:pPr>
              <w:spacing w:after="0"/>
              <w:rPr>
                <w:sz w:val="12"/>
                <w:szCs w:val="12"/>
                <w:color w:val="auto"/>
              </w:rPr>
            </w:pPr>
          </w:p>
        </w:tc>
        <w:tc>
          <w:tcPr>
            <w:tcW w:w="1220" w:type="dxa"/>
            <w:vAlign w:val="bottom"/>
            <w:shd w:val="clear" w:color="auto" w:fill="0063A6"/>
          </w:tcPr>
          <w:p>
            <w:pPr>
              <w:spacing w:after="0"/>
              <w:rPr>
                <w:sz w:val="12"/>
                <w:szCs w:val="12"/>
                <w:color w:val="auto"/>
              </w:rPr>
            </w:pPr>
          </w:p>
        </w:tc>
        <w:tc>
          <w:tcPr>
            <w:tcW w:w="1300" w:type="dxa"/>
            <w:vAlign w:val="bottom"/>
            <w:shd w:val="clear" w:color="auto" w:fill="0063A6"/>
          </w:tcPr>
          <w:p>
            <w:pPr>
              <w:spacing w:after="0"/>
              <w:rPr>
                <w:sz w:val="12"/>
                <w:szCs w:val="12"/>
                <w:color w:val="auto"/>
              </w:rPr>
            </w:pPr>
          </w:p>
        </w:tc>
        <w:tc>
          <w:tcPr>
            <w:tcW w:w="980" w:type="dxa"/>
            <w:vAlign w:val="bottom"/>
            <w:shd w:val="clear" w:color="auto" w:fill="0063A6"/>
          </w:tcPr>
          <w:p>
            <w:pPr>
              <w:spacing w:after="0"/>
              <w:rPr>
                <w:sz w:val="12"/>
                <w:szCs w:val="12"/>
                <w:color w:val="auto"/>
              </w:rPr>
            </w:pPr>
          </w:p>
        </w:tc>
        <w:tc>
          <w:tcPr>
            <w:tcW w:w="900" w:type="dxa"/>
            <w:vAlign w:val="bottom"/>
            <w:shd w:val="clear" w:color="auto" w:fill="0063A6"/>
          </w:tcPr>
          <w:p>
            <w:pPr>
              <w:spacing w:after="0"/>
              <w:rPr>
                <w:sz w:val="12"/>
                <w:szCs w:val="12"/>
                <w:color w:val="auto"/>
              </w:rPr>
            </w:pPr>
          </w:p>
        </w:tc>
        <w:tc>
          <w:tcPr>
            <w:tcW w:w="1020" w:type="dxa"/>
            <w:vAlign w:val="bottom"/>
            <w:shd w:val="clear" w:color="auto" w:fill="0063A6"/>
          </w:tcPr>
          <w:p>
            <w:pPr>
              <w:spacing w:after="0"/>
              <w:rPr>
                <w:sz w:val="12"/>
                <w:szCs w:val="12"/>
                <w:color w:val="auto"/>
              </w:rPr>
            </w:pPr>
          </w:p>
        </w:tc>
        <w:tc>
          <w:tcPr>
            <w:tcW w:w="102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Number of</w:t>
            </w:r>
          </w:p>
        </w:tc>
        <w:tc>
          <w:tcPr>
            <w:tcW w:w="132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Grant Date</w:t>
            </w:r>
          </w:p>
        </w:tc>
      </w:tr>
      <w:tr>
        <w:trPr>
          <w:trHeight w:val="282"/>
        </w:trPr>
        <w:tc>
          <w:tcPr>
            <w:tcW w:w="1800" w:type="dxa"/>
            <w:vAlign w:val="bottom"/>
            <w:shd w:val="clear" w:color="auto" w:fill="0063A6"/>
          </w:tcPr>
          <w:p>
            <w:pPr>
              <w:ind w:left="60"/>
              <w:spacing w:after="0"/>
              <w:rPr>
                <w:sz w:val="20"/>
                <w:szCs w:val="20"/>
                <w:color w:val="auto"/>
              </w:rPr>
            </w:pPr>
            <w:r>
              <w:rPr>
                <w:rFonts w:ascii="Arial" w:cs="Arial" w:eastAsia="Arial" w:hAnsi="Arial"/>
                <w:sz w:val="14"/>
                <w:szCs w:val="14"/>
                <w:b w:val="1"/>
                <w:bCs w:val="1"/>
                <w:color w:val="FFFFFF"/>
              </w:rPr>
              <w:t>Name</w:t>
            </w:r>
          </w:p>
        </w:tc>
        <w:tc>
          <w:tcPr>
            <w:tcW w:w="1220" w:type="dxa"/>
            <w:vAlign w:val="bottom"/>
            <w:shd w:val="clear" w:color="auto" w:fill="0063A6"/>
          </w:tcPr>
          <w:p>
            <w:pPr>
              <w:jc w:val="center"/>
              <w:ind w:left="60"/>
              <w:spacing w:after="0"/>
              <w:rPr>
                <w:sz w:val="20"/>
                <w:szCs w:val="20"/>
                <w:color w:val="auto"/>
              </w:rPr>
            </w:pPr>
            <w:r>
              <w:rPr>
                <w:rFonts w:ascii="Arial" w:cs="Arial" w:eastAsia="Arial" w:hAnsi="Arial"/>
                <w:sz w:val="14"/>
                <w:szCs w:val="14"/>
                <w:b w:val="1"/>
                <w:bCs w:val="1"/>
                <w:color w:val="FFFFFF"/>
              </w:rPr>
              <w:t>Grant Date</w:t>
            </w:r>
          </w:p>
        </w:tc>
        <w:tc>
          <w:tcPr>
            <w:tcW w:w="13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Approval Date</w:t>
            </w:r>
          </w:p>
        </w:tc>
        <w:tc>
          <w:tcPr>
            <w:tcW w:w="980" w:type="dxa"/>
            <w:vAlign w:val="bottom"/>
            <w:shd w:val="clear" w:color="auto" w:fill="0063A6"/>
          </w:tcPr>
          <w:p>
            <w:pPr>
              <w:jc w:val="right"/>
              <w:ind w:right="63"/>
              <w:spacing w:after="0"/>
              <w:rPr>
                <w:sz w:val="20"/>
                <w:szCs w:val="20"/>
                <w:color w:val="auto"/>
              </w:rPr>
            </w:pPr>
            <w:r>
              <w:rPr>
                <w:rFonts w:ascii="Arial" w:cs="Arial" w:eastAsia="Arial" w:hAnsi="Arial"/>
                <w:sz w:val="14"/>
                <w:szCs w:val="14"/>
                <w:b w:val="1"/>
                <w:bCs w:val="1"/>
                <w:color w:val="FFFFFF"/>
              </w:rPr>
              <w:t>Threshold</w:t>
            </w:r>
          </w:p>
        </w:tc>
        <w:tc>
          <w:tcPr>
            <w:tcW w:w="9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w w:val="98"/>
              </w:rPr>
              <w:t>Target</w:t>
            </w:r>
          </w:p>
        </w:tc>
        <w:tc>
          <w:tcPr>
            <w:tcW w:w="1020" w:type="dxa"/>
            <w:vAlign w:val="bottom"/>
            <w:shd w:val="clear" w:color="auto" w:fill="0063A6"/>
          </w:tcPr>
          <w:p>
            <w:pPr>
              <w:jc w:val="right"/>
              <w:ind w:right="100"/>
              <w:spacing w:after="0"/>
              <w:rPr>
                <w:sz w:val="20"/>
                <w:szCs w:val="20"/>
                <w:color w:val="auto"/>
              </w:rPr>
            </w:pPr>
            <w:r>
              <w:rPr>
                <w:rFonts w:ascii="Arial" w:cs="Arial" w:eastAsia="Arial" w:hAnsi="Arial"/>
                <w:sz w:val="14"/>
                <w:szCs w:val="14"/>
                <w:b w:val="1"/>
                <w:bCs w:val="1"/>
                <w:color w:val="FFFFFF"/>
              </w:rPr>
              <w:t>Maximum</w:t>
            </w:r>
          </w:p>
        </w:tc>
        <w:tc>
          <w:tcPr>
            <w:tcW w:w="10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Shares (#)</w:t>
            </w:r>
          </w:p>
        </w:tc>
        <w:tc>
          <w:tcPr>
            <w:tcW w:w="13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w w:val="97"/>
              </w:rPr>
              <w:t>Fair Value ($)</w:t>
            </w:r>
            <w:r>
              <w:rPr>
                <w:rFonts w:ascii="Arial" w:cs="Arial" w:eastAsia="Arial" w:hAnsi="Arial"/>
                <w:sz w:val="23"/>
                <w:szCs w:val="23"/>
                <w:b w:val="1"/>
                <w:bCs w:val="1"/>
                <w:color w:val="FFFFFF"/>
                <w:w w:val="97"/>
                <w:vertAlign w:val="superscript"/>
              </w:rPr>
              <w:t>(3)</w:t>
            </w:r>
          </w:p>
        </w:tc>
      </w:tr>
      <w:tr>
        <w:trPr>
          <w:trHeight w:val="295"/>
        </w:trPr>
        <w:tc>
          <w:tcPr>
            <w:tcW w:w="1800" w:type="dxa"/>
            <w:vAlign w:val="bottom"/>
            <w:shd w:val="clear" w:color="auto" w:fill="F2F2F2"/>
          </w:tcPr>
          <w:p>
            <w:pPr>
              <w:ind w:left="60"/>
              <w:spacing w:after="0"/>
              <w:rPr>
                <w:sz w:val="20"/>
                <w:szCs w:val="20"/>
                <w:color w:val="auto"/>
              </w:rPr>
            </w:pPr>
            <w:r>
              <w:rPr>
                <w:rFonts w:ascii="Arial" w:cs="Arial" w:eastAsia="Arial" w:hAnsi="Arial"/>
                <w:sz w:val="16"/>
                <w:szCs w:val="16"/>
                <w:color w:val="auto"/>
              </w:rPr>
              <w:t>Andrew W. Houston</w:t>
            </w:r>
          </w:p>
        </w:tc>
        <w:tc>
          <w:tcPr>
            <w:tcW w:w="1220" w:type="dxa"/>
            <w:vAlign w:val="bottom"/>
            <w:shd w:val="clear" w:color="auto" w:fill="F2F2F2"/>
          </w:tcPr>
          <w:p>
            <w:pPr>
              <w:jc w:val="center"/>
              <w:ind w:left="60"/>
              <w:spacing w:after="0"/>
              <w:rPr>
                <w:sz w:val="20"/>
                <w:szCs w:val="20"/>
                <w:color w:val="auto"/>
              </w:rPr>
            </w:pPr>
            <w:r>
              <w:rPr>
                <w:rFonts w:ascii="Arial" w:cs="Arial" w:eastAsia="Arial" w:hAnsi="Arial"/>
                <w:sz w:val="16"/>
                <w:szCs w:val="16"/>
                <w:color w:val="auto"/>
              </w:rPr>
              <w:t>3/3/2021</w:t>
            </w:r>
          </w:p>
        </w:tc>
        <w:tc>
          <w:tcPr>
            <w:tcW w:w="130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3/3/2021</w:t>
            </w:r>
          </w:p>
        </w:tc>
        <w:tc>
          <w:tcPr>
            <w:tcW w:w="98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151,626</w:t>
            </w:r>
          </w:p>
        </w:tc>
        <w:tc>
          <w:tcPr>
            <w:tcW w:w="9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606,506</w:t>
            </w:r>
          </w:p>
        </w:tc>
        <w:tc>
          <w:tcPr>
            <w:tcW w:w="1020" w:type="dxa"/>
            <w:vAlign w:val="bottom"/>
            <w:shd w:val="clear" w:color="auto" w:fill="F2F2F2"/>
          </w:tcPr>
          <w:p>
            <w:pPr>
              <w:jc w:val="right"/>
              <w:ind w:right="80"/>
              <w:spacing w:after="0"/>
              <w:rPr>
                <w:sz w:val="20"/>
                <w:szCs w:val="20"/>
                <w:color w:val="auto"/>
              </w:rPr>
            </w:pPr>
            <w:r>
              <w:rPr>
                <w:rFonts w:ascii="Arial" w:cs="Arial" w:eastAsia="Arial" w:hAnsi="Arial"/>
                <w:sz w:val="16"/>
                <w:szCs w:val="16"/>
                <w:color w:val="auto"/>
              </w:rPr>
              <w:t>1,364,638</w:t>
            </w:r>
          </w:p>
        </w:tc>
        <w:tc>
          <w:tcPr>
            <w:tcW w:w="10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3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r>
      <w:tr>
        <w:trPr>
          <w:trHeight w:val="70"/>
        </w:trPr>
        <w:tc>
          <w:tcPr>
            <w:tcW w:w="1800" w:type="dxa"/>
            <w:vAlign w:val="bottom"/>
            <w:shd w:val="clear" w:color="auto" w:fill="F2F2F2"/>
          </w:tcPr>
          <w:p>
            <w:pPr>
              <w:spacing w:after="0"/>
              <w:rPr>
                <w:sz w:val="6"/>
                <w:szCs w:val="6"/>
                <w:color w:val="auto"/>
              </w:rPr>
            </w:pPr>
          </w:p>
        </w:tc>
        <w:tc>
          <w:tcPr>
            <w:tcW w:w="1220" w:type="dxa"/>
            <w:vAlign w:val="bottom"/>
            <w:shd w:val="clear" w:color="auto" w:fill="F2F2F2"/>
          </w:tcPr>
          <w:p>
            <w:pPr>
              <w:spacing w:after="0"/>
              <w:rPr>
                <w:sz w:val="6"/>
                <w:szCs w:val="6"/>
                <w:color w:val="auto"/>
              </w:rPr>
            </w:pPr>
          </w:p>
        </w:tc>
        <w:tc>
          <w:tcPr>
            <w:tcW w:w="1300" w:type="dxa"/>
            <w:vAlign w:val="bottom"/>
            <w:shd w:val="clear" w:color="auto" w:fill="F2F2F2"/>
          </w:tcPr>
          <w:p>
            <w:pPr>
              <w:spacing w:after="0"/>
              <w:rPr>
                <w:sz w:val="6"/>
                <w:szCs w:val="6"/>
                <w:color w:val="auto"/>
              </w:rPr>
            </w:pPr>
          </w:p>
        </w:tc>
        <w:tc>
          <w:tcPr>
            <w:tcW w:w="980" w:type="dxa"/>
            <w:vAlign w:val="bottom"/>
            <w:shd w:val="clear" w:color="auto" w:fill="F2F2F2"/>
          </w:tcPr>
          <w:p>
            <w:pPr>
              <w:spacing w:after="0"/>
              <w:rPr>
                <w:sz w:val="6"/>
                <w:szCs w:val="6"/>
                <w:color w:val="auto"/>
              </w:rPr>
            </w:pPr>
          </w:p>
        </w:tc>
        <w:tc>
          <w:tcPr>
            <w:tcW w:w="900" w:type="dxa"/>
            <w:vAlign w:val="bottom"/>
            <w:shd w:val="clear" w:color="auto" w:fill="F2F2F2"/>
          </w:tcPr>
          <w:p>
            <w:pPr>
              <w:spacing w:after="0"/>
              <w:rPr>
                <w:sz w:val="6"/>
                <w:szCs w:val="6"/>
                <w:color w:val="auto"/>
              </w:rPr>
            </w:pPr>
          </w:p>
        </w:tc>
        <w:tc>
          <w:tcPr>
            <w:tcW w:w="1020" w:type="dxa"/>
            <w:vAlign w:val="bottom"/>
            <w:shd w:val="clear" w:color="auto" w:fill="F2F2F2"/>
          </w:tcPr>
          <w:p>
            <w:pPr>
              <w:spacing w:after="0"/>
              <w:rPr>
                <w:sz w:val="6"/>
                <w:szCs w:val="6"/>
                <w:color w:val="auto"/>
              </w:rPr>
            </w:pPr>
          </w:p>
        </w:tc>
        <w:tc>
          <w:tcPr>
            <w:tcW w:w="1020" w:type="dxa"/>
            <w:vAlign w:val="bottom"/>
            <w:shd w:val="clear" w:color="auto" w:fill="F2F2F2"/>
          </w:tcPr>
          <w:p>
            <w:pPr>
              <w:spacing w:after="0"/>
              <w:rPr>
                <w:sz w:val="6"/>
                <w:szCs w:val="6"/>
                <w:color w:val="auto"/>
              </w:rPr>
            </w:pPr>
          </w:p>
        </w:tc>
        <w:tc>
          <w:tcPr>
            <w:tcW w:w="1320" w:type="dxa"/>
            <w:vAlign w:val="bottom"/>
            <w:shd w:val="clear" w:color="auto" w:fill="F2F2F2"/>
          </w:tcPr>
          <w:p>
            <w:pPr>
              <w:spacing w:after="0"/>
              <w:rPr>
                <w:sz w:val="6"/>
                <w:szCs w:val="6"/>
                <w:color w:val="auto"/>
              </w:rPr>
            </w:pPr>
          </w:p>
        </w:tc>
      </w:tr>
      <w:tr>
        <w:trPr>
          <w:trHeight w:val="281"/>
        </w:trPr>
        <w:tc>
          <w:tcPr>
            <w:tcW w:w="1800" w:type="dxa"/>
            <w:vAlign w:val="bottom"/>
          </w:tcPr>
          <w:p>
            <w:pPr>
              <w:ind w:left="60"/>
              <w:spacing w:after="0"/>
              <w:rPr>
                <w:sz w:val="20"/>
                <w:szCs w:val="20"/>
                <w:color w:val="auto"/>
              </w:rPr>
            </w:pPr>
            <w:r>
              <w:rPr>
                <w:rFonts w:ascii="Arial" w:cs="Arial" w:eastAsia="Arial" w:hAnsi="Arial"/>
                <w:sz w:val="16"/>
                <w:szCs w:val="16"/>
                <w:color w:val="auto"/>
              </w:rPr>
              <w:t>Timothy Regan</w:t>
            </w:r>
          </w:p>
        </w:tc>
        <w:tc>
          <w:tcPr>
            <w:tcW w:w="1220" w:type="dxa"/>
            <w:vAlign w:val="bottom"/>
          </w:tcPr>
          <w:p>
            <w:pPr>
              <w:jc w:val="center"/>
              <w:ind w:left="60"/>
              <w:spacing w:after="0"/>
              <w:rPr>
                <w:sz w:val="20"/>
                <w:szCs w:val="20"/>
                <w:color w:val="auto"/>
              </w:rPr>
            </w:pPr>
            <w:r>
              <w:rPr>
                <w:rFonts w:ascii="Arial" w:cs="Arial" w:eastAsia="Arial" w:hAnsi="Arial"/>
                <w:sz w:val="16"/>
                <w:szCs w:val="16"/>
                <w:color w:val="auto"/>
              </w:rPr>
              <w:t>3/3/2021</w:t>
            </w:r>
          </w:p>
        </w:tc>
        <w:tc>
          <w:tcPr>
            <w:tcW w:w="1300" w:type="dxa"/>
            <w:vAlign w:val="bottom"/>
          </w:tcPr>
          <w:p>
            <w:pPr>
              <w:jc w:val="center"/>
              <w:spacing w:after="0"/>
              <w:rPr>
                <w:sz w:val="20"/>
                <w:szCs w:val="20"/>
                <w:color w:val="auto"/>
              </w:rPr>
            </w:pPr>
            <w:r>
              <w:rPr>
                <w:rFonts w:ascii="Arial" w:cs="Arial" w:eastAsia="Arial" w:hAnsi="Arial"/>
                <w:sz w:val="16"/>
                <w:szCs w:val="16"/>
                <w:color w:val="auto"/>
                <w:w w:val="99"/>
              </w:rPr>
              <w:t>3/3/2021</w:t>
            </w:r>
          </w:p>
        </w:tc>
        <w:tc>
          <w:tcPr>
            <w:tcW w:w="980" w:type="dxa"/>
            <w:vAlign w:val="bottom"/>
          </w:tcPr>
          <w:p>
            <w:pPr>
              <w:jc w:val="right"/>
              <w:ind w:right="143"/>
              <w:spacing w:after="0"/>
              <w:rPr>
                <w:sz w:val="20"/>
                <w:szCs w:val="20"/>
                <w:color w:val="auto"/>
              </w:rPr>
            </w:pPr>
            <w:r>
              <w:rPr>
                <w:rFonts w:ascii="Arial" w:cs="Arial" w:eastAsia="Arial" w:hAnsi="Arial"/>
                <w:sz w:val="16"/>
                <w:szCs w:val="16"/>
                <w:color w:val="auto"/>
              </w:rPr>
              <w:t>76,842</w:t>
            </w:r>
          </w:p>
        </w:tc>
        <w:tc>
          <w:tcPr>
            <w:tcW w:w="900" w:type="dxa"/>
            <w:vAlign w:val="bottom"/>
          </w:tcPr>
          <w:p>
            <w:pPr>
              <w:jc w:val="center"/>
              <w:spacing w:after="0"/>
              <w:rPr>
                <w:sz w:val="20"/>
                <w:szCs w:val="20"/>
                <w:color w:val="auto"/>
              </w:rPr>
            </w:pPr>
            <w:r>
              <w:rPr>
                <w:rFonts w:ascii="Arial" w:cs="Arial" w:eastAsia="Arial" w:hAnsi="Arial"/>
                <w:sz w:val="16"/>
                <w:szCs w:val="16"/>
                <w:color w:val="auto"/>
              </w:rPr>
              <w:t>307,369</w:t>
            </w:r>
          </w:p>
        </w:tc>
        <w:tc>
          <w:tcPr>
            <w:tcW w:w="1020" w:type="dxa"/>
            <w:vAlign w:val="bottom"/>
          </w:tcPr>
          <w:p>
            <w:pPr>
              <w:jc w:val="right"/>
              <w:ind w:right="80"/>
              <w:spacing w:after="0"/>
              <w:rPr>
                <w:sz w:val="20"/>
                <w:szCs w:val="20"/>
                <w:color w:val="auto"/>
              </w:rPr>
            </w:pPr>
            <w:r>
              <w:rPr>
                <w:rFonts w:ascii="Arial" w:cs="Arial" w:eastAsia="Arial" w:hAnsi="Arial"/>
                <w:sz w:val="16"/>
                <w:szCs w:val="16"/>
                <w:color w:val="auto"/>
              </w:rPr>
              <w:t>691,580</w:t>
            </w:r>
          </w:p>
        </w:tc>
        <w:tc>
          <w:tcPr>
            <w:tcW w:w="102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320" w:type="dxa"/>
            <w:vAlign w:val="bottom"/>
          </w:tcPr>
          <w:p>
            <w:pPr>
              <w:jc w:val="center"/>
              <w:spacing w:after="0"/>
              <w:rPr>
                <w:sz w:val="20"/>
                <w:szCs w:val="20"/>
                <w:color w:val="auto"/>
              </w:rPr>
            </w:pPr>
            <w:r>
              <w:rPr>
                <w:rFonts w:ascii="Arial" w:cs="Arial" w:eastAsia="Arial" w:hAnsi="Arial"/>
                <w:sz w:val="16"/>
                <w:szCs w:val="16"/>
                <w:color w:val="auto"/>
                <w:w w:val="99"/>
              </w:rPr>
              <w:t>—</w:t>
            </w:r>
          </w:p>
        </w:tc>
      </w:tr>
      <w:tr>
        <w:trPr>
          <w:trHeight w:val="378"/>
        </w:trPr>
        <w:tc>
          <w:tcPr>
            <w:tcW w:w="1800" w:type="dxa"/>
            <w:vAlign w:val="bottom"/>
          </w:tcPr>
          <w:p>
            <w:pPr>
              <w:spacing w:after="0"/>
              <w:rPr>
                <w:sz w:val="24"/>
                <w:szCs w:val="24"/>
                <w:color w:val="auto"/>
              </w:rPr>
            </w:pPr>
          </w:p>
        </w:tc>
        <w:tc>
          <w:tcPr>
            <w:tcW w:w="1220" w:type="dxa"/>
            <w:vAlign w:val="bottom"/>
          </w:tcPr>
          <w:p>
            <w:pPr>
              <w:jc w:val="center"/>
              <w:ind w:left="60"/>
              <w:spacing w:after="0"/>
              <w:rPr>
                <w:sz w:val="20"/>
                <w:szCs w:val="20"/>
                <w:color w:val="auto"/>
              </w:rPr>
            </w:pPr>
            <w:r>
              <w:rPr>
                <w:rFonts w:ascii="Arial" w:cs="Arial" w:eastAsia="Arial" w:hAnsi="Arial"/>
                <w:sz w:val="16"/>
                <w:szCs w:val="16"/>
                <w:color w:val="auto"/>
              </w:rPr>
              <w:t>4/1/2021</w:t>
            </w:r>
          </w:p>
        </w:tc>
        <w:tc>
          <w:tcPr>
            <w:tcW w:w="1300" w:type="dxa"/>
            <w:vAlign w:val="bottom"/>
          </w:tcPr>
          <w:p>
            <w:pPr>
              <w:jc w:val="center"/>
              <w:spacing w:after="0"/>
              <w:rPr>
                <w:sz w:val="20"/>
                <w:szCs w:val="20"/>
                <w:color w:val="auto"/>
              </w:rPr>
            </w:pPr>
            <w:r>
              <w:rPr>
                <w:rFonts w:ascii="Arial" w:cs="Arial" w:eastAsia="Arial" w:hAnsi="Arial"/>
                <w:sz w:val="16"/>
                <w:szCs w:val="16"/>
                <w:color w:val="auto"/>
                <w:w w:val="99"/>
              </w:rPr>
              <w:t>3/3/2021</w:t>
            </w:r>
          </w:p>
        </w:tc>
        <w:tc>
          <w:tcPr>
            <w:tcW w:w="9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00" w:type="dxa"/>
            <w:vAlign w:val="bottom"/>
          </w:tcPr>
          <w:p>
            <w:pPr>
              <w:jc w:val="center"/>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360"/>
              <w:spacing w:after="0"/>
              <w:rPr>
                <w:sz w:val="20"/>
                <w:szCs w:val="20"/>
                <w:color w:val="auto"/>
              </w:rPr>
            </w:pPr>
            <w:r>
              <w:rPr>
                <w:rFonts w:ascii="Arial" w:cs="Arial" w:eastAsia="Arial" w:hAnsi="Arial"/>
                <w:sz w:val="16"/>
                <w:szCs w:val="16"/>
                <w:color w:val="auto"/>
              </w:rPr>
              <w:t>—</w:t>
            </w:r>
          </w:p>
        </w:tc>
        <w:tc>
          <w:tcPr>
            <w:tcW w:w="1020" w:type="dxa"/>
            <w:vAlign w:val="bottom"/>
          </w:tcPr>
          <w:p>
            <w:pPr>
              <w:ind w:left="200"/>
              <w:spacing w:after="0"/>
              <w:rPr>
                <w:sz w:val="20"/>
                <w:szCs w:val="20"/>
                <w:color w:val="auto"/>
              </w:rPr>
            </w:pPr>
            <w:r>
              <w:rPr>
                <w:rFonts w:ascii="Arial" w:cs="Arial" w:eastAsia="Arial" w:hAnsi="Arial"/>
                <w:sz w:val="16"/>
                <w:szCs w:val="16"/>
                <w:color w:val="auto"/>
              </w:rPr>
              <w:t>175,207</w:t>
            </w:r>
          </w:p>
        </w:tc>
        <w:tc>
          <w:tcPr>
            <w:tcW w:w="1320" w:type="dxa"/>
            <w:vAlign w:val="bottom"/>
          </w:tcPr>
          <w:p>
            <w:pPr>
              <w:ind w:left="280"/>
              <w:spacing w:after="0"/>
              <w:rPr>
                <w:sz w:val="20"/>
                <w:szCs w:val="20"/>
                <w:color w:val="auto"/>
              </w:rPr>
            </w:pPr>
            <w:r>
              <w:rPr>
                <w:rFonts w:ascii="Arial" w:cs="Arial" w:eastAsia="Arial" w:hAnsi="Arial"/>
                <w:sz w:val="16"/>
                <w:szCs w:val="16"/>
                <w:color w:val="auto"/>
              </w:rPr>
              <w:t>4,671,019</w:t>
            </w:r>
          </w:p>
        </w:tc>
      </w:tr>
      <w:tr>
        <w:trPr>
          <w:trHeight w:val="83"/>
        </w:trPr>
        <w:tc>
          <w:tcPr>
            <w:tcW w:w="1800" w:type="dxa"/>
            <w:vAlign w:val="bottom"/>
          </w:tcPr>
          <w:p>
            <w:pPr>
              <w:spacing w:after="0"/>
              <w:rPr>
                <w:sz w:val="7"/>
                <w:szCs w:val="7"/>
                <w:color w:val="auto"/>
              </w:rPr>
            </w:pPr>
          </w:p>
        </w:tc>
        <w:tc>
          <w:tcPr>
            <w:tcW w:w="1220" w:type="dxa"/>
            <w:vAlign w:val="bottom"/>
          </w:tcPr>
          <w:p>
            <w:pPr>
              <w:spacing w:after="0"/>
              <w:rPr>
                <w:sz w:val="7"/>
                <w:szCs w:val="7"/>
                <w:color w:val="auto"/>
              </w:rPr>
            </w:pPr>
          </w:p>
        </w:tc>
        <w:tc>
          <w:tcPr>
            <w:tcW w:w="1300" w:type="dxa"/>
            <w:vAlign w:val="bottom"/>
          </w:tcPr>
          <w:p>
            <w:pPr>
              <w:spacing w:after="0"/>
              <w:rPr>
                <w:sz w:val="7"/>
                <w:szCs w:val="7"/>
                <w:color w:val="auto"/>
              </w:rPr>
            </w:pPr>
          </w:p>
        </w:tc>
        <w:tc>
          <w:tcPr>
            <w:tcW w:w="980" w:type="dxa"/>
            <w:vAlign w:val="bottom"/>
          </w:tcPr>
          <w:p>
            <w:pPr>
              <w:spacing w:after="0"/>
              <w:rPr>
                <w:sz w:val="7"/>
                <w:szCs w:val="7"/>
                <w:color w:val="auto"/>
              </w:rPr>
            </w:pPr>
          </w:p>
        </w:tc>
        <w:tc>
          <w:tcPr>
            <w:tcW w:w="900" w:type="dxa"/>
            <w:vAlign w:val="bottom"/>
          </w:tcPr>
          <w:p>
            <w:pPr>
              <w:spacing w:after="0"/>
              <w:rPr>
                <w:sz w:val="7"/>
                <w:szCs w:val="7"/>
                <w:color w:val="auto"/>
              </w:rPr>
            </w:pPr>
          </w:p>
        </w:tc>
        <w:tc>
          <w:tcPr>
            <w:tcW w:w="1020" w:type="dxa"/>
            <w:vAlign w:val="bottom"/>
          </w:tcPr>
          <w:p>
            <w:pPr>
              <w:spacing w:after="0"/>
              <w:rPr>
                <w:sz w:val="7"/>
                <w:szCs w:val="7"/>
                <w:color w:val="auto"/>
              </w:rPr>
            </w:pPr>
          </w:p>
        </w:tc>
        <w:tc>
          <w:tcPr>
            <w:tcW w:w="1020" w:type="dxa"/>
            <w:vAlign w:val="bottom"/>
          </w:tcPr>
          <w:p>
            <w:pPr>
              <w:spacing w:after="0"/>
              <w:rPr>
                <w:sz w:val="7"/>
                <w:szCs w:val="7"/>
                <w:color w:val="auto"/>
              </w:rPr>
            </w:pPr>
          </w:p>
        </w:tc>
        <w:tc>
          <w:tcPr>
            <w:tcW w:w="1320" w:type="dxa"/>
            <w:vAlign w:val="bottom"/>
          </w:tcPr>
          <w:p>
            <w:pPr>
              <w:spacing w:after="0"/>
              <w:rPr>
                <w:sz w:val="7"/>
                <w:szCs w:val="7"/>
                <w:color w:val="auto"/>
              </w:rPr>
            </w:pPr>
          </w:p>
        </w:tc>
      </w:tr>
      <w:tr>
        <w:trPr>
          <w:trHeight w:val="295"/>
        </w:trPr>
        <w:tc>
          <w:tcPr>
            <w:tcW w:w="1800" w:type="dxa"/>
            <w:vAlign w:val="bottom"/>
            <w:shd w:val="clear" w:color="auto" w:fill="F2F2F2"/>
          </w:tcPr>
          <w:p>
            <w:pPr>
              <w:ind w:left="60"/>
              <w:spacing w:after="0"/>
              <w:rPr>
                <w:sz w:val="20"/>
                <w:szCs w:val="20"/>
                <w:color w:val="auto"/>
              </w:rPr>
            </w:pPr>
            <w:r>
              <w:rPr>
                <w:rFonts w:ascii="Arial" w:cs="Arial" w:eastAsia="Arial" w:hAnsi="Arial"/>
                <w:sz w:val="16"/>
                <w:szCs w:val="16"/>
                <w:color w:val="auto"/>
              </w:rPr>
              <w:t>Timothy Young</w:t>
            </w:r>
          </w:p>
        </w:tc>
        <w:tc>
          <w:tcPr>
            <w:tcW w:w="1220" w:type="dxa"/>
            <w:vAlign w:val="bottom"/>
            <w:shd w:val="clear" w:color="auto" w:fill="F2F2F2"/>
          </w:tcPr>
          <w:p>
            <w:pPr>
              <w:jc w:val="center"/>
              <w:ind w:left="60"/>
              <w:spacing w:after="0"/>
              <w:rPr>
                <w:sz w:val="20"/>
                <w:szCs w:val="20"/>
                <w:color w:val="auto"/>
              </w:rPr>
            </w:pPr>
            <w:r>
              <w:rPr>
                <w:rFonts w:ascii="Arial" w:cs="Arial" w:eastAsia="Arial" w:hAnsi="Arial"/>
                <w:sz w:val="16"/>
                <w:szCs w:val="16"/>
                <w:color w:val="auto"/>
              </w:rPr>
              <w:t>3/3/2021</w:t>
            </w:r>
          </w:p>
        </w:tc>
        <w:tc>
          <w:tcPr>
            <w:tcW w:w="130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3/3/2021</w:t>
            </w:r>
          </w:p>
        </w:tc>
        <w:tc>
          <w:tcPr>
            <w:tcW w:w="98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150,000</w:t>
            </w:r>
          </w:p>
        </w:tc>
        <w:tc>
          <w:tcPr>
            <w:tcW w:w="9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600,000</w:t>
            </w:r>
          </w:p>
        </w:tc>
        <w:tc>
          <w:tcPr>
            <w:tcW w:w="1020" w:type="dxa"/>
            <w:vAlign w:val="bottom"/>
            <w:shd w:val="clear" w:color="auto" w:fill="F2F2F2"/>
          </w:tcPr>
          <w:p>
            <w:pPr>
              <w:jc w:val="right"/>
              <w:ind w:right="80"/>
              <w:spacing w:after="0"/>
              <w:rPr>
                <w:sz w:val="20"/>
                <w:szCs w:val="20"/>
                <w:color w:val="auto"/>
              </w:rPr>
            </w:pPr>
            <w:r>
              <w:rPr>
                <w:rFonts w:ascii="Arial" w:cs="Arial" w:eastAsia="Arial" w:hAnsi="Arial"/>
                <w:sz w:val="16"/>
                <w:szCs w:val="16"/>
                <w:color w:val="auto"/>
              </w:rPr>
              <w:t>1,350,000</w:t>
            </w:r>
          </w:p>
        </w:tc>
        <w:tc>
          <w:tcPr>
            <w:tcW w:w="10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3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r>
      <w:tr>
        <w:trPr>
          <w:trHeight w:val="83"/>
        </w:trPr>
        <w:tc>
          <w:tcPr>
            <w:tcW w:w="1800" w:type="dxa"/>
            <w:vAlign w:val="bottom"/>
            <w:shd w:val="clear" w:color="auto" w:fill="F2F2F2"/>
          </w:tcPr>
          <w:p>
            <w:pPr>
              <w:spacing w:after="0"/>
              <w:rPr>
                <w:sz w:val="7"/>
                <w:szCs w:val="7"/>
                <w:color w:val="auto"/>
              </w:rPr>
            </w:pPr>
          </w:p>
        </w:tc>
        <w:tc>
          <w:tcPr>
            <w:tcW w:w="1220" w:type="dxa"/>
            <w:vAlign w:val="bottom"/>
            <w:shd w:val="clear" w:color="auto" w:fill="F2F2F2"/>
          </w:tcPr>
          <w:p>
            <w:pPr>
              <w:spacing w:after="0"/>
              <w:rPr>
                <w:sz w:val="7"/>
                <w:szCs w:val="7"/>
                <w:color w:val="auto"/>
              </w:rPr>
            </w:pPr>
          </w:p>
        </w:tc>
        <w:tc>
          <w:tcPr>
            <w:tcW w:w="1300" w:type="dxa"/>
            <w:vAlign w:val="bottom"/>
            <w:shd w:val="clear" w:color="auto" w:fill="F2F2F2"/>
          </w:tcPr>
          <w:p>
            <w:pPr>
              <w:spacing w:after="0"/>
              <w:rPr>
                <w:sz w:val="7"/>
                <w:szCs w:val="7"/>
                <w:color w:val="auto"/>
              </w:rPr>
            </w:pPr>
          </w:p>
        </w:tc>
        <w:tc>
          <w:tcPr>
            <w:tcW w:w="980" w:type="dxa"/>
            <w:vAlign w:val="bottom"/>
            <w:shd w:val="clear" w:color="auto" w:fill="F2F2F2"/>
          </w:tcPr>
          <w:p>
            <w:pPr>
              <w:spacing w:after="0"/>
              <w:rPr>
                <w:sz w:val="7"/>
                <w:szCs w:val="7"/>
                <w:color w:val="auto"/>
              </w:rPr>
            </w:pPr>
          </w:p>
        </w:tc>
        <w:tc>
          <w:tcPr>
            <w:tcW w:w="90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c>
          <w:tcPr>
            <w:tcW w:w="1020" w:type="dxa"/>
            <w:vAlign w:val="bottom"/>
            <w:shd w:val="clear" w:color="auto" w:fill="F2F2F2"/>
          </w:tcPr>
          <w:p>
            <w:pPr>
              <w:spacing w:after="0"/>
              <w:rPr>
                <w:sz w:val="7"/>
                <w:szCs w:val="7"/>
                <w:color w:val="auto"/>
              </w:rPr>
            </w:pPr>
          </w:p>
        </w:tc>
        <w:tc>
          <w:tcPr>
            <w:tcW w:w="1320" w:type="dxa"/>
            <w:vAlign w:val="bottom"/>
            <w:shd w:val="clear" w:color="auto" w:fill="F2F2F2"/>
          </w:tcPr>
          <w:p>
            <w:pPr>
              <w:spacing w:after="0"/>
              <w:rPr>
                <w:sz w:val="7"/>
                <w:szCs w:val="7"/>
                <w:color w:val="auto"/>
              </w:rPr>
            </w:pPr>
          </w:p>
        </w:tc>
      </w:tr>
      <w:tr>
        <w:trPr>
          <w:trHeight w:val="295"/>
        </w:trPr>
        <w:tc>
          <w:tcPr>
            <w:tcW w:w="1800" w:type="dxa"/>
            <w:vAlign w:val="bottom"/>
          </w:tcPr>
          <w:p>
            <w:pPr>
              <w:ind w:left="60"/>
              <w:spacing w:after="0"/>
              <w:rPr>
                <w:sz w:val="20"/>
                <w:szCs w:val="20"/>
                <w:color w:val="auto"/>
              </w:rPr>
            </w:pPr>
            <w:r>
              <w:rPr>
                <w:rFonts w:ascii="Arial" w:cs="Arial" w:eastAsia="Arial" w:hAnsi="Arial"/>
                <w:sz w:val="16"/>
                <w:szCs w:val="16"/>
                <w:color w:val="auto"/>
              </w:rPr>
              <w:t>Bart E. Volkmer</w:t>
            </w:r>
          </w:p>
        </w:tc>
        <w:tc>
          <w:tcPr>
            <w:tcW w:w="1220" w:type="dxa"/>
            <w:vAlign w:val="bottom"/>
          </w:tcPr>
          <w:p>
            <w:pPr>
              <w:jc w:val="center"/>
              <w:ind w:left="60"/>
              <w:spacing w:after="0"/>
              <w:rPr>
                <w:sz w:val="20"/>
                <w:szCs w:val="20"/>
                <w:color w:val="auto"/>
              </w:rPr>
            </w:pPr>
            <w:r>
              <w:rPr>
                <w:rFonts w:ascii="Arial" w:cs="Arial" w:eastAsia="Arial" w:hAnsi="Arial"/>
                <w:sz w:val="16"/>
                <w:szCs w:val="16"/>
                <w:color w:val="auto"/>
              </w:rPr>
              <w:t>3/3/2021</w:t>
            </w:r>
          </w:p>
        </w:tc>
        <w:tc>
          <w:tcPr>
            <w:tcW w:w="1300" w:type="dxa"/>
            <w:vAlign w:val="bottom"/>
          </w:tcPr>
          <w:p>
            <w:pPr>
              <w:jc w:val="center"/>
              <w:spacing w:after="0"/>
              <w:rPr>
                <w:sz w:val="20"/>
                <w:szCs w:val="20"/>
                <w:color w:val="auto"/>
              </w:rPr>
            </w:pPr>
            <w:r>
              <w:rPr>
                <w:rFonts w:ascii="Arial" w:cs="Arial" w:eastAsia="Arial" w:hAnsi="Arial"/>
                <w:sz w:val="16"/>
                <w:szCs w:val="16"/>
                <w:color w:val="auto"/>
                <w:w w:val="99"/>
              </w:rPr>
              <w:t>3/3/2021</w:t>
            </w:r>
          </w:p>
        </w:tc>
        <w:tc>
          <w:tcPr>
            <w:tcW w:w="980" w:type="dxa"/>
            <w:vAlign w:val="bottom"/>
          </w:tcPr>
          <w:p>
            <w:pPr>
              <w:jc w:val="right"/>
              <w:ind w:right="143"/>
              <w:spacing w:after="0"/>
              <w:rPr>
                <w:sz w:val="20"/>
                <w:szCs w:val="20"/>
                <w:color w:val="auto"/>
              </w:rPr>
            </w:pPr>
            <w:r>
              <w:rPr>
                <w:rFonts w:ascii="Arial" w:cs="Arial" w:eastAsia="Arial" w:hAnsi="Arial"/>
                <w:sz w:val="16"/>
                <w:szCs w:val="16"/>
                <w:color w:val="auto"/>
              </w:rPr>
              <w:t>77,187</w:t>
            </w:r>
          </w:p>
        </w:tc>
        <w:tc>
          <w:tcPr>
            <w:tcW w:w="900" w:type="dxa"/>
            <w:vAlign w:val="bottom"/>
          </w:tcPr>
          <w:p>
            <w:pPr>
              <w:jc w:val="center"/>
              <w:spacing w:after="0"/>
              <w:rPr>
                <w:sz w:val="20"/>
                <w:szCs w:val="20"/>
                <w:color w:val="auto"/>
              </w:rPr>
            </w:pPr>
            <w:r>
              <w:rPr>
                <w:rFonts w:ascii="Arial" w:cs="Arial" w:eastAsia="Arial" w:hAnsi="Arial"/>
                <w:sz w:val="16"/>
                <w:szCs w:val="16"/>
                <w:color w:val="auto"/>
              </w:rPr>
              <w:t>308,750</w:t>
            </w:r>
          </w:p>
        </w:tc>
        <w:tc>
          <w:tcPr>
            <w:tcW w:w="1020" w:type="dxa"/>
            <w:vAlign w:val="bottom"/>
          </w:tcPr>
          <w:p>
            <w:pPr>
              <w:jc w:val="right"/>
              <w:ind w:right="360"/>
              <w:spacing w:after="0"/>
              <w:rPr>
                <w:sz w:val="20"/>
                <w:szCs w:val="20"/>
                <w:color w:val="auto"/>
              </w:rPr>
            </w:pPr>
            <w:r>
              <w:rPr>
                <w:rFonts w:ascii="Arial" w:cs="Arial" w:eastAsia="Arial" w:hAnsi="Arial"/>
                <w:sz w:val="16"/>
                <w:szCs w:val="16"/>
                <w:color w:val="auto"/>
              </w:rPr>
              <w:t>—</w:t>
            </w:r>
          </w:p>
        </w:tc>
        <w:tc>
          <w:tcPr>
            <w:tcW w:w="102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320" w:type="dxa"/>
            <w:vAlign w:val="bottom"/>
          </w:tcPr>
          <w:p>
            <w:pPr>
              <w:jc w:val="center"/>
              <w:spacing w:after="0"/>
              <w:rPr>
                <w:sz w:val="20"/>
                <w:szCs w:val="20"/>
                <w:color w:val="auto"/>
              </w:rPr>
            </w:pPr>
            <w:r>
              <w:rPr>
                <w:rFonts w:ascii="Arial" w:cs="Arial" w:eastAsia="Arial" w:hAnsi="Arial"/>
                <w:sz w:val="16"/>
                <w:szCs w:val="16"/>
                <w:color w:val="auto"/>
                <w:w w:val="99"/>
              </w:rPr>
              <w:t>—</w:t>
            </w:r>
          </w:p>
        </w:tc>
      </w:tr>
      <w:tr>
        <w:trPr>
          <w:trHeight w:val="378"/>
        </w:trPr>
        <w:tc>
          <w:tcPr>
            <w:tcW w:w="1800" w:type="dxa"/>
            <w:vAlign w:val="bottom"/>
          </w:tcPr>
          <w:p>
            <w:pPr>
              <w:spacing w:after="0"/>
              <w:rPr>
                <w:sz w:val="24"/>
                <w:szCs w:val="24"/>
                <w:color w:val="auto"/>
              </w:rPr>
            </w:pPr>
          </w:p>
        </w:tc>
        <w:tc>
          <w:tcPr>
            <w:tcW w:w="1220" w:type="dxa"/>
            <w:vAlign w:val="bottom"/>
          </w:tcPr>
          <w:p>
            <w:pPr>
              <w:jc w:val="center"/>
              <w:ind w:left="60"/>
              <w:spacing w:after="0"/>
              <w:rPr>
                <w:sz w:val="20"/>
                <w:szCs w:val="20"/>
                <w:color w:val="auto"/>
              </w:rPr>
            </w:pPr>
            <w:r>
              <w:rPr>
                <w:rFonts w:ascii="Arial" w:cs="Arial" w:eastAsia="Arial" w:hAnsi="Arial"/>
                <w:sz w:val="16"/>
                <w:szCs w:val="16"/>
                <w:color w:val="auto"/>
              </w:rPr>
              <w:t>4/1/2021</w:t>
            </w:r>
          </w:p>
        </w:tc>
        <w:tc>
          <w:tcPr>
            <w:tcW w:w="1300" w:type="dxa"/>
            <w:vAlign w:val="bottom"/>
          </w:tcPr>
          <w:p>
            <w:pPr>
              <w:jc w:val="center"/>
              <w:spacing w:after="0"/>
              <w:rPr>
                <w:sz w:val="20"/>
                <w:szCs w:val="20"/>
                <w:color w:val="auto"/>
              </w:rPr>
            </w:pPr>
            <w:r>
              <w:rPr>
                <w:rFonts w:ascii="Arial" w:cs="Arial" w:eastAsia="Arial" w:hAnsi="Arial"/>
                <w:sz w:val="16"/>
                <w:szCs w:val="16"/>
                <w:color w:val="auto"/>
                <w:w w:val="99"/>
              </w:rPr>
              <w:t>3/3/2021</w:t>
            </w:r>
          </w:p>
        </w:tc>
        <w:tc>
          <w:tcPr>
            <w:tcW w:w="9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00" w:type="dxa"/>
            <w:vAlign w:val="bottom"/>
          </w:tcPr>
          <w:p>
            <w:pPr>
              <w:jc w:val="center"/>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360"/>
              <w:spacing w:after="0"/>
              <w:rPr>
                <w:sz w:val="20"/>
                <w:szCs w:val="20"/>
                <w:color w:val="auto"/>
              </w:rPr>
            </w:pPr>
            <w:r>
              <w:rPr>
                <w:rFonts w:ascii="Arial" w:cs="Arial" w:eastAsia="Arial" w:hAnsi="Arial"/>
                <w:sz w:val="16"/>
                <w:szCs w:val="16"/>
                <w:color w:val="auto"/>
              </w:rPr>
              <w:t>—</w:t>
            </w:r>
          </w:p>
        </w:tc>
        <w:tc>
          <w:tcPr>
            <w:tcW w:w="1020" w:type="dxa"/>
            <w:vAlign w:val="bottom"/>
          </w:tcPr>
          <w:p>
            <w:pPr>
              <w:ind w:left="200"/>
              <w:spacing w:after="0"/>
              <w:rPr>
                <w:sz w:val="20"/>
                <w:szCs w:val="20"/>
                <w:color w:val="auto"/>
              </w:rPr>
            </w:pPr>
            <w:r>
              <w:rPr>
                <w:rFonts w:ascii="Arial" w:cs="Arial" w:eastAsia="Arial" w:hAnsi="Arial"/>
                <w:sz w:val="16"/>
                <w:szCs w:val="16"/>
                <w:color w:val="auto"/>
              </w:rPr>
              <w:t>116,804</w:t>
            </w:r>
          </w:p>
        </w:tc>
        <w:tc>
          <w:tcPr>
            <w:tcW w:w="1320" w:type="dxa"/>
            <w:vAlign w:val="bottom"/>
          </w:tcPr>
          <w:p>
            <w:pPr>
              <w:ind w:left="280"/>
              <w:spacing w:after="0"/>
              <w:rPr>
                <w:sz w:val="20"/>
                <w:szCs w:val="20"/>
                <w:color w:val="auto"/>
              </w:rPr>
            </w:pPr>
            <w:r>
              <w:rPr>
                <w:rFonts w:ascii="Arial" w:cs="Arial" w:eastAsia="Arial" w:hAnsi="Arial"/>
                <w:sz w:val="16"/>
                <w:szCs w:val="16"/>
                <w:color w:val="auto"/>
              </w:rPr>
              <w:t>3,113,995</w:t>
            </w:r>
          </w:p>
        </w:tc>
      </w:tr>
    </w:tbl>
    <w:p>
      <w:pPr>
        <w:spacing w:after="0" w:line="155" w:lineRule="exact"/>
        <w:rPr>
          <w:sz w:val="20"/>
          <w:szCs w:val="20"/>
          <w:color w:val="auto"/>
        </w:rPr>
      </w:pPr>
    </w:p>
    <w:p>
      <w:pPr>
        <w:ind w:left="960" w:right="940" w:hanging="244"/>
        <w:spacing w:after="0"/>
        <w:tabs>
          <w:tab w:leader="none" w:pos="960" w:val="left"/>
        </w:tabs>
        <w:numPr>
          <w:ilvl w:val="0"/>
          <w:numId w:val="73"/>
        </w:numPr>
        <w:rPr>
          <w:rFonts w:ascii="Arial" w:cs="Arial" w:eastAsia="Arial" w:hAnsi="Arial"/>
          <w:sz w:val="22"/>
          <w:szCs w:val="22"/>
          <w:color w:val="auto"/>
          <w:vertAlign w:val="superscript"/>
        </w:rPr>
      </w:pPr>
      <w:r>
        <w:rPr>
          <w:rFonts w:ascii="Arial" w:cs="Arial" w:eastAsia="Arial" w:hAnsi="Arial"/>
          <w:sz w:val="14"/>
          <w:szCs w:val="14"/>
          <w:color w:val="auto"/>
        </w:rPr>
        <w:t>Each of these grants was made pursuant to our 2021 Cash Bonus Plan, as described in greater detail under “</w:t>
      </w:r>
      <w:r>
        <w:rPr>
          <w:rFonts w:ascii="Arial" w:cs="Arial" w:eastAsia="Arial" w:hAnsi="Arial"/>
          <w:sz w:val="14"/>
          <w:szCs w:val="14"/>
          <w:i w:val="1"/>
          <w:iCs w:val="1"/>
          <w:color w:val="auto"/>
        </w:rPr>
        <w:t>Compensation Elements—Annual</w:t>
      </w:r>
      <w:r>
        <w:rPr>
          <w:rFonts w:ascii="Arial" w:cs="Arial" w:eastAsia="Arial" w:hAnsi="Arial"/>
          <w:sz w:val="14"/>
          <w:szCs w:val="14"/>
          <w:color w:val="auto"/>
        </w:rPr>
        <w:t xml:space="preserve"> </w:t>
      </w:r>
      <w:r>
        <w:rPr>
          <w:rFonts w:ascii="Arial" w:cs="Arial" w:eastAsia="Arial" w:hAnsi="Arial"/>
          <w:sz w:val="14"/>
          <w:szCs w:val="14"/>
          <w:i w:val="1"/>
          <w:iCs w:val="1"/>
          <w:color w:val="auto"/>
        </w:rPr>
        <w:t>Cash Bonuses</w:t>
      </w:r>
      <w:r>
        <w:rPr>
          <w:rFonts w:ascii="Arial" w:cs="Arial" w:eastAsia="Arial" w:hAnsi="Arial"/>
          <w:sz w:val="14"/>
          <w:szCs w:val="14"/>
          <w:color w:val="auto"/>
        </w:rPr>
        <w:t>” above. Ms. Nottebohm resigned from the company in February 2021 and therefore did not receive any plan-based awards in</w:t>
      </w:r>
      <w:r>
        <w:rPr>
          <w:rFonts w:ascii="Arial" w:cs="Arial" w:eastAsia="Arial" w:hAnsi="Arial"/>
          <w:sz w:val="14"/>
          <w:szCs w:val="14"/>
          <w:i w:val="1"/>
          <w:iCs w:val="1"/>
          <w:color w:val="auto"/>
        </w:rPr>
        <w:t xml:space="preserve"> </w:t>
      </w:r>
      <w:r>
        <w:rPr>
          <w:rFonts w:ascii="Arial" w:cs="Arial" w:eastAsia="Arial" w:hAnsi="Arial"/>
          <w:sz w:val="14"/>
          <w:szCs w:val="14"/>
          <w:color w:val="auto"/>
        </w:rPr>
        <w:t>2021.</w:t>
      </w:r>
    </w:p>
    <w:p>
      <w:pPr>
        <w:spacing w:after="0" w:line="99" w:lineRule="exact"/>
        <w:rPr>
          <w:rFonts w:ascii="Arial" w:cs="Arial" w:eastAsia="Arial" w:hAnsi="Arial"/>
          <w:sz w:val="22"/>
          <w:szCs w:val="22"/>
          <w:color w:val="auto"/>
          <w:vertAlign w:val="superscript"/>
        </w:rPr>
      </w:pPr>
    </w:p>
    <w:p>
      <w:pPr>
        <w:ind w:left="960" w:right="940" w:hanging="244"/>
        <w:spacing w:after="0" w:line="195" w:lineRule="auto"/>
        <w:tabs>
          <w:tab w:leader="none" w:pos="960" w:val="left"/>
        </w:tabs>
        <w:numPr>
          <w:ilvl w:val="0"/>
          <w:numId w:val="73"/>
        </w:numPr>
        <w:rPr>
          <w:rFonts w:ascii="Arial" w:cs="Arial" w:eastAsia="Arial" w:hAnsi="Arial"/>
          <w:sz w:val="22"/>
          <w:szCs w:val="22"/>
          <w:color w:val="auto"/>
          <w:vertAlign w:val="superscript"/>
        </w:rPr>
      </w:pPr>
      <w:r>
        <w:rPr>
          <w:rFonts w:ascii="Arial" w:cs="Arial" w:eastAsia="Arial" w:hAnsi="Arial"/>
          <w:sz w:val="14"/>
          <w:szCs w:val="14"/>
          <w:color w:val="auto"/>
        </w:rPr>
        <w:t>Each of these grants was made pursuant to our 2021 Cash Bonus Plan, as described in greater detail under “</w:t>
      </w:r>
      <w:r>
        <w:rPr>
          <w:rFonts w:ascii="Arial" w:cs="Arial" w:eastAsia="Arial" w:hAnsi="Arial"/>
          <w:sz w:val="14"/>
          <w:szCs w:val="14"/>
          <w:i w:val="1"/>
          <w:iCs w:val="1"/>
          <w:color w:val="auto"/>
        </w:rPr>
        <w:t>Compensation Elements—Annual</w:t>
      </w:r>
      <w:r>
        <w:rPr>
          <w:rFonts w:ascii="Arial" w:cs="Arial" w:eastAsia="Arial" w:hAnsi="Arial"/>
          <w:sz w:val="14"/>
          <w:szCs w:val="14"/>
          <w:color w:val="auto"/>
        </w:rPr>
        <w:t xml:space="preserve"> </w:t>
      </w:r>
      <w:r>
        <w:rPr>
          <w:rFonts w:ascii="Arial" w:cs="Arial" w:eastAsia="Arial" w:hAnsi="Arial"/>
          <w:sz w:val="14"/>
          <w:szCs w:val="14"/>
          <w:i w:val="1"/>
          <w:iCs w:val="1"/>
          <w:color w:val="auto"/>
        </w:rPr>
        <w:t>Cash Bonuses</w:t>
      </w:r>
      <w:r>
        <w:rPr>
          <w:rFonts w:ascii="Arial" w:cs="Arial" w:eastAsia="Arial" w:hAnsi="Arial"/>
          <w:sz w:val="14"/>
          <w:szCs w:val="14"/>
          <w:color w:val="auto"/>
        </w:rPr>
        <w:t>” above.</w:t>
      </w:r>
    </w:p>
    <w:p>
      <w:pPr>
        <w:spacing w:after="0" w:line="1" w:lineRule="exact"/>
        <w:rPr>
          <w:rFonts w:ascii="Arial" w:cs="Arial" w:eastAsia="Arial" w:hAnsi="Arial"/>
          <w:sz w:val="22"/>
          <w:szCs w:val="22"/>
          <w:color w:val="auto"/>
          <w:vertAlign w:val="superscript"/>
        </w:rPr>
      </w:pPr>
    </w:p>
    <w:p>
      <w:pPr>
        <w:ind w:left="960" w:right="880" w:hanging="244"/>
        <w:spacing w:after="0" w:line="196" w:lineRule="auto"/>
        <w:tabs>
          <w:tab w:leader="none" w:pos="960" w:val="left"/>
        </w:tabs>
        <w:numPr>
          <w:ilvl w:val="0"/>
          <w:numId w:val="73"/>
        </w:numPr>
        <w:rPr>
          <w:rFonts w:ascii="Arial" w:cs="Arial" w:eastAsia="Arial" w:hAnsi="Arial"/>
          <w:sz w:val="22"/>
          <w:szCs w:val="22"/>
          <w:color w:val="auto"/>
          <w:vertAlign w:val="superscript"/>
        </w:rPr>
      </w:pPr>
      <w:r>
        <w:rPr>
          <w:rFonts w:ascii="Arial" w:cs="Arial" w:eastAsia="Arial" w:hAnsi="Arial"/>
          <w:sz w:val="14"/>
          <w:szCs w:val="14"/>
          <w:color w:val="auto"/>
        </w:rPr>
        <w:t>Amounts reported represent the aggregate grant-date fair value of the RSAs based on the closing price for a share of our Class A common stock as reported by Nasdaq on the day immediately preceding the grant date, calculated in accordance with ASC Topic 718.</w:t>
      </w:r>
    </w:p>
    <w:p>
      <w:pPr>
        <w:spacing w:after="0" w:line="188"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49</w:t>
            </w:r>
          </w:p>
        </w:tc>
      </w:tr>
      <w:tr>
        <w:trPr>
          <w:trHeight w:val="171"/>
        </w:trPr>
        <w:tc>
          <w:tcPr>
            <w:tcW w:w="99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53" w:name="page54"/>
    <w:bookmarkEnd w:id="53"/>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384" w:lineRule="exact"/>
        <w:rPr>
          <w:sz w:val="20"/>
          <w:szCs w:val="20"/>
          <w:color w:val="auto"/>
        </w:rPr>
      </w:pPr>
    </w:p>
    <w:p>
      <w:pPr>
        <w:ind w:left="4"/>
        <w:spacing w:after="0"/>
        <w:rPr>
          <w:sz w:val="20"/>
          <w:szCs w:val="20"/>
          <w:color w:val="auto"/>
        </w:rPr>
      </w:pPr>
      <w:r>
        <w:rPr>
          <w:rFonts w:ascii="Arial" w:cs="Arial" w:eastAsia="Arial" w:hAnsi="Arial"/>
          <w:sz w:val="26"/>
          <w:szCs w:val="26"/>
          <w:color w:val="0063A6"/>
        </w:rPr>
        <w:t>Outstanding Equity Awards at 2021 Year-End</w:t>
      </w:r>
    </w:p>
    <w:p>
      <w:pPr>
        <w:spacing w:after="0" w:line="179" w:lineRule="exact"/>
        <w:rPr>
          <w:sz w:val="20"/>
          <w:szCs w:val="20"/>
          <w:color w:val="auto"/>
        </w:rPr>
      </w:pPr>
    </w:p>
    <w:p>
      <w:pPr>
        <w:ind w:left="4" w:right="920"/>
        <w:spacing w:after="0" w:line="286" w:lineRule="auto"/>
        <w:rPr>
          <w:sz w:val="20"/>
          <w:szCs w:val="20"/>
          <w:color w:val="auto"/>
        </w:rPr>
      </w:pPr>
      <w:r>
        <w:rPr>
          <w:rFonts w:ascii="Arial" w:cs="Arial" w:eastAsia="Arial" w:hAnsi="Arial"/>
          <w:sz w:val="16"/>
          <w:szCs w:val="16"/>
          <w:color w:val="auto"/>
        </w:rPr>
        <w:t>The following table sets forth information regarding outstanding equity awards held by our named executive officers as of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13335</wp:posOffset>
            </wp:positionV>
            <wp:extent cx="6077585" cy="337756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6077585" cy="3377565"/>
                    </a:xfrm>
                    <a:prstGeom prst="rect">
                      <a:avLst/>
                    </a:prstGeom>
                    <a:noFill/>
                  </pic:spPr>
                </pic:pic>
              </a:graphicData>
            </a:graphic>
          </wp:anchor>
        </w:drawing>
      </w:r>
    </w:p>
    <w:p>
      <w:pPr>
        <w:spacing w:after="0" w:line="1" w:lineRule="exact"/>
        <w:rPr>
          <w:sz w:val="20"/>
          <w:szCs w:val="20"/>
          <w:color w:val="auto"/>
        </w:rPr>
      </w:pPr>
    </w:p>
    <w:tbl>
      <w:tblPr>
        <w:tblLayout w:type="fixed"/>
        <w:tblInd w:w="4" w:type="dxa"/>
        <w:tblCellMar>
          <w:top w:w="0" w:type="dxa"/>
          <w:left w:w="0" w:type="dxa"/>
          <w:bottom w:w="0" w:type="dxa"/>
          <w:right w:w="0" w:type="dxa"/>
        </w:tblCellMar>
      </w:tblPr>
      <w:tr>
        <w:trPr>
          <w:trHeight w:val="295"/>
        </w:trPr>
        <w:tc>
          <w:tcPr>
            <w:tcW w:w="1860" w:type="dxa"/>
            <w:vAlign w:val="bottom"/>
            <w:shd w:val="clear" w:color="auto" w:fill="0063A6"/>
          </w:tcPr>
          <w:p>
            <w:pPr>
              <w:spacing w:after="0"/>
              <w:rPr>
                <w:sz w:val="24"/>
                <w:szCs w:val="24"/>
                <w:color w:val="auto"/>
              </w:rPr>
            </w:pPr>
          </w:p>
        </w:tc>
        <w:tc>
          <w:tcPr>
            <w:tcW w:w="1330" w:type="dxa"/>
            <w:vAlign w:val="bottom"/>
            <w:shd w:val="clear" w:color="auto" w:fill="0063A6"/>
          </w:tcPr>
          <w:p>
            <w:pPr>
              <w:spacing w:after="0"/>
              <w:rPr>
                <w:sz w:val="24"/>
                <w:szCs w:val="24"/>
                <w:color w:val="auto"/>
              </w:rPr>
            </w:pPr>
          </w:p>
        </w:tc>
        <w:tc>
          <w:tcPr>
            <w:tcW w:w="2210" w:type="dxa"/>
            <w:vAlign w:val="bottom"/>
            <w:gridSpan w:val="2"/>
            <w:shd w:val="clear" w:color="auto" w:fill="0063A6"/>
          </w:tcPr>
          <w:p>
            <w:pPr>
              <w:ind w:left="590"/>
              <w:spacing w:after="0"/>
              <w:rPr>
                <w:sz w:val="20"/>
                <w:szCs w:val="20"/>
                <w:color w:val="auto"/>
              </w:rPr>
            </w:pPr>
            <w:r>
              <w:rPr>
                <w:rFonts w:ascii="Arial" w:cs="Arial" w:eastAsia="Arial" w:hAnsi="Arial"/>
                <w:sz w:val="14"/>
                <w:szCs w:val="14"/>
                <w:b w:val="1"/>
                <w:bCs w:val="1"/>
                <w:color w:val="FFFFFF"/>
              </w:rPr>
              <w:t>Option awards</w:t>
            </w:r>
          </w:p>
        </w:tc>
        <w:tc>
          <w:tcPr>
            <w:tcW w:w="800" w:type="dxa"/>
            <w:vAlign w:val="bottom"/>
            <w:shd w:val="clear" w:color="auto" w:fill="0063A6"/>
          </w:tcPr>
          <w:p>
            <w:pPr>
              <w:spacing w:after="0"/>
              <w:rPr>
                <w:sz w:val="24"/>
                <w:szCs w:val="24"/>
                <w:color w:val="auto"/>
              </w:rPr>
            </w:pPr>
          </w:p>
        </w:tc>
        <w:tc>
          <w:tcPr>
            <w:tcW w:w="940" w:type="dxa"/>
            <w:vAlign w:val="bottom"/>
            <w:shd w:val="clear" w:color="auto" w:fill="0063A6"/>
          </w:tcPr>
          <w:p>
            <w:pPr>
              <w:spacing w:after="0"/>
              <w:rPr>
                <w:sz w:val="24"/>
                <w:szCs w:val="24"/>
                <w:color w:val="auto"/>
              </w:rPr>
            </w:pPr>
          </w:p>
        </w:tc>
        <w:tc>
          <w:tcPr>
            <w:tcW w:w="2420" w:type="dxa"/>
            <w:vAlign w:val="bottom"/>
            <w:gridSpan w:val="2"/>
            <w:shd w:val="clear" w:color="auto" w:fill="0063A6"/>
          </w:tcPr>
          <w:p>
            <w:pPr>
              <w:jc w:val="right"/>
              <w:ind w:right="682"/>
              <w:spacing w:after="0"/>
              <w:rPr>
                <w:sz w:val="20"/>
                <w:szCs w:val="20"/>
                <w:color w:val="auto"/>
              </w:rPr>
            </w:pPr>
            <w:r>
              <w:rPr>
                <w:rFonts w:ascii="Arial" w:cs="Arial" w:eastAsia="Arial" w:hAnsi="Arial"/>
                <w:sz w:val="14"/>
                <w:szCs w:val="14"/>
                <w:b w:val="1"/>
                <w:bCs w:val="1"/>
                <w:color w:val="FFFFFF"/>
              </w:rPr>
              <w:t>Stock Awards</w:t>
            </w:r>
          </w:p>
        </w:tc>
        <w:tc>
          <w:tcPr>
            <w:tcW w:w="0" w:type="dxa"/>
            <w:vAlign w:val="bottom"/>
          </w:tcPr>
          <w:p>
            <w:pPr>
              <w:spacing w:after="0"/>
              <w:rPr>
                <w:sz w:val="1"/>
                <w:szCs w:val="1"/>
                <w:color w:val="auto"/>
              </w:rPr>
            </w:pPr>
          </w:p>
        </w:tc>
      </w:tr>
      <w:tr>
        <w:trPr>
          <w:trHeight w:val="290"/>
        </w:trPr>
        <w:tc>
          <w:tcPr>
            <w:tcW w:w="1860" w:type="dxa"/>
            <w:vAlign w:val="bottom"/>
            <w:shd w:val="clear" w:color="auto" w:fill="0063A6"/>
          </w:tcPr>
          <w:p>
            <w:pPr>
              <w:spacing w:after="0"/>
              <w:rPr>
                <w:sz w:val="24"/>
                <w:szCs w:val="24"/>
                <w:color w:val="auto"/>
              </w:rPr>
            </w:pPr>
          </w:p>
        </w:tc>
        <w:tc>
          <w:tcPr>
            <w:tcW w:w="1330" w:type="dxa"/>
            <w:vAlign w:val="bottom"/>
            <w:shd w:val="clear" w:color="auto" w:fill="0063A6"/>
          </w:tcPr>
          <w:p>
            <w:pPr>
              <w:spacing w:after="0"/>
              <w:rPr>
                <w:sz w:val="24"/>
                <w:szCs w:val="24"/>
                <w:color w:val="auto"/>
              </w:rPr>
            </w:pPr>
          </w:p>
        </w:tc>
        <w:tc>
          <w:tcPr>
            <w:tcW w:w="1030" w:type="dxa"/>
            <w:vAlign w:val="bottom"/>
            <w:shd w:val="clear" w:color="auto" w:fill="0063A6"/>
          </w:tcPr>
          <w:p>
            <w:pPr>
              <w:jc w:val="center"/>
              <w:ind w:right="13"/>
              <w:spacing w:after="0"/>
              <w:rPr>
                <w:sz w:val="20"/>
                <w:szCs w:val="20"/>
                <w:color w:val="auto"/>
              </w:rPr>
            </w:pPr>
            <w:r>
              <w:rPr>
                <w:rFonts w:ascii="Arial" w:cs="Arial" w:eastAsia="Arial" w:hAnsi="Arial"/>
                <w:sz w:val="14"/>
                <w:szCs w:val="14"/>
                <w:b w:val="1"/>
                <w:bCs w:val="1"/>
                <w:color w:val="FFFFFF"/>
              </w:rPr>
              <w:t>Number of</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Number of</w:t>
            </w:r>
          </w:p>
        </w:tc>
        <w:tc>
          <w:tcPr>
            <w:tcW w:w="800" w:type="dxa"/>
            <w:vAlign w:val="bottom"/>
            <w:shd w:val="clear" w:color="auto" w:fill="0063A6"/>
          </w:tcPr>
          <w:p>
            <w:pPr>
              <w:spacing w:after="0"/>
              <w:rPr>
                <w:sz w:val="24"/>
                <w:szCs w:val="24"/>
                <w:color w:val="auto"/>
              </w:rPr>
            </w:pPr>
          </w:p>
        </w:tc>
        <w:tc>
          <w:tcPr>
            <w:tcW w:w="940" w:type="dxa"/>
            <w:vAlign w:val="bottom"/>
            <w:shd w:val="clear" w:color="auto" w:fill="0063A6"/>
          </w:tcPr>
          <w:p>
            <w:pPr>
              <w:spacing w:after="0"/>
              <w:rPr>
                <w:sz w:val="24"/>
                <w:szCs w:val="24"/>
                <w:color w:val="auto"/>
              </w:rPr>
            </w:pPr>
          </w:p>
        </w:tc>
        <w:tc>
          <w:tcPr>
            <w:tcW w:w="1240" w:type="dxa"/>
            <w:vAlign w:val="bottom"/>
            <w:shd w:val="clear" w:color="auto" w:fill="0063A6"/>
          </w:tcPr>
          <w:p>
            <w:pPr>
              <w:spacing w:after="0"/>
              <w:rPr>
                <w:sz w:val="24"/>
                <w:szCs w:val="24"/>
                <w:color w:val="auto"/>
              </w:rPr>
            </w:pPr>
          </w:p>
        </w:tc>
        <w:tc>
          <w:tcPr>
            <w:tcW w:w="1180" w:type="dxa"/>
            <w:vAlign w:val="bottom"/>
            <w:shd w:val="clear" w:color="auto" w:fill="0063A6"/>
          </w:tcPr>
          <w:p>
            <w:pPr>
              <w:spacing w:after="0"/>
              <w:rPr>
                <w:sz w:val="24"/>
                <w:szCs w:val="24"/>
                <w:color w:val="auto"/>
              </w:rPr>
            </w:pPr>
          </w:p>
        </w:tc>
        <w:tc>
          <w:tcPr>
            <w:tcW w:w="0" w:type="dxa"/>
            <w:vAlign w:val="bottom"/>
          </w:tcPr>
          <w:p>
            <w:pPr>
              <w:spacing w:after="0"/>
              <w:rPr>
                <w:sz w:val="1"/>
                <w:szCs w:val="1"/>
                <w:color w:val="auto"/>
              </w:rPr>
            </w:pPr>
          </w:p>
        </w:tc>
      </w:tr>
      <w:tr>
        <w:trPr>
          <w:trHeight w:val="162"/>
        </w:trPr>
        <w:tc>
          <w:tcPr>
            <w:tcW w:w="1860" w:type="dxa"/>
            <w:vAlign w:val="bottom"/>
            <w:shd w:val="clear" w:color="auto" w:fill="0063A6"/>
          </w:tcPr>
          <w:p>
            <w:pPr>
              <w:spacing w:after="0"/>
              <w:rPr>
                <w:sz w:val="14"/>
                <w:szCs w:val="14"/>
                <w:color w:val="auto"/>
              </w:rPr>
            </w:pPr>
          </w:p>
        </w:tc>
        <w:tc>
          <w:tcPr>
            <w:tcW w:w="1330" w:type="dxa"/>
            <w:vAlign w:val="bottom"/>
            <w:shd w:val="clear" w:color="auto" w:fill="0063A6"/>
          </w:tcPr>
          <w:p>
            <w:pPr>
              <w:spacing w:after="0"/>
              <w:rPr>
                <w:sz w:val="14"/>
                <w:szCs w:val="14"/>
                <w:color w:val="auto"/>
              </w:rPr>
            </w:pPr>
          </w:p>
        </w:tc>
        <w:tc>
          <w:tcPr>
            <w:tcW w:w="1030" w:type="dxa"/>
            <w:vAlign w:val="bottom"/>
            <w:shd w:val="clear" w:color="auto" w:fill="0063A6"/>
          </w:tcPr>
          <w:p>
            <w:pPr>
              <w:jc w:val="center"/>
              <w:ind w:right="13"/>
              <w:spacing w:after="0"/>
              <w:rPr>
                <w:sz w:val="20"/>
                <w:szCs w:val="20"/>
                <w:color w:val="auto"/>
              </w:rPr>
            </w:pPr>
            <w:r>
              <w:rPr>
                <w:rFonts w:ascii="Arial" w:cs="Arial" w:eastAsia="Arial" w:hAnsi="Arial"/>
                <w:sz w:val="14"/>
                <w:szCs w:val="14"/>
                <w:b w:val="1"/>
                <w:bCs w:val="1"/>
                <w:color w:val="FFFFFF"/>
              </w:rPr>
              <w:t>Securities</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Securities</w:t>
            </w:r>
          </w:p>
        </w:tc>
        <w:tc>
          <w:tcPr>
            <w:tcW w:w="800" w:type="dxa"/>
            <w:vAlign w:val="bottom"/>
            <w:shd w:val="clear" w:color="auto" w:fill="0063A6"/>
          </w:tcPr>
          <w:p>
            <w:pPr>
              <w:spacing w:after="0"/>
              <w:rPr>
                <w:sz w:val="14"/>
                <w:szCs w:val="14"/>
                <w:color w:val="auto"/>
              </w:rPr>
            </w:pPr>
          </w:p>
        </w:tc>
        <w:tc>
          <w:tcPr>
            <w:tcW w:w="940" w:type="dxa"/>
            <w:vAlign w:val="bottom"/>
            <w:shd w:val="clear" w:color="auto" w:fill="0063A6"/>
          </w:tcPr>
          <w:p>
            <w:pPr>
              <w:spacing w:after="0"/>
              <w:rPr>
                <w:sz w:val="14"/>
                <w:szCs w:val="14"/>
                <w:color w:val="auto"/>
              </w:rPr>
            </w:pPr>
          </w:p>
        </w:tc>
        <w:tc>
          <w:tcPr>
            <w:tcW w:w="124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Number of</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Market value</w:t>
            </w:r>
          </w:p>
        </w:tc>
        <w:tc>
          <w:tcPr>
            <w:tcW w:w="0" w:type="dxa"/>
            <w:vAlign w:val="bottom"/>
          </w:tcPr>
          <w:p>
            <w:pPr>
              <w:spacing w:after="0"/>
              <w:rPr>
                <w:sz w:val="1"/>
                <w:szCs w:val="1"/>
                <w:color w:val="auto"/>
              </w:rPr>
            </w:pPr>
          </w:p>
        </w:tc>
      </w:tr>
      <w:tr>
        <w:trPr>
          <w:trHeight w:val="162"/>
        </w:trPr>
        <w:tc>
          <w:tcPr>
            <w:tcW w:w="1860" w:type="dxa"/>
            <w:vAlign w:val="bottom"/>
            <w:shd w:val="clear" w:color="auto" w:fill="0063A6"/>
          </w:tcPr>
          <w:p>
            <w:pPr>
              <w:spacing w:after="0"/>
              <w:rPr>
                <w:sz w:val="14"/>
                <w:szCs w:val="14"/>
                <w:color w:val="auto"/>
              </w:rPr>
            </w:pPr>
          </w:p>
        </w:tc>
        <w:tc>
          <w:tcPr>
            <w:tcW w:w="1330" w:type="dxa"/>
            <w:vAlign w:val="bottom"/>
            <w:shd w:val="clear" w:color="auto" w:fill="0063A6"/>
          </w:tcPr>
          <w:p>
            <w:pPr>
              <w:spacing w:after="0"/>
              <w:rPr>
                <w:sz w:val="14"/>
                <w:szCs w:val="14"/>
                <w:color w:val="auto"/>
              </w:rPr>
            </w:pPr>
          </w:p>
        </w:tc>
        <w:tc>
          <w:tcPr>
            <w:tcW w:w="1030" w:type="dxa"/>
            <w:vAlign w:val="bottom"/>
            <w:shd w:val="clear" w:color="auto" w:fill="0063A6"/>
          </w:tcPr>
          <w:p>
            <w:pPr>
              <w:jc w:val="center"/>
              <w:ind w:right="13"/>
              <w:spacing w:after="0"/>
              <w:rPr>
                <w:sz w:val="20"/>
                <w:szCs w:val="20"/>
                <w:color w:val="auto"/>
              </w:rPr>
            </w:pPr>
            <w:r>
              <w:rPr>
                <w:rFonts w:ascii="Arial" w:cs="Arial" w:eastAsia="Arial" w:hAnsi="Arial"/>
                <w:sz w:val="14"/>
                <w:szCs w:val="14"/>
                <w:b w:val="1"/>
                <w:bCs w:val="1"/>
                <w:color w:val="FFFFFF"/>
              </w:rPr>
              <w:t>Underlying</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Underlying</w:t>
            </w:r>
          </w:p>
        </w:tc>
        <w:tc>
          <w:tcPr>
            <w:tcW w:w="800" w:type="dxa"/>
            <w:vAlign w:val="bottom"/>
            <w:shd w:val="clear" w:color="auto" w:fill="0063A6"/>
          </w:tcPr>
          <w:p>
            <w:pPr>
              <w:spacing w:after="0"/>
              <w:rPr>
                <w:sz w:val="14"/>
                <w:szCs w:val="14"/>
                <w:color w:val="auto"/>
              </w:rPr>
            </w:pPr>
          </w:p>
        </w:tc>
        <w:tc>
          <w:tcPr>
            <w:tcW w:w="940" w:type="dxa"/>
            <w:vAlign w:val="bottom"/>
            <w:shd w:val="clear" w:color="auto" w:fill="0063A6"/>
          </w:tcPr>
          <w:p>
            <w:pPr>
              <w:spacing w:after="0"/>
              <w:rPr>
                <w:sz w:val="14"/>
                <w:szCs w:val="14"/>
                <w:color w:val="auto"/>
              </w:rPr>
            </w:pPr>
          </w:p>
        </w:tc>
        <w:tc>
          <w:tcPr>
            <w:tcW w:w="124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shares or</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of shares or</w:t>
            </w:r>
          </w:p>
        </w:tc>
        <w:tc>
          <w:tcPr>
            <w:tcW w:w="0" w:type="dxa"/>
            <w:vAlign w:val="bottom"/>
          </w:tcPr>
          <w:p>
            <w:pPr>
              <w:spacing w:after="0"/>
              <w:rPr>
                <w:sz w:val="1"/>
                <w:szCs w:val="1"/>
                <w:color w:val="auto"/>
              </w:rPr>
            </w:pPr>
          </w:p>
        </w:tc>
      </w:tr>
      <w:tr>
        <w:trPr>
          <w:trHeight w:val="162"/>
        </w:trPr>
        <w:tc>
          <w:tcPr>
            <w:tcW w:w="1860" w:type="dxa"/>
            <w:vAlign w:val="bottom"/>
            <w:shd w:val="clear" w:color="auto" w:fill="0063A6"/>
          </w:tcPr>
          <w:p>
            <w:pPr>
              <w:spacing w:after="0"/>
              <w:rPr>
                <w:sz w:val="14"/>
                <w:szCs w:val="14"/>
                <w:color w:val="auto"/>
              </w:rPr>
            </w:pPr>
          </w:p>
        </w:tc>
        <w:tc>
          <w:tcPr>
            <w:tcW w:w="1330" w:type="dxa"/>
            <w:vAlign w:val="bottom"/>
            <w:shd w:val="clear" w:color="auto" w:fill="0063A6"/>
          </w:tcPr>
          <w:p>
            <w:pPr>
              <w:spacing w:after="0"/>
              <w:rPr>
                <w:sz w:val="14"/>
                <w:szCs w:val="14"/>
                <w:color w:val="auto"/>
              </w:rPr>
            </w:pPr>
          </w:p>
        </w:tc>
        <w:tc>
          <w:tcPr>
            <w:tcW w:w="103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Unexercised</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Unexercised</w:t>
            </w:r>
          </w:p>
        </w:tc>
        <w:tc>
          <w:tcPr>
            <w:tcW w:w="8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Option</w:t>
            </w:r>
          </w:p>
        </w:tc>
        <w:tc>
          <w:tcPr>
            <w:tcW w:w="940" w:type="dxa"/>
            <w:vAlign w:val="bottom"/>
            <w:shd w:val="clear" w:color="auto" w:fill="0063A6"/>
          </w:tcPr>
          <w:p>
            <w:pPr>
              <w:jc w:val="center"/>
              <w:ind w:right="1"/>
              <w:spacing w:after="0"/>
              <w:rPr>
                <w:sz w:val="20"/>
                <w:szCs w:val="20"/>
                <w:color w:val="auto"/>
              </w:rPr>
            </w:pPr>
            <w:r>
              <w:rPr>
                <w:rFonts w:ascii="Arial" w:cs="Arial" w:eastAsia="Arial" w:hAnsi="Arial"/>
                <w:sz w:val="14"/>
                <w:szCs w:val="14"/>
                <w:b w:val="1"/>
                <w:bCs w:val="1"/>
                <w:color w:val="FFFFFF"/>
              </w:rPr>
              <w:t>Option</w:t>
            </w:r>
          </w:p>
        </w:tc>
        <w:tc>
          <w:tcPr>
            <w:tcW w:w="124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units of stock</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units of stock</w:t>
            </w:r>
          </w:p>
        </w:tc>
        <w:tc>
          <w:tcPr>
            <w:tcW w:w="0" w:type="dxa"/>
            <w:vAlign w:val="bottom"/>
          </w:tcPr>
          <w:p>
            <w:pPr>
              <w:spacing w:after="0"/>
              <w:rPr>
                <w:sz w:val="1"/>
                <w:szCs w:val="1"/>
                <w:color w:val="auto"/>
              </w:rPr>
            </w:pPr>
          </w:p>
        </w:tc>
      </w:tr>
      <w:tr>
        <w:trPr>
          <w:trHeight w:val="145"/>
        </w:trPr>
        <w:tc>
          <w:tcPr>
            <w:tcW w:w="1860" w:type="dxa"/>
            <w:vAlign w:val="bottom"/>
            <w:vMerge w:val="restart"/>
            <w:shd w:val="clear" w:color="auto" w:fill="0063A6"/>
          </w:tcPr>
          <w:p>
            <w:pPr>
              <w:ind w:left="640"/>
              <w:spacing w:after="0"/>
              <w:rPr>
                <w:sz w:val="20"/>
                <w:szCs w:val="20"/>
                <w:color w:val="auto"/>
              </w:rPr>
            </w:pPr>
            <w:r>
              <w:rPr>
                <w:rFonts w:ascii="Arial" w:cs="Arial" w:eastAsia="Arial" w:hAnsi="Arial"/>
                <w:sz w:val="14"/>
                <w:szCs w:val="14"/>
                <w:b w:val="1"/>
                <w:bCs w:val="1"/>
                <w:color w:val="FFFFFF"/>
              </w:rPr>
              <w:t>Name</w:t>
            </w:r>
            <w:r>
              <w:rPr>
                <w:rFonts w:ascii="Arial" w:cs="Arial" w:eastAsia="Arial" w:hAnsi="Arial"/>
                <w:sz w:val="23"/>
                <w:szCs w:val="23"/>
                <w:b w:val="1"/>
                <w:bCs w:val="1"/>
                <w:color w:val="FFFFFF"/>
                <w:vertAlign w:val="superscript"/>
              </w:rPr>
              <w:t>(1)</w:t>
            </w:r>
          </w:p>
        </w:tc>
        <w:tc>
          <w:tcPr>
            <w:tcW w:w="1330" w:type="dxa"/>
            <w:vAlign w:val="bottom"/>
            <w:shd w:val="clear" w:color="auto" w:fill="0063A6"/>
          </w:tcPr>
          <w:p>
            <w:pPr>
              <w:spacing w:after="0"/>
              <w:rPr>
                <w:sz w:val="12"/>
                <w:szCs w:val="12"/>
                <w:color w:val="auto"/>
              </w:rPr>
            </w:pPr>
          </w:p>
        </w:tc>
        <w:tc>
          <w:tcPr>
            <w:tcW w:w="1030" w:type="dxa"/>
            <w:vAlign w:val="bottom"/>
            <w:shd w:val="clear" w:color="auto" w:fill="0063A6"/>
          </w:tcPr>
          <w:p>
            <w:pPr>
              <w:jc w:val="center"/>
              <w:ind w:right="33"/>
              <w:spacing w:after="0" w:line="145" w:lineRule="exact"/>
              <w:rPr>
                <w:sz w:val="20"/>
                <w:szCs w:val="20"/>
                <w:color w:val="auto"/>
              </w:rPr>
            </w:pPr>
            <w:r>
              <w:rPr>
                <w:rFonts w:ascii="Arial" w:cs="Arial" w:eastAsia="Arial" w:hAnsi="Arial"/>
                <w:sz w:val="14"/>
                <w:szCs w:val="14"/>
                <w:b w:val="1"/>
                <w:bCs w:val="1"/>
                <w:color w:val="FFFFFF"/>
              </w:rPr>
              <w:t>Options</w:t>
            </w:r>
          </w:p>
        </w:tc>
        <w:tc>
          <w:tcPr>
            <w:tcW w:w="118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Options</w:t>
            </w:r>
          </w:p>
        </w:tc>
        <w:tc>
          <w:tcPr>
            <w:tcW w:w="80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Exercise</w:t>
            </w:r>
          </w:p>
        </w:tc>
        <w:tc>
          <w:tcPr>
            <w:tcW w:w="94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Expiration</w:t>
            </w:r>
          </w:p>
        </w:tc>
        <w:tc>
          <w:tcPr>
            <w:tcW w:w="124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that have not</w:t>
            </w:r>
          </w:p>
        </w:tc>
        <w:tc>
          <w:tcPr>
            <w:tcW w:w="118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that have not</w:t>
            </w:r>
          </w:p>
        </w:tc>
        <w:tc>
          <w:tcPr>
            <w:tcW w:w="0" w:type="dxa"/>
            <w:vAlign w:val="bottom"/>
          </w:tcPr>
          <w:p>
            <w:pPr>
              <w:spacing w:after="0"/>
              <w:rPr>
                <w:sz w:val="1"/>
                <w:szCs w:val="1"/>
                <w:color w:val="auto"/>
              </w:rPr>
            </w:pPr>
          </w:p>
        </w:tc>
      </w:tr>
      <w:tr>
        <w:trPr>
          <w:trHeight w:val="269"/>
        </w:trPr>
        <w:tc>
          <w:tcPr>
            <w:tcW w:w="1860" w:type="dxa"/>
            <w:vAlign w:val="bottom"/>
            <w:vMerge w:val="continue"/>
            <w:shd w:val="clear" w:color="auto" w:fill="0063A6"/>
          </w:tcPr>
          <w:p>
            <w:pPr>
              <w:spacing w:after="0"/>
              <w:rPr>
                <w:sz w:val="23"/>
                <w:szCs w:val="23"/>
                <w:color w:val="auto"/>
              </w:rPr>
            </w:pPr>
          </w:p>
        </w:tc>
        <w:tc>
          <w:tcPr>
            <w:tcW w:w="1330" w:type="dxa"/>
            <w:vAlign w:val="bottom"/>
            <w:shd w:val="clear" w:color="auto" w:fill="0063A6"/>
          </w:tcPr>
          <w:p>
            <w:pPr>
              <w:ind w:left="280"/>
              <w:spacing w:after="0"/>
              <w:rPr>
                <w:sz w:val="20"/>
                <w:szCs w:val="20"/>
                <w:color w:val="auto"/>
              </w:rPr>
            </w:pPr>
            <w:r>
              <w:rPr>
                <w:rFonts w:ascii="Arial" w:cs="Arial" w:eastAsia="Arial" w:hAnsi="Arial"/>
                <w:sz w:val="14"/>
                <w:szCs w:val="14"/>
                <w:b w:val="1"/>
                <w:bCs w:val="1"/>
                <w:color w:val="FFFFFF"/>
              </w:rPr>
              <w:t>Grant date</w:t>
            </w:r>
          </w:p>
        </w:tc>
        <w:tc>
          <w:tcPr>
            <w:tcW w:w="103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Exercisable</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Unexercisable</w:t>
            </w:r>
          </w:p>
        </w:tc>
        <w:tc>
          <w:tcPr>
            <w:tcW w:w="8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Price ($)</w:t>
            </w:r>
          </w:p>
        </w:tc>
        <w:tc>
          <w:tcPr>
            <w:tcW w:w="94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w w:val="98"/>
              </w:rPr>
              <w:t>Date</w:t>
            </w:r>
          </w:p>
        </w:tc>
        <w:tc>
          <w:tcPr>
            <w:tcW w:w="124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vested</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w w:val="97"/>
              </w:rPr>
              <w:t>vested ($)</w:t>
            </w:r>
            <w:r>
              <w:rPr>
                <w:rFonts w:ascii="Arial" w:cs="Arial" w:eastAsia="Arial" w:hAnsi="Arial"/>
                <w:sz w:val="23"/>
                <w:szCs w:val="23"/>
                <w:b w:val="1"/>
                <w:bCs w:val="1"/>
                <w:color w:val="FFFFFF"/>
                <w:w w:val="97"/>
                <w:vertAlign w:val="superscript"/>
              </w:rPr>
              <w:t>(2)</w:t>
            </w:r>
          </w:p>
        </w:tc>
        <w:tc>
          <w:tcPr>
            <w:tcW w:w="0" w:type="dxa"/>
            <w:vAlign w:val="bottom"/>
          </w:tcPr>
          <w:p>
            <w:pPr>
              <w:spacing w:after="0"/>
              <w:rPr>
                <w:sz w:val="1"/>
                <w:szCs w:val="1"/>
                <w:color w:val="auto"/>
              </w:rPr>
            </w:pPr>
          </w:p>
        </w:tc>
      </w:tr>
      <w:tr>
        <w:trPr>
          <w:trHeight w:val="338"/>
        </w:trPr>
        <w:tc>
          <w:tcPr>
            <w:tcW w:w="1860" w:type="dxa"/>
            <w:vAlign w:val="bottom"/>
            <w:shd w:val="clear" w:color="auto" w:fill="F2F2F2"/>
          </w:tcPr>
          <w:p>
            <w:pPr>
              <w:ind w:left="60"/>
              <w:spacing w:after="0"/>
              <w:rPr>
                <w:sz w:val="20"/>
                <w:szCs w:val="20"/>
                <w:color w:val="auto"/>
              </w:rPr>
            </w:pPr>
            <w:r>
              <w:rPr>
                <w:rFonts w:ascii="Arial" w:cs="Arial" w:eastAsia="Arial" w:hAnsi="Arial"/>
                <w:sz w:val="16"/>
                <w:szCs w:val="16"/>
                <w:color w:val="auto"/>
              </w:rPr>
              <w:t>Andrew W. Houston</w:t>
            </w:r>
          </w:p>
        </w:tc>
        <w:tc>
          <w:tcPr>
            <w:tcW w:w="1330" w:type="dxa"/>
            <w:vAlign w:val="bottom"/>
            <w:shd w:val="clear" w:color="auto" w:fill="F2F2F2"/>
          </w:tcPr>
          <w:p>
            <w:pPr>
              <w:jc w:val="right"/>
              <w:ind w:right="90"/>
              <w:spacing w:after="0"/>
              <w:rPr>
                <w:sz w:val="20"/>
                <w:szCs w:val="20"/>
                <w:color w:val="auto"/>
              </w:rPr>
            </w:pPr>
            <w:r>
              <w:rPr>
                <w:rFonts w:ascii="Arial" w:cs="Arial" w:eastAsia="Arial" w:hAnsi="Arial"/>
                <w:sz w:val="16"/>
                <w:szCs w:val="16"/>
                <w:color w:val="auto"/>
              </w:rPr>
              <w:t>12/12/17</w:t>
            </w:r>
            <w:r>
              <w:rPr>
                <w:rFonts w:ascii="Arial" w:cs="Arial" w:eastAsia="Arial" w:hAnsi="Arial"/>
                <w:sz w:val="26"/>
                <w:szCs w:val="26"/>
                <w:color w:val="auto"/>
                <w:vertAlign w:val="superscript"/>
              </w:rPr>
              <w:t>(3)</w:t>
            </w:r>
          </w:p>
        </w:tc>
        <w:tc>
          <w:tcPr>
            <w:tcW w:w="103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shd w:val="clear" w:color="auto" w:fill="F2F2F2"/>
          </w:tcPr>
          <w:p>
            <w:pPr>
              <w:jc w:val="right"/>
              <w:ind w:right="202"/>
              <w:spacing w:after="0"/>
              <w:rPr>
                <w:sz w:val="20"/>
                <w:szCs w:val="20"/>
                <w:color w:val="auto"/>
              </w:rPr>
            </w:pPr>
            <w:r>
              <w:rPr>
                <w:rFonts w:ascii="Arial" w:cs="Arial" w:eastAsia="Arial" w:hAnsi="Arial"/>
                <w:sz w:val="16"/>
                <w:szCs w:val="16"/>
                <w:color w:val="auto"/>
              </w:rPr>
              <w:t>8,266,666</w:t>
            </w:r>
          </w:p>
        </w:tc>
        <w:tc>
          <w:tcPr>
            <w:tcW w:w="1180" w:type="dxa"/>
            <w:vAlign w:val="bottom"/>
            <w:shd w:val="clear" w:color="auto" w:fill="F2F2F2"/>
          </w:tcPr>
          <w:p>
            <w:pPr>
              <w:jc w:val="right"/>
              <w:ind w:right="82"/>
              <w:spacing w:after="0"/>
              <w:rPr>
                <w:sz w:val="20"/>
                <w:szCs w:val="20"/>
                <w:color w:val="auto"/>
              </w:rPr>
            </w:pPr>
            <w:r>
              <w:rPr>
                <w:rFonts w:ascii="Arial" w:cs="Arial" w:eastAsia="Arial" w:hAnsi="Arial"/>
                <w:sz w:val="16"/>
                <w:szCs w:val="16"/>
                <w:color w:val="auto"/>
              </w:rPr>
              <w:t>202,863,984</w:t>
            </w:r>
          </w:p>
        </w:tc>
        <w:tc>
          <w:tcPr>
            <w:tcW w:w="0" w:type="dxa"/>
            <w:vAlign w:val="bottom"/>
          </w:tcPr>
          <w:p>
            <w:pPr>
              <w:spacing w:after="0"/>
              <w:rPr>
                <w:sz w:val="1"/>
                <w:szCs w:val="1"/>
                <w:color w:val="auto"/>
              </w:rPr>
            </w:pPr>
          </w:p>
        </w:tc>
      </w:tr>
      <w:tr>
        <w:trPr>
          <w:trHeight w:val="392"/>
        </w:trPr>
        <w:tc>
          <w:tcPr>
            <w:tcW w:w="1860" w:type="dxa"/>
            <w:vAlign w:val="bottom"/>
          </w:tcPr>
          <w:p>
            <w:pPr>
              <w:ind w:left="60"/>
              <w:spacing w:after="0"/>
              <w:rPr>
                <w:sz w:val="20"/>
                <w:szCs w:val="20"/>
                <w:color w:val="auto"/>
              </w:rPr>
            </w:pPr>
            <w:r>
              <w:rPr>
                <w:rFonts w:ascii="Arial" w:cs="Arial" w:eastAsia="Arial" w:hAnsi="Arial"/>
                <w:sz w:val="16"/>
                <w:szCs w:val="16"/>
                <w:color w:val="auto"/>
              </w:rPr>
              <w:t>Timothy Regan</w:t>
            </w:r>
          </w:p>
        </w:tc>
        <w:tc>
          <w:tcPr>
            <w:tcW w:w="1330" w:type="dxa"/>
            <w:vAlign w:val="bottom"/>
          </w:tcPr>
          <w:p>
            <w:pPr>
              <w:ind w:left="280"/>
              <w:spacing w:after="0"/>
              <w:rPr>
                <w:sz w:val="20"/>
                <w:szCs w:val="20"/>
                <w:color w:val="auto"/>
              </w:rPr>
            </w:pPr>
            <w:r>
              <w:rPr>
                <w:rFonts w:ascii="Arial" w:cs="Arial" w:eastAsia="Arial" w:hAnsi="Arial"/>
                <w:sz w:val="16"/>
                <w:szCs w:val="16"/>
                <w:color w:val="auto"/>
              </w:rPr>
              <w:t>2/22/2018</w:t>
            </w:r>
            <w:r>
              <w:rPr>
                <w:rFonts w:ascii="Arial" w:cs="Arial" w:eastAsia="Arial" w:hAnsi="Arial"/>
                <w:sz w:val="26"/>
                <w:szCs w:val="26"/>
                <w:color w:val="auto"/>
                <w:vertAlign w:val="superscript"/>
              </w:rPr>
              <w:t>(4)</w:t>
            </w:r>
          </w:p>
        </w:tc>
        <w:tc>
          <w:tcPr>
            <w:tcW w:w="103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tcPr>
          <w:p>
            <w:pPr>
              <w:jc w:val="right"/>
              <w:ind w:right="202"/>
              <w:spacing w:after="0"/>
              <w:rPr>
                <w:sz w:val="20"/>
                <w:szCs w:val="20"/>
                <w:color w:val="auto"/>
              </w:rPr>
            </w:pPr>
            <w:r>
              <w:rPr>
                <w:rFonts w:ascii="Arial" w:cs="Arial" w:eastAsia="Arial" w:hAnsi="Arial"/>
                <w:sz w:val="16"/>
                <w:szCs w:val="16"/>
                <w:color w:val="auto"/>
              </w:rPr>
              <w:t>3,148</w:t>
            </w:r>
          </w:p>
        </w:tc>
        <w:tc>
          <w:tcPr>
            <w:tcW w:w="1180" w:type="dxa"/>
            <w:vAlign w:val="bottom"/>
          </w:tcPr>
          <w:p>
            <w:pPr>
              <w:jc w:val="right"/>
              <w:ind w:right="82"/>
              <w:spacing w:after="0"/>
              <w:rPr>
                <w:sz w:val="20"/>
                <w:szCs w:val="20"/>
                <w:color w:val="auto"/>
              </w:rPr>
            </w:pPr>
            <w:r>
              <w:rPr>
                <w:rFonts w:ascii="Arial" w:cs="Arial" w:eastAsia="Arial" w:hAnsi="Arial"/>
                <w:sz w:val="16"/>
                <w:szCs w:val="16"/>
                <w:color w:val="auto"/>
              </w:rPr>
              <w:t>77,252</w:t>
            </w:r>
          </w:p>
        </w:tc>
        <w:tc>
          <w:tcPr>
            <w:tcW w:w="0" w:type="dxa"/>
            <w:vAlign w:val="bottom"/>
          </w:tcPr>
          <w:p>
            <w:pPr>
              <w:spacing w:after="0"/>
              <w:rPr>
                <w:sz w:val="1"/>
                <w:szCs w:val="1"/>
                <w:color w:val="auto"/>
              </w:rPr>
            </w:pPr>
          </w:p>
        </w:tc>
      </w:tr>
      <w:tr>
        <w:trPr>
          <w:trHeight w:val="351"/>
        </w:trPr>
        <w:tc>
          <w:tcPr>
            <w:tcW w:w="1860" w:type="dxa"/>
            <w:vAlign w:val="bottom"/>
          </w:tcPr>
          <w:p>
            <w:pPr>
              <w:spacing w:after="0"/>
              <w:rPr>
                <w:sz w:val="24"/>
                <w:szCs w:val="24"/>
                <w:color w:val="auto"/>
              </w:rPr>
            </w:pPr>
          </w:p>
        </w:tc>
        <w:tc>
          <w:tcPr>
            <w:tcW w:w="1330" w:type="dxa"/>
            <w:vAlign w:val="bottom"/>
          </w:tcPr>
          <w:p>
            <w:pPr>
              <w:jc w:val="right"/>
              <w:ind w:right="90"/>
              <w:spacing w:after="0"/>
              <w:rPr>
                <w:sz w:val="20"/>
                <w:szCs w:val="20"/>
                <w:color w:val="auto"/>
              </w:rPr>
            </w:pPr>
            <w:r>
              <w:rPr>
                <w:rFonts w:ascii="Arial" w:cs="Arial" w:eastAsia="Arial" w:hAnsi="Arial"/>
                <w:sz w:val="16"/>
                <w:szCs w:val="16"/>
                <w:color w:val="auto"/>
              </w:rPr>
              <w:t>4/1/2019</w:t>
            </w:r>
            <w:r>
              <w:rPr>
                <w:rFonts w:ascii="Arial" w:cs="Arial" w:eastAsia="Arial" w:hAnsi="Arial"/>
                <w:sz w:val="26"/>
                <w:szCs w:val="26"/>
                <w:color w:val="auto"/>
                <w:vertAlign w:val="superscript"/>
              </w:rPr>
              <w:t>(4)</w:t>
            </w:r>
          </w:p>
        </w:tc>
        <w:tc>
          <w:tcPr>
            <w:tcW w:w="103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tcPr>
          <w:p>
            <w:pPr>
              <w:jc w:val="right"/>
              <w:ind w:right="202"/>
              <w:spacing w:after="0"/>
              <w:rPr>
                <w:sz w:val="20"/>
                <w:szCs w:val="20"/>
                <w:color w:val="auto"/>
              </w:rPr>
            </w:pPr>
            <w:r>
              <w:rPr>
                <w:rFonts w:ascii="Arial" w:cs="Arial" w:eastAsia="Arial" w:hAnsi="Arial"/>
                <w:sz w:val="16"/>
                <w:szCs w:val="16"/>
                <w:color w:val="auto"/>
              </w:rPr>
              <w:t>15,329</w:t>
            </w:r>
          </w:p>
        </w:tc>
        <w:tc>
          <w:tcPr>
            <w:tcW w:w="1180" w:type="dxa"/>
            <w:vAlign w:val="bottom"/>
          </w:tcPr>
          <w:p>
            <w:pPr>
              <w:jc w:val="right"/>
              <w:ind w:right="82"/>
              <w:spacing w:after="0"/>
              <w:rPr>
                <w:sz w:val="20"/>
                <w:szCs w:val="20"/>
                <w:color w:val="auto"/>
              </w:rPr>
            </w:pPr>
            <w:r>
              <w:rPr>
                <w:rFonts w:ascii="Arial" w:cs="Arial" w:eastAsia="Arial" w:hAnsi="Arial"/>
                <w:sz w:val="16"/>
                <w:szCs w:val="16"/>
                <w:color w:val="auto"/>
              </w:rPr>
              <w:t>376,174</w:t>
            </w:r>
          </w:p>
        </w:tc>
        <w:tc>
          <w:tcPr>
            <w:tcW w:w="0" w:type="dxa"/>
            <w:vAlign w:val="bottom"/>
          </w:tcPr>
          <w:p>
            <w:pPr>
              <w:spacing w:after="0"/>
              <w:rPr>
                <w:sz w:val="1"/>
                <w:szCs w:val="1"/>
                <w:color w:val="auto"/>
              </w:rPr>
            </w:pPr>
          </w:p>
        </w:tc>
      </w:tr>
      <w:tr>
        <w:trPr>
          <w:trHeight w:val="351"/>
        </w:trPr>
        <w:tc>
          <w:tcPr>
            <w:tcW w:w="1860" w:type="dxa"/>
            <w:vAlign w:val="bottom"/>
          </w:tcPr>
          <w:p>
            <w:pPr>
              <w:spacing w:after="0"/>
              <w:rPr>
                <w:sz w:val="24"/>
                <w:szCs w:val="24"/>
                <w:color w:val="auto"/>
              </w:rPr>
            </w:pPr>
          </w:p>
        </w:tc>
        <w:tc>
          <w:tcPr>
            <w:tcW w:w="1330" w:type="dxa"/>
            <w:vAlign w:val="bottom"/>
          </w:tcPr>
          <w:p>
            <w:pPr>
              <w:jc w:val="right"/>
              <w:ind w:right="90"/>
              <w:spacing w:after="0"/>
              <w:rPr>
                <w:sz w:val="20"/>
                <w:szCs w:val="20"/>
                <w:color w:val="auto"/>
              </w:rPr>
            </w:pPr>
            <w:r>
              <w:rPr>
                <w:rFonts w:ascii="Arial" w:cs="Arial" w:eastAsia="Arial" w:hAnsi="Arial"/>
                <w:sz w:val="16"/>
                <w:szCs w:val="16"/>
                <w:color w:val="auto"/>
              </w:rPr>
              <w:t>4/1/2020</w:t>
            </w:r>
            <w:r>
              <w:rPr>
                <w:rFonts w:ascii="Arial" w:cs="Arial" w:eastAsia="Arial" w:hAnsi="Arial"/>
                <w:sz w:val="26"/>
                <w:szCs w:val="26"/>
                <w:color w:val="auto"/>
                <w:vertAlign w:val="superscript"/>
              </w:rPr>
              <w:t>(4)</w:t>
            </w:r>
          </w:p>
        </w:tc>
        <w:tc>
          <w:tcPr>
            <w:tcW w:w="103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tcPr>
          <w:p>
            <w:pPr>
              <w:jc w:val="right"/>
              <w:ind w:right="202"/>
              <w:spacing w:after="0"/>
              <w:rPr>
                <w:sz w:val="20"/>
                <w:szCs w:val="20"/>
                <w:color w:val="auto"/>
              </w:rPr>
            </w:pPr>
            <w:r>
              <w:rPr>
                <w:rFonts w:ascii="Arial" w:cs="Arial" w:eastAsia="Arial" w:hAnsi="Arial"/>
                <w:sz w:val="16"/>
                <w:szCs w:val="16"/>
                <w:color w:val="auto"/>
              </w:rPr>
              <w:t>31,371</w:t>
            </w:r>
          </w:p>
        </w:tc>
        <w:tc>
          <w:tcPr>
            <w:tcW w:w="1180" w:type="dxa"/>
            <w:vAlign w:val="bottom"/>
          </w:tcPr>
          <w:p>
            <w:pPr>
              <w:jc w:val="right"/>
              <w:ind w:right="82"/>
              <w:spacing w:after="0"/>
              <w:rPr>
                <w:sz w:val="20"/>
                <w:szCs w:val="20"/>
                <w:color w:val="auto"/>
              </w:rPr>
            </w:pPr>
            <w:r>
              <w:rPr>
                <w:rFonts w:ascii="Arial" w:cs="Arial" w:eastAsia="Arial" w:hAnsi="Arial"/>
                <w:sz w:val="16"/>
                <w:szCs w:val="16"/>
                <w:color w:val="auto"/>
              </w:rPr>
              <w:t>769,844</w:t>
            </w:r>
          </w:p>
        </w:tc>
        <w:tc>
          <w:tcPr>
            <w:tcW w:w="0" w:type="dxa"/>
            <w:vAlign w:val="bottom"/>
          </w:tcPr>
          <w:p>
            <w:pPr>
              <w:spacing w:after="0"/>
              <w:rPr>
                <w:sz w:val="1"/>
                <w:szCs w:val="1"/>
                <w:color w:val="auto"/>
              </w:rPr>
            </w:pPr>
          </w:p>
        </w:tc>
      </w:tr>
      <w:tr>
        <w:trPr>
          <w:trHeight w:val="351"/>
        </w:trPr>
        <w:tc>
          <w:tcPr>
            <w:tcW w:w="1860" w:type="dxa"/>
            <w:vAlign w:val="bottom"/>
          </w:tcPr>
          <w:p>
            <w:pPr>
              <w:spacing w:after="0"/>
              <w:rPr>
                <w:sz w:val="24"/>
                <w:szCs w:val="24"/>
                <w:color w:val="auto"/>
              </w:rPr>
            </w:pPr>
          </w:p>
        </w:tc>
        <w:tc>
          <w:tcPr>
            <w:tcW w:w="1330" w:type="dxa"/>
            <w:vAlign w:val="bottom"/>
          </w:tcPr>
          <w:p>
            <w:pPr>
              <w:ind w:left="280"/>
              <w:spacing w:after="0"/>
              <w:rPr>
                <w:sz w:val="20"/>
                <w:szCs w:val="20"/>
                <w:color w:val="auto"/>
              </w:rPr>
            </w:pPr>
            <w:r>
              <w:rPr>
                <w:rFonts w:ascii="Arial" w:cs="Arial" w:eastAsia="Arial" w:hAnsi="Arial"/>
                <w:sz w:val="16"/>
                <w:szCs w:val="16"/>
                <w:color w:val="auto"/>
              </w:rPr>
              <w:t>10/1/2020</w:t>
            </w:r>
            <w:r>
              <w:rPr>
                <w:rFonts w:ascii="Arial" w:cs="Arial" w:eastAsia="Arial" w:hAnsi="Arial"/>
                <w:sz w:val="26"/>
                <w:szCs w:val="26"/>
                <w:color w:val="auto"/>
                <w:vertAlign w:val="superscript"/>
              </w:rPr>
              <w:t>(4)</w:t>
            </w:r>
          </w:p>
        </w:tc>
        <w:tc>
          <w:tcPr>
            <w:tcW w:w="103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tcPr>
          <w:p>
            <w:pPr>
              <w:jc w:val="right"/>
              <w:ind w:right="202"/>
              <w:spacing w:after="0"/>
              <w:rPr>
                <w:sz w:val="20"/>
                <w:szCs w:val="20"/>
                <w:color w:val="auto"/>
              </w:rPr>
            </w:pPr>
            <w:r>
              <w:rPr>
                <w:rFonts w:ascii="Arial" w:cs="Arial" w:eastAsia="Arial" w:hAnsi="Arial"/>
                <w:sz w:val="16"/>
                <w:szCs w:val="16"/>
                <w:color w:val="auto"/>
              </w:rPr>
              <w:t>138,718</w:t>
            </w:r>
          </w:p>
        </w:tc>
        <w:tc>
          <w:tcPr>
            <w:tcW w:w="1180" w:type="dxa"/>
            <w:vAlign w:val="bottom"/>
          </w:tcPr>
          <w:p>
            <w:pPr>
              <w:jc w:val="right"/>
              <w:ind w:right="82"/>
              <w:spacing w:after="0"/>
              <w:rPr>
                <w:sz w:val="20"/>
                <w:szCs w:val="20"/>
                <w:color w:val="auto"/>
              </w:rPr>
            </w:pPr>
            <w:r>
              <w:rPr>
                <w:rFonts w:ascii="Arial" w:cs="Arial" w:eastAsia="Arial" w:hAnsi="Arial"/>
                <w:sz w:val="16"/>
                <w:szCs w:val="16"/>
                <w:color w:val="auto"/>
              </w:rPr>
              <w:t>3,404,140</w:t>
            </w:r>
          </w:p>
        </w:tc>
        <w:tc>
          <w:tcPr>
            <w:tcW w:w="0" w:type="dxa"/>
            <w:vAlign w:val="bottom"/>
          </w:tcPr>
          <w:p>
            <w:pPr>
              <w:spacing w:after="0"/>
              <w:rPr>
                <w:sz w:val="1"/>
                <w:szCs w:val="1"/>
                <w:color w:val="auto"/>
              </w:rPr>
            </w:pPr>
          </w:p>
        </w:tc>
      </w:tr>
      <w:tr>
        <w:trPr>
          <w:trHeight w:val="296"/>
        </w:trPr>
        <w:tc>
          <w:tcPr>
            <w:tcW w:w="1860" w:type="dxa"/>
            <w:vAlign w:val="bottom"/>
          </w:tcPr>
          <w:p>
            <w:pPr>
              <w:spacing w:after="0"/>
              <w:rPr>
                <w:sz w:val="24"/>
                <w:szCs w:val="24"/>
                <w:color w:val="auto"/>
              </w:rPr>
            </w:pPr>
          </w:p>
        </w:tc>
        <w:tc>
          <w:tcPr>
            <w:tcW w:w="1330" w:type="dxa"/>
            <w:vAlign w:val="bottom"/>
          </w:tcPr>
          <w:p>
            <w:pPr>
              <w:jc w:val="right"/>
              <w:ind w:right="90"/>
              <w:spacing w:after="0" w:line="296" w:lineRule="exact"/>
              <w:rPr>
                <w:sz w:val="20"/>
                <w:szCs w:val="20"/>
                <w:color w:val="auto"/>
              </w:rPr>
            </w:pPr>
            <w:r>
              <w:rPr>
                <w:rFonts w:ascii="Arial" w:cs="Arial" w:eastAsia="Arial" w:hAnsi="Arial"/>
                <w:sz w:val="16"/>
                <w:szCs w:val="16"/>
                <w:color w:val="auto"/>
              </w:rPr>
              <w:t>4/1/2021</w:t>
            </w:r>
            <w:r>
              <w:rPr>
                <w:rFonts w:ascii="Arial" w:cs="Arial" w:eastAsia="Arial" w:hAnsi="Arial"/>
                <w:sz w:val="26"/>
                <w:szCs w:val="26"/>
                <w:color w:val="auto"/>
                <w:vertAlign w:val="superscript"/>
              </w:rPr>
              <w:t>(4)</w:t>
            </w:r>
          </w:p>
        </w:tc>
        <w:tc>
          <w:tcPr>
            <w:tcW w:w="103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tcPr>
          <w:p>
            <w:pPr>
              <w:jc w:val="right"/>
              <w:ind w:right="202"/>
              <w:spacing w:after="0"/>
              <w:rPr>
                <w:sz w:val="20"/>
                <w:szCs w:val="20"/>
                <w:color w:val="auto"/>
              </w:rPr>
            </w:pPr>
            <w:r>
              <w:rPr>
                <w:rFonts w:ascii="Arial" w:cs="Arial" w:eastAsia="Arial" w:hAnsi="Arial"/>
                <w:sz w:val="16"/>
                <w:szCs w:val="16"/>
                <w:color w:val="auto"/>
              </w:rPr>
              <w:t>142,356</w:t>
            </w:r>
          </w:p>
        </w:tc>
        <w:tc>
          <w:tcPr>
            <w:tcW w:w="1180" w:type="dxa"/>
            <w:vAlign w:val="bottom"/>
          </w:tcPr>
          <w:p>
            <w:pPr>
              <w:jc w:val="right"/>
              <w:ind w:right="82"/>
              <w:spacing w:after="0"/>
              <w:rPr>
                <w:sz w:val="20"/>
                <w:szCs w:val="20"/>
                <w:color w:val="auto"/>
              </w:rPr>
            </w:pPr>
            <w:r>
              <w:rPr>
                <w:rFonts w:ascii="Arial" w:cs="Arial" w:eastAsia="Arial" w:hAnsi="Arial"/>
                <w:sz w:val="16"/>
                <w:szCs w:val="16"/>
                <w:color w:val="auto"/>
              </w:rPr>
              <w:t>3,493,416</w:t>
            </w:r>
          </w:p>
        </w:tc>
        <w:tc>
          <w:tcPr>
            <w:tcW w:w="0" w:type="dxa"/>
            <w:vAlign w:val="bottom"/>
          </w:tcPr>
          <w:p>
            <w:pPr>
              <w:spacing w:after="0"/>
              <w:rPr>
                <w:sz w:val="1"/>
                <w:szCs w:val="1"/>
                <w:color w:val="auto"/>
              </w:rPr>
            </w:pPr>
          </w:p>
        </w:tc>
      </w:tr>
      <w:tr>
        <w:trPr>
          <w:trHeight w:val="351"/>
        </w:trPr>
        <w:tc>
          <w:tcPr>
            <w:tcW w:w="1860" w:type="dxa"/>
            <w:vAlign w:val="bottom"/>
            <w:shd w:val="clear" w:color="auto" w:fill="F2F2F2"/>
          </w:tcPr>
          <w:p>
            <w:pPr>
              <w:ind w:left="60"/>
              <w:spacing w:after="0"/>
              <w:rPr>
                <w:sz w:val="20"/>
                <w:szCs w:val="20"/>
                <w:color w:val="auto"/>
              </w:rPr>
            </w:pPr>
            <w:r>
              <w:rPr>
                <w:rFonts w:ascii="Arial" w:cs="Arial" w:eastAsia="Arial" w:hAnsi="Arial"/>
                <w:sz w:val="16"/>
                <w:szCs w:val="16"/>
                <w:color w:val="auto"/>
              </w:rPr>
              <w:t>Timothy Young</w:t>
            </w:r>
          </w:p>
        </w:tc>
        <w:tc>
          <w:tcPr>
            <w:tcW w:w="1330" w:type="dxa"/>
            <w:vAlign w:val="bottom"/>
            <w:shd w:val="clear" w:color="auto" w:fill="F2F2F2"/>
          </w:tcPr>
          <w:p>
            <w:pPr>
              <w:jc w:val="right"/>
              <w:ind w:right="90"/>
              <w:spacing w:after="0"/>
              <w:rPr>
                <w:sz w:val="20"/>
                <w:szCs w:val="20"/>
                <w:color w:val="auto"/>
              </w:rPr>
            </w:pPr>
            <w:r>
              <w:rPr>
                <w:rFonts w:ascii="Arial" w:cs="Arial" w:eastAsia="Arial" w:hAnsi="Arial"/>
                <w:sz w:val="16"/>
                <w:szCs w:val="16"/>
                <w:color w:val="auto"/>
              </w:rPr>
              <w:t>11/1/2019</w:t>
            </w:r>
            <w:r>
              <w:rPr>
                <w:rFonts w:ascii="Arial" w:cs="Arial" w:eastAsia="Arial" w:hAnsi="Arial"/>
                <w:sz w:val="26"/>
                <w:szCs w:val="26"/>
                <w:color w:val="auto"/>
                <w:vertAlign w:val="superscript"/>
              </w:rPr>
              <w:t>(5)</w:t>
            </w:r>
          </w:p>
        </w:tc>
        <w:tc>
          <w:tcPr>
            <w:tcW w:w="103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shd w:val="clear" w:color="auto" w:fill="F2F2F2"/>
          </w:tcPr>
          <w:p>
            <w:pPr>
              <w:jc w:val="right"/>
              <w:ind w:right="202"/>
              <w:spacing w:after="0"/>
              <w:rPr>
                <w:sz w:val="20"/>
                <w:szCs w:val="20"/>
                <w:color w:val="auto"/>
              </w:rPr>
            </w:pPr>
            <w:r>
              <w:rPr>
                <w:rFonts w:ascii="Arial" w:cs="Arial" w:eastAsia="Arial" w:hAnsi="Arial"/>
                <w:sz w:val="16"/>
                <w:szCs w:val="16"/>
                <w:color w:val="auto"/>
              </w:rPr>
              <w:t>526,554</w:t>
            </w:r>
          </w:p>
        </w:tc>
        <w:tc>
          <w:tcPr>
            <w:tcW w:w="1180" w:type="dxa"/>
            <w:vAlign w:val="bottom"/>
            <w:shd w:val="clear" w:color="auto" w:fill="F2F2F2"/>
          </w:tcPr>
          <w:p>
            <w:pPr>
              <w:jc w:val="right"/>
              <w:ind w:right="82"/>
              <w:spacing w:after="0"/>
              <w:rPr>
                <w:sz w:val="20"/>
                <w:szCs w:val="20"/>
                <w:color w:val="auto"/>
              </w:rPr>
            </w:pPr>
            <w:r>
              <w:rPr>
                <w:rFonts w:ascii="Arial" w:cs="Arial" w:eastAsia="Arial" w:hAnsi="Arial"/>
                <w:sz w:val="16"/>
                <w:szCs w:val="16"/>
                <w:color w:val="auto"/>
              </w:rPr>
              <w:t>12,921,635</w:t>
            </w:r>
          </w:p>
        </w:tc>
        <w:tc>
          <w:tcPr>
            <w:tcW w:w="0" w:type="dxa"/>
            <w:vAlign w:val="bottom"/>
          </w:tcPr>
          <w:p>
            <w:pPr>
              <w:spacing w:after="0"/>
              <w:rPr>
                <w:sz w:val="1"/>
                <w:szCs w:val="1"/>
                <w:color w:val="auto"/>
              </w:rPr>
            </w:pPr>
          </w:p>
        </w:tc>
      </w:tr>
      <w:tr>
        <w:trPr>
          <w:trHeight w:val="351"/>
        </w:trPr>
        <w:tc>
          <w:tcPr>
            <w:tcW w:w="1860" w:type="dxa"/>
            <w:vAlign w:val="bottom"/>
            <w:shd w:val="clear" w:color="auto" w:fill="F2F2F2"/>
          </w:tcPr>
          <w:p>
            <w:pPr>
              <w:spacing w:after="0"/>
              <w:rPr>
                <w:sz w:val="24"/>
                <w:szCs w:val="24"/>
                <w:color w:val="auto"/>
              </w:rPr>
            </w:pPr>
          </w:p>
        </w:tc>
        <w:tc>
          <w:tcPr>
            <w:tcW w:w="1330" w:type="dxa"/>
            <w:vAlign w:val="bottom"/>
            <w:shd w:val="clear" w:color="auto" w:fill="F2F2F2"/>
          </w:tcPr>
          <w:p>
            <w:pPr>
              <w:ind w:left="280"/>
              <w:spacing w:after="0"/>
              <w:rPr>
                <w:sz w:val="20"/>
                <w:szCs w:val="20"/>
                <w:color w:val="auto"/>
              </w:rPr>
            </w:pPr>
            <w:r>
              <w:rPr>
                <w:rFonts w:ascii="Arial" w:cs="Arial" w:eastAsia="Arial" w:hAnsi="Arial"/>
                <w:sz w:val="16"/>
                <w:szCs w:val="16"/>
                <w:color w:val="auto"/>
              </w:rPr>
              <w:t>12/1/2020</w:t>
            </w:r>
            <w:r>
              <w:rPr>
                <w:rFonts w:ascii="Arial" w:cs="Arial" w:eastAsia="Arial" w:hAnsi="Arial"/>
                <w:sz w:val="26"/>
                <w:szCs w:val="26"/>
                <w:color w:val="auto"/>
                <w:vertAlign w:val="superscript"/>
              </w:rPr>
              <w:t>(6)</w:t>
            </w:r>
          </w:p>
        </w:tc>
        <w:tc>
          <w:tcPr>
            <w:tcW w:w="103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shd w:val="clear" w:color="auto" w:fill="F2F2F2"/>
          </w:tcPr>
          <w:p>
            <w:pPr>
              <w:jc w:val="right"/>
              <w:ind w:right="42"/>
              <w:spacing w:after="0"/>
              <w:rPr>
                <w:sz w:val="20"/>
                <w:szCs w:val="20"/>
                <w:color w:val="auto"/>
              </w:rPr>
            </w:pPr>
            <w:r>
              <w:rPr>
                <w:rFonts w:ascii="Arial" w:cs="Arial" w:eastAsia="Arial" w:hAnsi="Arial"/>
                <w:sz w:val="16"/>
                <w:szCs w:val="16"/>
                <w:color w:val="auto"/>
              </w:rPr>
              <w:t>88,261</w:t>
            </w:r>
            <w:r>
              <w:rPr>
                <w:rFonts w:ascii="Arial" w:cs="Arial" w:eastAsia="Arial" w:hAnsi="Arial"/>
                <w:sz w:val="26"/>
                <w:szCs w:val="26"/>
                <w:color w:val="auto"/>
                <w:vertAlign w:val="superscript"/>
              </w:rPr>
              <w:t>(7)</w:t>
            </w:r>
          </w:p>
        </w:tc>
        <w:tc>
          <w:tcPr>
            <w:tcW w:w="1180" w:type="dxa"/>
            <w:vAlign w:val="bottom"/>
            <w:shd w:val="clear" w:color="auto" w:fill="F2F2F2"/>
          </w:tcPr>
          <w:p>
            <w:pPr>
              <w:jc w:val="right"/>
              <w:ind w:right="82"/>
              <w:spacing w:after="0"/>
              <w:rPr>
                <w:sz w:val="20"/>
                <w:szCs w:val="20"/>
                <w:color w:val="auto"/>
              </w:rPr>
            </w:pPr>
            <w:r>
              <w:rPr>
                <w:rFonts w:ascii="Arial" w:cs="Arial" w:eastAsia="Arial" w:hAnsi="Arial"/>
                <w:sz w:val="16"/>
                <w:szCs w:val="16"/>
                <w:color w:val="auto"/>
              </w:rPr>
              <w:t>2,165,931</w:t>
            </w:r>
          </w:p>
        </w:tc>
        <w:tc>
          <w:tcPr>
            <w:tcW w:w="0" w:type="dxa"/>
            <w:vAlign w:val="bottom"/>
          </w:tcPr>
          <w:p>
            <w:pPr>
              <w:spacing w:after="0"/>
              <w:rPr>
                <w:sz w:val="1"/>
                <w:szCs w:val="1"/>
                <w:color w:val="auto"/>
              </w:rPr>
            </w:pPr>
          </w:p>
        </w:tc>
      </w:tr>
      <w:tr>
        <w:trPr>
          <w:trHeight w:val="406"/>
        </w:trPr>
        <w:tc>
          <w:tcPr>
            <w:tcW w:w="1860" w:type="dxa"/>
            <w:vAlign w:val="bottom"/>
          </w:tcPr>
          <w:p>
            <w:pPr>
              <w:ind w:left="60"/>
              <w:spacing w:after="0"/>
              <w:rPr>
                <w:sz w:val="20"/>
                <w:szCs w:val="20"/>
                <w:color w:val="auto"/>
              </w:rPr>
            </w:pPr>
            <w:r>
              <w:rPr>
                <w:rFonts w:ascii="Arial" w:cs="Arial" w:eastAsia="Arial" w:hAnsi="Arial"/>
                <w:sz w:val="16"/>
                <w:szCs w:val="16"/>
                <w:color w:val="auto"/>
              </w:rPr>
              <w:t>Bart E. Volkmer</w:t>
            </w:r>
          </w:p>
        </w:tc>
        <w:tc>
          <w:tcPr>
            <w:tcW w:w="1330" w:type="dxa"/>
            <w:vAlign w:val="bottom"/>
          </w:tcPr>
          <w:p>
            <w:pPr>
              <w:jc w:val="right"/>
              <w:ind w:right="90"/>
              <w:spacing w:after="0"/>
              <w:rPr>
                <w:sz w:val="20"/>
                <w:szCs w:val="20"/>
                <w:color w:val="auto"/>
              </w:rPr>
            </w:pPr>
            <w:r>
              <w:rPr>
                <w:rFonts w:ascii="Arial" w:cs="Arial" w:eastAsia="Arial" w:hAnsi="Arial"/>
                <w:sz w:val="16"/>
                <w:szCs w:val="16"/>
                <w:color w:val="auto"/>
              </w:rPr>
              <w:t>4/1/2019</w:t>
            </w:r>
            <w:r>
              <w:rPr>
                <w:rFonts w:ascii="Arial" w:cs="Arial" w:eastAsia="Arial" w:hAnsi="Arial"/>
                <w:sz w:val="26"/>
                <w:szCs w:val="26"/>
                <w:color w:val="auto"/>
                <w:vertAlign w:val="superscript"/>
              </w:rPr>
              <w:t>(4)</w:t>
            </w:r>
          </w:p>
        </w:tc>
        <w:tc>
          <w:tcPr>
            <w:tcW w:w="103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tcPr>
          <w:p>
            <w:pPr>
              <w:jc w:val="right"/>
              <w:ind w:right="202"/>
              <w:spacing w:after="0"/>
              <w:rPr>
                <w:sz w:val="20"/>
                <w:szCs w:val="20"/>
                <w:color w:val="auto"/>
              </w:rPr>
            </w:pPr>
            <w:r>
              <w:rPr>
                <w:rFonts w:ascii="Arial" w:cs="Arial" w:eastAsia="Arial" w:hAnsi="Arial"/>
                <w:sz w:val="16"/>
                <w:szCs w:val="16"/>
                <w:color w:val="auto"/>
              </w:rPr>
              <w:t>33,446</w:t>
            </w:r>
          </w:p>
        </w:tc>
        <w:tc>
          <w:tcPr>
            <w:tcW w:w="1180" w:type="dxa"/>
            <w:vAlign w:val="bottom"/>
          </w:tcPr>
          <w:p>
            <w:pPr>
              <w:jc w:val="right"/>
              <w:ind w:right="82"/>
              <w:spacing w:after="0"/>
              <w:rPr>
                <w:sz w:val="20"/>
                <w:szCs w:val="20"/>
                <w:color w:val="auto"/>
              </w:rPr>
            </w:pPr>
            <w:r>
              <w:rPr>
                <w:rFonts w:ascii="Arial" w:cs="Arial" w:eastAsia="Arial" w:hAnsi="Arial"/>
                <w:sz w:val="16"/>
                <w:szCs w:val="16"/>
                <w:color w:val="auto"/>
              </w:rPr>
              <w:t>820,765</w:t>
            </w:r>
          </w:p>
        </w:tc>
        <w:tc>
          <w:tcPr>
            <w:tcW w:w="0" w:type="dxa"/>
            <w:vAlign w:val="bottom"/>
          </w:tcPr>
          <w:p>
            <w:pPr>
              <w:spacing w:after="0"/>
              <w:rPr>
                <w:sz w:val="1"/>
                <w:szCs w:val="1"/>
                <w:color w:val="auto"/>
              </w:rPr>
            </w:pPr>
          </w:p>
        </w:tc>
      </w:tr>
      <w:tr>
        <w:trPr>
          <w:trHeight w:val="351"/>
        </w:trPr>
        <w:tc>
          <w:tcPr>
            <w:tcW w:w="1860" w:type="dxa"/>
            <w:vAlign w:val="bottom"/>
          </w:tcPr>
          <w:p>
            <w:pPr>
              <w:spacing w:after="0"/>
              <w:rPr>
                <w:sz w:val="24"/>
                <w:szCs w:val="24"/>
                <w:color w:val="auto"/>
              </w:rPr>
            </w:pPr>
          </w:p>
        </w:tc>
        <w:tc>
          <w:tcPr>
            <w:tcW w:w="1330" w:type="dxa"/>
            <w:vAlign w:val="bottom"/>
          </w:tcPr>
          <w:p>
            <w:pPr>
              <w:jc w:val="right"/>
              <w:ind w:right="90"/>
              <w:spacing w:after="0"/>
              <w:rPr>
                <w:sz w:val="20"/>
                <w:szCs w:val="20"/>
                <w:color w:val="auto"/>
              </w:rPr>
            </w:pPr>
            <w:r>
              <w:rPr>
                <w:rFonts w:ascii="Arial" w:cs="Arial" w:eastAsia="Arial" w:hAnsi="Arial"/>
                <w:sz w:val="16"/>
                <w:szCs w:val="16"/>
                <w:color w:val="auto"/>
              </w:rPr>
              <w:t>4/1/2020</w:t>
            </w:r>
            <w:r>
              <w:rPr>
                <w:rFonts w:ascii="Arial" w:cs="Arial" w:eastAsia="Arial" w:hAnsi="Arial"/>
                <w:sz w:val="26"/>
                <w:szCs w:val="26"/>
                <w:color w:val="auto"/>
                <w:vertAlign w:val="superscript"/>
              </w:rPr>
              <w:t>(4)</w:t>
            </w:r>
          </w:p>
        </w:tc>
        <w:tc>
          <w:tcPr>
            <w:tcW w:w="103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tcPr>
          <w:p>
            <w:pPr>
              <w:jc w:val="right"/>
              <w:ind w:right="202"/>
              <w:spacing w:after="0"/>
              <w:rPr>
                <w:sz w:val="20"/>
                <w:szCs w:val="20"/>
                <w:color w:val="auto"/>
              </w:rPr>
            </w:pPr>
            <w:r>
              <w:rPr>
                <w:rFonts w:ascii="Arial" w:cs="Arial" w:eastAsia="Arial" w:hAnsi="Arial"/>
                <w:sz w:val="16"/>
                <w:szCs w:val="16"/>
                <w:color w:val="auto"/>
              </w:rPr>
              <w:t>75,289</w:t>
            </w:r>
          </w:p>
        </w:tc>
        <w:tc>
          <w:tcPr>
            <w:tcW w:w="1180" w:type="dxa"/>
            <w:vAlign w:val="bottom"/>
          </w:tcPr>
          <w:p>
            <w:pPr>
              <w:jc w:val="right"/>
              <w:ind w:right="82"/>
              <w:spacing w:after="0"/>
              <w:rPr>
                <w:sz w:val="20"/>
                <w:szCs w:val="20"/>
                <w:color w:val="auto"/>
              </w:rPr>
            </w:pPr>
            <w:r>
              <w:rPr>
                <w:rFonts w:ascii="Arial" w:cs="Arial" w:eastAsia="Arial" w:hAnsi="Arial"/>
                <w:sz w:val="16"/>
                <w:szCs w:val="16"/>
                <w:color w:val="auto"/>
              </w:rPr>
              <w:t>1,847,592</w:t>
            </w:r>
          </w:p>
        </w:tc>
        <w:tc>
          <w:tcPr>
            <w:tcW w:w="0" w:type="dxa"/>
            <w:vAlign w:val="bottom"/>
          </w:tcPr>
          <w:p>
            <w:pPr>
              <w:spacing w:after="0"/>
              <w:rPr>
                <w:sz w:val="1"/>
                <w:szCs w:val="1"/>
                <w:color w:val="auto"/>
              </w:rPr>
            </w:pPr>
          </w:p>
        </w:tc>
      </w:tr>
      <w:tr>
        <w:trPr>
          <w:trHeight w:val="320"/>
        </w:trPr>
        <w:tc>
          <w:tcPr>
            <w:tcW w:w="1860" w:type="dxa"/>
            <w:vAlign w:val="bottom"/>
          </w:tcPr>
          <w:p>
            <w:pPr>
              <w:spacing w:after="0"/>
              <w:rPr>
                <w:sz w:val="24"/>
                <w:szCs w:val="24"/>
                <w:color w:val="auto"/>
              </w:rPr>
            </w:pPr>
          </w:p>
        </w:tc>
        <w:tc>
          <w:tcPr>
            <w:tcW w:w="1330" w:type="dxa"/>
            <w:vAlign w:val="bottom"/>
          </w:tcPr>
          <w:p>
            <w:pPr>
              <w:jc w:val="right"/>
              <w:ind w:right="90"/>
              <w:spacing w:after="0"/>
              <w:rPr>
                <w:sz w:val="20"/>
                <w:szCs w:val="20"/>
                <w:color w:val="auto"/>
              </w:rPr>
            </w:pPr>
            <w:r>
              <w:rPr>
                <w:rFonts w:ascii="Arial" w:cs="Arial" w:eastAsia="Arial" w:hAnsi="Arial"/>
                <w:sz w:val="16"/>
                <w:szCs w:val="16"/>
                <w:color w:val="auto"/>
              </w:rPr>
              <w:t>4/1/2021</w:t>
            </w:r>
            <w:r>
              <w:rPr>
                <w:rFonts w:ascii="Arial" w:cs="Arial" w:eastAsia="Arial" w:hAnsi="Arial"/>
                <w:sz w:val="26"/>
                <w:szCs w:val="26"/>
                <w:color w:val="auto"/>
                <w:vertAlign w:val="superscript"/>
              </w:rPr>
              <w:t>(4)</w:t>
            </w:r>
          </w:p>
        </w:tc>
        <w:tc>
          <w:tcPr>
            <w:tcW w:w="103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94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240" w:type="dxa"/>
            <w:vAlign w:val="bottom"/>
          </w:tcPr>
          <w:p>
            <w:pPr>
              <w:jc w:val="right"/>
              <w:ind w:right="202"/>
              <w:spacing w:after="0"/>
              <w:rPr>
                <w:sz w:val="20"/>
                <w:szCs w:val="20"/>
                <w:color w:val="auto"/>
              </w:rPr>
            </w:pPr>
            <w:r>
              <w:rPr>
                <w:rFonts w:ascii="Arial" w:cs="Arial" w:eastAsia="Arial" w:hAnsi="Arial"/>
                <w:sz w:val="16"/>
                <w:szCs w:val="16"/>
                <w:color w:val="auto"/>
              </w:rPr>
              <w:t>94,903</w:t>
            </w:r>
          </w:p>
        </w:tc>
        <w:tc>
          <w:tcPr>
            <w:tcW w:w="1180" w:type="dxa"/>
            <w:vAlign w:val="bottom"/>
          </w:tcPr>
          <w:p>
            <w:pPr>
              <w:jc w:val="right"/>
              <w:ind w:right="82"/>
              <w:spacing w:after="0"/>
              <w:rPr>
                <w:sz w:val="20"/>
                <w:szCs w:val="20"/>
                <w:color w:val="auto"/>
              </w:rPr>
            </w:pPr>
            <w:r>
              <w:rPr>
                <w:rFonts w:ascii="Arial" w:cs="Arial" w:eastAsia="Arial" w:hAnsi="Arial"/>
                <w:sz w:val="16"/>
                <w:szCs w:val="16"/>
                <w:color w:val="auto"/>
              </w:rPr>
              <w:t>2,328,920</w:t>
            </w:r>
          </w:p>
        </w:tc>
        <w:tc>
          <w:tcPr>
            <w:tcW w:w="0" w:type="dxa"/>
            <w:vAlign w:val="bottom"/>
          </w:tcPr>
          <w:p>
            <w:pPr>
              <w:spacing w:after="0"/>
              <w:rPr>
                <w:sz w:val="1"/>
                <w:szCs w:val="1"/>
                <w:color w:val="auto"/>
              </w:rPr>
            </w:pPr>
          </w:p>
        </w:tc>
      </w:tr>
    </w:tbl>
    <w:p>
      <w:pPr>
        <w:ind w:left="244" w:hanging="244"/>
        <w:spacing w:after="0" w:line="238" w:lineRule="auto"/>
        <w:tabs>
          <w:tab w:leader="none" w:pos="244" w:val="left"/>
        </w:tabs>
        <w:numPr>
          <w:ilvl w:val="0"/>
          <w:numId w:val="74"/>
        </w:numPr>
        <w:rPr>
          <w:rFonts w:ascii="Arial" w:cs="Arial" w:eastAsia="Arial" w:hAnsi="Arial"/>
          <w:sz w:val="22"/>
          <w:szCs w:val="22"/>
          <w:color w:val="auto"/>
          <w:vertAlign w:val="superscript"/>
        </w:rPr>
      </w:pPr>
      <w:r>
        <w:rPr>
          <w:rFonts w:ascii="Arial" w:cs="Arial" w:eastAsia="Arial" w:hAnsi="Arial"/>
          <w:sz w:val="14"/>
          <w:szCs w:val="14"/>
          <w:color w:val="auto"/>
        </w:rPr>
        <w:t>All unvested equity awards held by Ms. Nottebohm were forfeited upon her resignation from the company in February 2021.</w:t>
      </w:r>
    </w:p>
    <w:p>
      <w:pPr>
        <w:ind w:left="244" w:hanging="244"/>
        <w:spacing w:after="0" w:line="183" w:lineRule="auto"/>
        <w:tabs>
          <w:tab w:leader="none" w:pos="244" w:val="left"/>
        </w:tabs>
        <w:numPr>
          <w:ilvl w:val="0"/>
          <w:numId w:val="74"/>
        </w:numPr>
        <w:rPr>
          <w:rFonts w:ascii="Arial" w:cs="Arial" w:eastAsia="Arial" w:hAnsi="Arial"/>
          <w:sz w:val="20"/>
          <w:szCs w:val="20"/>
          <w:color w:val="auto"/>
          <w:vertAlign w:val="superscript"/>
        </w:rPr>
      </w:pPr>
      <w:r>
        <w:rPr>
          <w:rFonts w:ascii="Arial" w:cs="Arial" w:eastAsia="Arial" w:hAnsi="Arial"/>
          <w:sz w:val="14"/>
          <w:szCs w:val="14"/>
          <w:color w:val="auto"/>
        </w:rPr>
        <w:t>The closing price of our Class A common stock on December 31, 2021 was $24.54.</w:t>
      </w:r>
    </w:p>
    <w:p>
      <w:pPr>
        <w:ind w:left="244" w:hanging="244"/>
        <w:spacing w:after="0" w:line="208" w:lineRule="auto"/>
        <w:tabs>
          <w:tab w:leader="none" w:pos="244" w:val="left"/>
        </w:tabs>
        <w:numPr>
          <w:ilvl w:val="0"/>
          <w:numId w:val="74"/>
        </w:numPr>
        <w:rPr>
          <w:rFonts w:ascii="Arial" w:cs="Arial" w:eastAsia="Arial" w:hAnsi="Arial"/>
          <w:sz w:val="22"/>
          <w:szCs w:val="22"/>
          <w:color w:val="auto"/>
          <w:vertAlign w:val="superscript"/>
        </w:rPr>
      </w:pPr>
      <w:r>
        <w:rPr>
          <w:rFonts w:ascii="Arial" w:cs="Arial" w:eastAsia="Arial" w:hAnsi="Arial"/>
          <w:sz w:val="14"/>
          <w:szCs w:val="14"/>
          <w:color w:val="auto"/>
        </w:rPr>
        <w:t>This award represents RSAs granted to Mr. Houston pursuant to a stand-alone restricted stock award agreement. The shares underlying the RSAs are Class A common stock. RSAs vest over a period of up to ten years upon achievement of service-based, market-based, and liquidity event-related performance vesting conditions. See “</w:t>
      </w:r>
      <w:r>
        <w:rPr>
          <w:rFonts w:ascii="Arial" w:cs="Arial" w:eastAsia="Arial" w:hAnsi="Arial"/>
          <w:sz w:val="14"/>
          <w:szCs w:val="14"/>
          <w:i w:val="1"/>
          <w:iCs w:val="1"/>
          <w:color w:val="auto"/>
        </w:rPr>
        <w:t>Co-Founder Grant</w:t>
      </w:r>
      <w:r>
        <w:rPr>
          <w:rFonts w:ascii="Arial" w:cs="Arial" w:eastAsia="Arial" w:hAnsi="Arial"/>
          <w:sz w:val="14"/>
          <w:szCs w:val="14"/>
          <w:color w:val="auto"/>
        </w:rPr>
        <w:t>” below.</w:t>
      </w:r>
    </w:p>
    <w:p>
      <w:pPr>
        <w:spacing w:after="0" w:line="1" w:lineRule="exact"/>
        <w:rPr>
          <w:rFonts w:ascii="Arial" w:cs="Arial" w:eastAsia="Arial" w:hAnsi="Arial"/>
          <w:sz w:val="22"/>
          <w:szCs w:val="22"/>
          <w:color w:val="auto"/>
          <w:vertAlign w:val="superscript"/>
        </w:rPr>
      </w:pPr>
    </w:p>
    <w:p>
      <w:pPr>
        <w:ind w:left="244" w:right="400" w:hanging="244"/>
        <w:spacing w:after="0" w:line="203" w:lineRule="auto"/>
        <w:tabs>
          <w:tab w:leader="none" w:pos="244" w:val="left"/>
        </w:tabs>
        <w:numPr>
          <w:ilvl w:val="0"/>
          <w:numId w:val="74"/>
        </w:numPr>
        <w:rPr>
          <w:rFonts w:ascii="Arial" w:cs="Arial" w:eastAsia="Arial" w:hAnsi="Arial"/>
          <w:sz w:val="22"/>
          <w:szCs w:val="22"/>
          <w:color w:val="auto"/>
          <w:vertAlign w:val="superscript"/>
        </w:rPr>
      </w:pPr>
      <w:r>
        <w:rPr>
          <w:rFonts w:ascii="Arial" w:cs="Arial" w:eastAsia="Arial" w:hAnsi="Arial"/>
          <w:sz w:val="14"/>
          <w:szCs w:val="14"/>
          <w:color w:val="auto"/>
        </w:rPr>
        <w:t>1/16th of the total number of shares of our Class A common stock underlying the RSUs vests in equal quarterly installments on the Quarterly Vesting Dates, subject to continued service through each such vesting date.</w:t>
      </w:r>
    </w:p>
    <w:p>
      <w:pPr>
        <w:ind w:left="244" w:right="20" w:hanging="244"/>
        <w:spacing w:after="0" w:line="208" w:lineRule="auto"/>
        <w:tabs>
          <w:tab w:leader="none" w:pos="244" w:val="left"/>
        </w:tabs>
        <w:numPr>
          <w:ilvl w:val="0"/>
          <w:numId w:val="74"/>
        </w:numPr>
        <w:rPr>
          <w:rFonts w:ascii="Arial" w:cs="Arial" w:eastAsia="Arial" w:hAnsi="Arial"/>
          <w:sz w:val="22"/>
          <w:szCs w:val="22"/>
          <w:color w:val="auto"/>
          <w:vertAlign w:val="superscript"/>
        </w:rPr>
      </w:pPr>
      <w:r>
        <w:rPr>
          <w:rFonts w:ascii="Arial" w:cs="Arial" w:eastAsia="Arial" w:hAnsi="Arial"/>
          <w:sz w:val="14"/>
          <w:szCs w:val="14"/>
          <w:color w:val="auto"/>
        </w:rPr>
        <w:t>1/4th of the shares of our Class A common stock underlying the RSAs vests on November 15th, 2020, and an additional 1/16th of the total number of shares of our Class A common stock underlying the RSAs vests in equal quarterly installments on the Quarterly Vesting Dates, subject to continued service through each such vesting date.</w:t>
      </w:r>
    </w:p>
    <w:p>
      <w:pPr>
        <w:spacing w:after="0" w:line="1" w:lineRule="exact"/>
        <w:rPr>
          <w:rFonts w:ascii="Arial" w:cs="Arial" w:eastAsia="Arial" w:hAnsi="Arial"/>
          <w:sz w:val="22"/>
          <w:szCs w:val="22"/>
          <w:color w:val="auto"/>
          <w:vertAlign w:val="superscript"/>
        </w:rPr>
      </w:pPr>
    </w:p>
    <w:p>
      <w:pPr>
        <w:ind w:left="244" w:right="160" w:hanging="244"/>
        <w:spacing w:after="0" w:line="215" w:lineRule="auto"/>
        <w:tabs>
          <w:tab w:leader="none" w:pos="244" w:val="left"/>
        </w:tabs>
        <w:numPr>
          <w:ilvl w:val="0"/>
          <w:numId w:val="74"/>
        </w:numPr>
        <w:rPr>
          <w:rFonts w:ascii="Arial" w:cs="Arial" w:eastAsia="Arial" w:hAnsi="Arial"/>
          <w:sz w:val="22"/>
          <w:szCs w:val="22"/>
          <w:color w:val="auto"/>
          <w:vertAlign w:val="superscript"/>
        </w:rPr>
      </w:pPr>
      <w:r>
        <w:rPr>
          <w:rFonts w:ascii="Arial" w:cs="Arial" w:eastAsia="Arial" w:hAnsi="Arial"/>
          <w:sz w:val="14"/>
          <w:szCs w:val="14"/>
          <w:color w:val="auto"/>
        </w:rPr>
        <w:t>This award represents Mr. Young’s performance-based RSA. RSAs are eligible to vest over an approximately three-year performance period based on the achievement of certain stock price goals measured over a consecutive thirty-day trading period during twelve-month measurement periods. See “</w:t>
      </w:r>
      <w:r>
        <w:rPr>
          <w:rFonts w:ascii="Arial" w:cs="Arial" w:eastAsia="Arial" w:hAnsi="Arial"/>
          <w:sz w:val="14"/>
          <w:szCs w:val="14"/>
          <w:i w:val="1"/>
          <w:iCs w:val="1"/>
          <w:color w:val="auto"/>
        </w:rPr>
        <w:t>Compensation Elements—Long-Term Equity Incentive Compensation</w:t>
      </w:r>
      <w:r>
        <w:rPr>
          <w:rFonts w:ascii="Arial" w:cs="Arial" w:eastAsia="Arial" w:hAnsi="Arial"/>
          <w:sz w:val="14"/>
          <w:szCs w:val="14"/>
          <w:color w:val="auto"/>
        </w:rPr>
        <w:t>” above for additional information regarding Mr. Young’s performance-based RSA.</w:t>
      </w:r>
    </w:p>
    <w:p>
      <w:pPr>
        <w:spacing w:after="0" w:line="2" w:lineRule="exact"/>
        <w:rPr>
          <w:rFonts w:ascii="Arial" w:cs="Arial" w:eastAsia="Arial" w:hAnsi="Arial"/>
          <w:sz w:val="22"/>
          <w:szCs w:val="22"/>
          <w:color w:val="auto"/>
          <w:vertAlign w:val="superscript"/>
        </w:rPr>
      </w:pPr>
    </w:p>
    <w:p>
      <w:pPr>
        <w:ind w:left="244" w:right="440" w:hanging="244"/>
        <w:spacing w:after="0" w:line="203" w:lineRule="auto"/>
        <w:tabs>
          <w:tab w:leader="none" w:pos="244" w:val="left"/>
        </w:tabs>
        <w:numPr>
          <w:ilvl w:val="0"/>
          <w:numId w:val="74"/>
        </w:numPr>
        <w:rPr>
          <w:rFonts w:ascii="Arial" w:cs="Arial" w:eastAsia="Arial" w:hAnsi="Arial"/>
          <w:sz w:val="22"/>
          <w:szCs w:val="22"/>
          <w:color w:val="auto"/>
          <w:vertAlign w:val="superscript"/>
        </w:rPr>
      </w:pPr>
      <w:r>
        <w:rPr>
          <w:rFonts w:ascii="Arial" w:cs="Arial" w:eastAsia="Arial" w:hAnsi="Arial"/>
          <w:sz w:val="14"/>
          <w:szCs w:val="14"/>
          <w:color w:val="auto"/>
        </w:rPr>
        <w:t>The amount reported reflect the shares that would vest if minimum stock price goals in each measurement period are met and is 25% of the amount of shares that would vest at the target level of performance.</w:t>
      </w:r>
    </w:p>
    <w:p>
      <w:pPr>
        <w:spacing w:after="0" w:line="189" w:lineRule="exact"/>
        <w:rPr>
          <w:sz w:val="20"/>
          <w:szCs w:val="20"/>
          <w:color w:val="auto"/>
        </w:rPr>
      </w:pPr>
    </w:p>
    <w:p>
      <w:pPr>
        <w:ind w:left="524" w:hanging="524"/>
        <w:spacing w:after="0"/>
        <w:tabs>
          <w:tab w:leader="none" w:pos="524" w:val="left"/>
        </w:tabs>
        <w:numPr>
          <w:ilvl w:val="0"/>
          <w:numId w:val="75"/>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54" w:name="page55"/>
    <w:bookmarkEnd w:id="54"/>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384"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Co-Founder Grant</w:t>
      </w:r>
    </w:p>
    <w:p>
      <w:pPr>
        <w:spacing w:after="0" w:line="179" w:lineRule="exact"/>
        <w:rPr>
          <w:sz w:val="20"/>
          <w:szCs w:val="20"/>
          <w:color w:val="auto"/>
        </w:rPr>
      </w:pPr>
    </w:p>
    <w:p>
      <w:pPr>
        <w:ind w:left="720" w:right="740"/>
        <w:spacing w:after="0" w:line="254" w:lineRule="auto"/>
        <w:rPr>
          <w:sz w:val="20"/>
          <w:szCs w:val="20"/>
          <w:color w:val="auto"/>
        </w:rPr>
      </w:pPr>
      <w:r>
        <w:rPr>
          <w:rFonts w:ascii="Arial" w:cs="Arial" w:eastAsia="Arial" w:hAnsi="Arial"/>
          <w:sz w:val="16"/>
          <w:szCs w:val="16"/>
          <w:color w:val="auto"/>
        </w:rPr>
        <w:t>In December 2017, our board of directors approved the Co-Founder Grant. The Co-Founder Grant has service-based, market-based, and performance-based vesting conditions. The Co-Founder Grant has certain stockholder rights, such as the right to vote the shares immediately upon grant and prior to their vesting. The Co-Founder Grant is eligible to vest over the ten-year period following the closing of our initial public offering. The Co-Founder Grant comprises nine tranches that are eligible to vest based on the achievement of the respective Stock Price Targets, measured over a consecutive thirty-day trading period during the Performance Period,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1994535</wp:posOffset>
            </wp:positionH>
            <wp:positionV relativeFrom="paragraph">
              <wp:posOffset>29845</wp:posOffset>
            </wp:positionV>
            <wp:extent cx="2991485" cy="258889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2991485" cy="2588895"/>
                    </a:xfrm>
                    <a:prstGeom prst="rect">
                      <a:avLst/>
                    </a:prstGeom>
                    <a:noFill/>
                  </pic:spPr>
                </pic:pic>
              </a:graphicData>
            </a:graphic>
          </wp:anchor>
        </w:drawing>
      </w:r>
    </w:p>
    <w:p>
      <w:pPr>
        <w:spacing w:after="0" w:line="27" w:lineRule="exact"/>
        <w:rPr>
          <w:sz w:val="20"/>
          <w:szCs w:val="20"/>
          <w:color w:val="auto"/>
        </w:rPr>
      </w:pPr>
    </w:p>
    <w:tbl>
      <w:tblPr>
        <w:tblLayout w:type="fixed"/>
        <w:tblInd w:w="3140" w:type="dxa"/>
        <w:tblCellMar>
          <w:top w:w="0" w:type="dxa"/>
          <w:left w:w="0" w:type="dxa"/>
          <w:bottom w:w="0" w:type="dxa"/>
          <w:right w:w="0" w:type="dxa"/>
        </w:tblCellMar>
      </w:tblPr>
      <w:tr>
        <w:trPr>
          <w:trHeight w:val="261"/>
        </w:trPr>
        <w:tc>
          <w:tcPr>
            <w:tcW w:w="2720" w:type="dxa"/>
            <w:vAlign w:val="bottom"/>
            <w:shd w:val="clear" w:color="auto" w:fill="0063A6"/>
          </w:tcPr>
          <w:p>
            <w:pPr>
              <w:spacing w:after="0"/>
              <w:rPr>
                <w:sz w:val="22"/>
                <w:szCs w:val="22"/>
                <w:color w:val="auto"/>
              </w:rPr>
            </w:pPr>
          </w:p>
        </w:tc>
        <w:tc>
          <w:tcPr>
            <w:tcW w:w="20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Shares Eligible to</w:t>
            </w:r>
          </w:p>
        </w:tc>
      </w:tr>
      <w:tr>
        <w:trPr>
          <w:trHeight w:val="162"/>
        </w:trPr>
        <w:tc>
          <w:tcPr>
            <w:tcW w:w="2720" w:type="dxa"/>
            <w:vAlign w:val="bottom"/>
            <w:shd w:val="clear" w:color="auto" w:fill="0063A6"/>
          </w:tcPr>
          <w:p>
            <w:pPr>
              <w:spacing w:after="0"/>
              <w:rPr>
                <w:sz w:val="14"/>
                <w:szCs w:val="14"/>
                <w:color w:val="auto"/>
              </w:rPr>
            </w:pPr>
          </w:p>
        </w:tc>
        <w:tc>
          <w:tcPr>
            <w:tcW w:w="20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Vest for</w:t>
            </w:r>
          </w:p>
        </w:tc>
      </w:tr>
      <w:tr>
        <w:trPr>
          <w:trHeight w:val="196"/>
        </w:trPr>
        <w:tc>
          <w:tcPr>
            <w:tcW w:w="27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Company Stock Price Target</w:t>
            </w:r>
          </w:p>
        </w:tc>
        <w:tc>
          <w:tcPr>
            <w:tcW w:w="20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Mr. Houston</w:t>
            </w:r>
          </w:p>
        </w:tc>
      </w:tr>
      <w:tr>
        <w:trPr>
          <w:trHeight w:val="70"/>
        </w:trPr>
        <w:tc>
          <w:tcPr>
            <w:tcW w:w="2720" w:type="dxa"/>
            <w:vAlign w:val="bottom"/>
            <w:shd w:val="clear" w:color="auto" w:fill="0063A6"/>
          </w:tcPr>
          <w:p>
            <w:pPr>
              <w:spacing w:after="0"/>
              <w:rPr>
                <w:sz w:val="6"/>
                <w:szCs w:val="6"/>
                <w:color w:val="auto"/>
              </w:rPr>
            </w:pPr>
          </w:p>
        </w:tc>
        <w:tc>
          <w:tcPr>
            <w:tcW w:w="2000" w:type="dxa"/>
            <w:vAlign w:val="bottom"/>
            <w:shd w:val="clear" w:color="auto" w:fill="0063A6"/>
          </w:tcPr>
          <w:p>
            <w:pPr>
              <w:spacing w:after="0"/>
              <w:rPr>
                <w:sz w:val="6"/>
                <w:szCs w:val="6"/>
                <w:color w:val="auto"/>
              </w:rPr>
            </w:pPr>
          </w:p>
        </w:tc>
      </w:tr>
      <w:tr>
        <w:trPr>
          <w:trHeight w:val="295"/>
        </w:trPr>
        <w:tc>
          <w:tcPr>
            <w:tcW w:w="27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$30.00</w:t>
            </w:r>
          </w:p>
        </w:tc>
        <w:tc>
          <w:tcPr>
            <w:tcW w:w="20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2,066,667</w:t>
            </w:r>
          </w:p>
        </w:tc>
      </w:tr>
      <w:tr>
        <w:trPr>
          <w:trHeight w:val="83"/>
        </w:trPr>
        <w:tc>
          <w:tcPr>
            <w:tcW w:w="2720" w:type="dxa"/>
            <w:vAlign w:val="bottom"/>
            <w:shd w:val="clear" w:color="auto" w:fill="F2F2F2"/>
          </w:tcPr>
          <w:p>
            <w:pPr>
              <w:spacing w:after="0"/>
              <w:rPr>
                <w:sz w:val="7"/>
                <w:szCs w:val="7"/>
                <w:color w:val="auto"/>
              </w:rPr>
            </w:pPr>
          </w:p>
        </w:tc>
        <w:tc>
          <w:tcPr>
            <w:tcW w:w="2000" w:type="dxa"/>
            <w:vAlign w:val="bottom"/>
            <w:shd w:val="clear" w:color="auto" w:fill="F2F2F2"/>
          </w:tcPr>
          <w:p>
            <w:pPr>
              <w:spacing w:after="0"/>
              <w:rPr>
                <w:sz w:val="7"/>
                <w:szCs w:val="7"/>
                <w:color w:val="auto"/>
              </w:rPr>
            </w:pPr>
          </w:p>
        </w:tc>
      </w:tr>
      <w:tr>
        <w:trPr>
          <w:trHeight w:val="295"/>
        </w:trPr>
        <w:tc>
          <w:tcPr>
            <w:tcW w:w="2720" w:type="dxa"/>
            <w:vAlign w:val="bottom"/>
          </w:tcPr>
          <w:p>
            <w:pPr>
              <w:jc w:val="center"/>
              <w:spacing w:after="0"/>
              <w:rPr>
                <w:sz w:val="20"/>
                <w:szCs w:val="20"/>
                <w:color w:val="auto"/>
              </w:rPr>
            </w:pPr>
            <w:r>
              <w:rPr>
                <w:rFonts w:ascii="Arial" w:cs="Arial" w:eastAsia="Arial" w:hAnsi="Arial"/>
                <w:sz w:val="16"/>
                <w:szCs w:val="16"/>
                <w:color w:val="auto"/>
              </w:rPr>
              <w:t>$37.50</w:t>
            </w:r>
          </w:p>
        </w:tc>
        <w:tc>
          <w:tcPr>
            <w:tcW w:w="2000" w:type="dxa"/>
            <w:vAlign w:val="bottom"/>
          </w:tcPr>
          <w:p>
            <w:pPr>
              <w:jc w:val="center"/>
              <w:spacing w:after="0"/>
              <w:rPr>
                <w:sz w:val="20"/>
                <w:szCs w:val="20"/>
                <w:color w:val="auto"/>
              </w:rPr>
            </w:pPr>
            <w:r>
              <w:rPr>
                <w:rFonts w:ascii="Arial" w:cs="Arial" w:eastAsia="Arial" w:hAnsi="Arial"/>
                <w:sz w:val="16"/>
                <w:szCs w:val="16"/>
                <w:color w:val="auto"/>
              </w:rPr>
              <w:t>1,033,334</w:t>
            </w:r>
          </w:p>
        </w:tc>
      </w:tr>
      <w:tr>
        <w:trPr>
          <w:trHeight w:val="83"/>
        </w:trPr>
        <w:tc>
          <w:tcPr>
            <w:tcW w:w="2720" w:type="dxa"/>
            <w:vAlign w:val="bottom"/>
          </w:tcPr>
          <w:p>
            <w:pPr>
              <w:spacing w:after="0"/>
              <w:rPr>
                <w:sz w:val="7"/>
                <w:szCs w:val="7"/>
                <w:color w:val="auto"/>
              </w:rPr>
            </w:pPr>
          </w:p>
        </w:tc>
        <w:tc>
          <w:tcPr>
            <w:tcW w:w="2000" w:type="dxa"/>
            <w:vAlign w:val="bottom"/>
          </w:tcPr>
          <w:p>
            <w:pPr>
              <w:spacing w:after="0"/>
              <w:rPr>
                <w:sz w:val="7"/>
                <w:szCs w:val="7"/>
                <w:color w:val="auto"/>
              </w:rPr>
            </w:pPr>
          </w:p>
        </w:tc>
      </w:tr>
      <w:tr>
        <w:trPr>
          <w:trHeight w:val="295"/>
        </w:trPr>
        <w:tc>
          <w:tcPr>
            <w:tcW w:w="27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$45.00</w:t>
            </w:r>
          </w:p>
        </w:tc>
        <w:tc>
          <w:tcPr>
            <w:tcW w:w="20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1,033,334</w:t>
            </w:r>
          </w:p>
        </w:tc>
      </w:tr>
      <w:tr>
        <w:trPr>
          <w:trHeight w:val="83"/>
        </w:trPr>
        <w:tc>
          <w:tcPr>
            <w:tcW w:w="2720" w:type="dxa"/>
            <w:vAlign w:val="bottom"/>
            <w:shd w:val="clear" w:color="auto" w:fill="F2F2F2"/>
          </w:tcPr>
          <w:p>
            <w:pPr>
              <w:spacing w:after="0"/>
              <w:rPr>
                <w:sz w:val="7"/>
                <w:szCs w:val="7"/>
                <w:color w:val="auto"/>
              </w:rPr>
            </w:pPr>
          </w:p>
        </w:tc>
        <w:tc>
          <w:tcPr>
            <w:tcW w:w="2000" w:type="dxa"/>
            <w:vAlign w:val="bottom"/>
            <w:shd w:val="clear" w:color="auto" w:fill="F2F2F2"/>
          </w:tcPr>
          <w:p>
            <w:pPr>
              <w:spacing w:after="0"/>
              <w:rPr>
                <w:sz w:val="7"/>
                <w:szCs w:val="7"/>
                <w:color w:val="auto"/>
              </w:rPr>
            </w:pPr>
          </w:p>
        </w:tc>
      </w:tr>
      <w:tr>
        <w:trPr>
          <w:trHeight w:val="295"/>
        </w:trPr>
        <w:tc>
          <w:tcPr>
            <w:tcW w:w="2720" w:type="dxa"/>
            <w:vAlign w:val="bottom"/>
          </w:tcPr>
          <w:p>
            <w:pPr>
              <w:jc w:val="center"/>
              <w:spacing w:after="0"/>
              <w:rPr>
                <w:sz w:val="20"/>
                <w:szCs w:val="20"/>
                <w:color w:val="auto"/>
              </w:rPr>
            </w:pPr>
            <w:r>
              <w:rPr>
                <w:rFonts w:ascii="Arial" w:cs="Arial" w:eastAsia="Arial" w:hAnsi="Arial"/>
                <w:sz w:val="16"/>
                <w:szCs w:val="16"/>
                <w:color w:val="auto"/>
              </w:rPr>
              <w:t>$52.50</w:t>
            </w:r>
          </w:p>
        </w:tc>
        <w:tc>
          <w:tcPr>
            <w:tcW w:w="2000" w:type="dxa"/>
            <w:vAlign w:val="bottom"/>
          </w:tcPr>
          <w:p>
            <w:pPr>
              <w:jc w:val="center"/>
              <w:spacing w:after="0"/>
              <w:rPr>
                <w:sz w:val="20"/>
                <w:szCs w:val="20"/>
                <w:color w:val="auto"/>
              </w:rPr>
            </w:pPr>
            <w:r>
              <w:rPr>
                <w:rFonts w:ascii="Arial" w:cs="Arial" w:eastAsia="Arial" w:hAnsi="Arial"/>
                <w:sz w:val="16"/>
                <w:szCs w:val="16"/>
                <w:color w:val="auto"/>
              </w:rPr>
              <w:t>1,033,333</w:t>
            </w:r>
          </w:p>
        </w:tc>
      </w:tr>
      <w:tr>
        <w:trPr>
          <w:trHeight w:val="83"/>
        </w:trPr>
        <w:tc>
          <w:tcPr>
            <w:tcW w:w="2720" w:type="dxa"/>
            <w:vAlign w:val="bottom"/>
          </w:tcPr>
          <w:p>
            <w:pPr>
              <w:spacing w:after="0"/>
              <w:rPr>
                <w:sz w:val="7"/>
                <w:szCs w:val="7"/>
                <w:color w:val="auto"/>
              </w:rPr>
            </w:pPr>
          </w:p>
        </w:tc>
        <w:tc>
          <w:tcPr>
            <w:tcW w:w="2000" w:type="dxa"/>
            <w:vAlign w:val="bottom"/>
          </w:tcPr>
          <w:p>
            <w:pPr>
              <w:spacing w:after="0"/>
              <w:rPr>
                <w:sz w:val="7"/>
                <w:szCs w:val="7"/>
                <w:color w:val="auto"/>
              </w:rPr>
            </w:pPr>
          </w:p>
        </w:tc>
      </w:tr>
      <w:tr>
        <w:trPr>
          <w:trHeight w:val="295"/>
        </w:trPr>
        <w:tc>
          <w:tcPr>
            <w:tcW w:w="27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$60.00</w:t>
            </w:r>
          </w:p>
        </w:tc>
        <w:tc>
          <w:tcPr>
            <w:tcW w:w="20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1,033,333</w:t>
            </w:r>
          </w:p>
        </w:tc>
      </w:tr>
      <w:tr>
        <w:trPr>
          <w:trHeight w:val="83"/>
        </w:trPr>
        <w:tc>
          <w:tcPr>
            <w:tcW w:w="2720" w:type="dxa"/>
            <w:vAlign w:val="bottom"/>
            <w:shd w:val="clear" w:color="auto" w:fill="F2F2F2"/>
          </w:tcPr>
          <w:p>
            <w:pPr>
              <w:spacing w:after="0"/>
              <w:rPr>
                <w:sz w:val="7"/>
                <w:szCs w:val="7"/>
                <w:color w:val="auto"/>
              </w:rPr>
            </w:pPr>
          </w:p>
        </w:tc>
        <w:tc>
          <w:tcPr>
            <w:tcW w:w="2000" w:type="dxa"/>
            <w:vAlign w:val="bottom"/>
            <w:shd w:val="clear" w:color="auto" w:fill="F2F2F2"/>
          </w:tcPr>
          <w:p>
            <w:pPr>
              <w:spacing w:after="0"/>
              <w:rPr>
                <w:sz w:val="7"/>
                <w:szCs w:val="7"/>
                <w:color w:val="auto"/>
              </w:rPr>
            </w:pPr>
          </w:p>
        </w:tc>
      </w:tr>
      <w:tr>
        <w:trPr>
          <w:trHeight w:val="295"/>
        </w:trPr>
        <w:tc>
          <w:tcPr>
            <w:tcW w:w="2720" w:type="dxa"/>
            <w:vAlign w:val="bottom"/>
          </w:tcPr>
          <w:p>
            <w:pPr>
              <w:jc w:val="center"/>
              <w:spacing w:after="0"/>
              <w:rPr>
                <w:sz w:val="20"/>
                <w:szCs w:val="20"/>
                <w:color w:val="auto"/>
              </w:rPr>
            </w:pPr>
            <w:r>
              <w:rPr>
                <w:rFonts w:ascii="Arial" w:cs="Arial" w:eastAsia="Arial" w:hAnsi="Arial"/>
                <w:sz w:val="16"/>
                <w:szCs w:val="16"/>
                <w:color w:val="auto"/>
              </w:rPr>
              <w:t>$67.50</w:t>
            </w:r>
          </w:p>
        </w:tc>
        <w:tc>
          <w:tcPr>
            <w:tcW w:w="2000" w:type="dxa"/>
            <w:vAlign w:val="bottom"/>
          </w:tcPr>
          <w:p>
            <w:pPr>
              <w:jc w:val="center"/>
              <w:spacing w:after="0"/>
              <w:rPr>
                <w:sz w:val="20"/>
                <w:szCs w:val="20"/>
                <w:color w:val="auto"/>
              </w:rPr>
            </w:pPr>
            <w:r>
              <w:rPr>
                <w:rFonts w:ascii="Arial" w:cs="Arial" w:eastAsia="Arial" w:hAnsi="Arial"/>
                <w:sz w:val="16"/>
                <w:szCs w:val="16"/>
                <w:color w:val="auto"/>
              </w:rPr>
              <w:t>1,033,333</w:t>
            </w:r>
          </w:p>
        </w:tc>
      </w:tr>
      <w:tr>
        <w:trPr>
          <w:trHeight w:val="83"/>
        </w:trPr>
        <w:tc>
          <w:tcPr>
            <w:tcW w:w="2720" w:type="dxa"/>
            <w:vAlign w:val="bottom"/>
          </w:tcPr>
          <w:p>
            <w:pPr>
              <w:spacing w:after="0"/>
              <w:rPr>
                <w:sz w:val="7"/>
                <w:szCs w:val="7"/>
                <w:color w:val="auto"/>
              </w:rPr>
            </w:pPr>
          </w:p>
        </w:tc>
        <w:tc>
          <w:tcPr>
            <w:tcW w:w="2000" w:type="dxa"/>
            <w:vAlign w:val="bottom"/>
          </w:tcPr>
          <w:p>
            <w:pPr>
              <w:spacing w:after="0"/>
              <w:rPr>
                <w:sz w:val="7"/>
                <w:szCs w:val="7"/>
                <w:color w:val="auto"/>
              </w:rPr>
            </w:pPr>
          </w:p>
        </w:tc>
      </w:tr>
      <w:tr>
        <w:trPr>
          <w:trHeight w:val="295"/>
        </w:trPr>
        <w:tc>
          <w:tcPr>
            <w:tcW w:w="27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$75.00</w:t>
            </w:r>
          </w:p>
        </w:tc>
        <w:tc>
          <w:tcPr>
            <w:tcW w:w="20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1,033,333</w:t>
            </w:r>
          </w:p>
        </w:tc>
      </w:tr>
      <w:tr>
        <w:trPr>
          <w:trHeight w:val="83"/>
        </w:trPr>
        <w:tc>
          <w:tcPr>
            <w:tcW w:w="2720" w:type="dxa"/>
            <w:vAlign w:val="bottom"/>
            <w:shd w:val="clear" w:color="auto" w:fill="F2F2F2"/>
          </w:tcPr>
          <w:p>
            <w:pPr>
              <w:spacing w:after="0"/>
              <w:rPr>
                <w:sz w:val="7"/>
                <w:szCs w:val="7"/>
                <w:color w:val="auto"/>
              </w:rPr>
            </w:pPr>
          </w:p>
        </w:tc>
        <w:tc>
          <w:tcPr>
            <w:tcW w:w="2000" w:type="dxa"/>
            <w:vAlign w:val="bottom"/>
            <w:shd w:val="clear" w:color="auto" w:fill="F2F2F2"/>
          </w:tcPr>
          <w:p>
            <w:pPr>
              <w:spacing w:after="0"/>
              <w:rPr>
                <w:sz w:val="7"/>
                <w:szCs w:val="7"/>
                <w:color w:val="auto"/>
              </w:rPr>
            </w:pPr>
          </w:p>
        </w:tc>
      </w:tr>
      <w:tr>
        <w:trPr>
          <w:trHeight w:val="295"/>
        </w:trPr>
        <w:tc>
          <w:tcPr>
            <w:tcW w:w="2720" w:type="dxa"/>
            <w:vAlign w:val="bottom"/>
          </w:tcPr>
          <w:p>
            <w:pPr>
              <w:jc w:val="center"/>
              <w:spacing w:after="0"/>
              <w:rPr>
                <w:sz w:val="20"/>
                <w:szCs w:val="20"/>
                <w:color w:val="auto"/>
              </w:rPr>
            </w:pPr>
            <w:r>
              <w:rPr>
                <w:rFonts w:ascii="Arial" w:cs="Arial" w:eastAsia="Arial" w:hAnsi="Arial"/>
                <w:sz w:val="16"/>
                <w:szCs w:val="16"/>
                <w:color w:val="auto"/>
              </w:rPr>
              <w:t>$82.50</w:t>
            </w:r>
          </w:p>
        </w:tc>
        <w:tc>
          <w:tcPr>
            <w:tcW w:w="2000" w:type="dxa"/>
            <w:vAlign w:val="bottom"/>
          </w:tcPr>
          <w:p>
            <w:pPr>
              <w:jc w:val="center"/>
              <w:spacing w:after="0"/>
              <w:rPr>
                <w:sz w:val="20"/>
                <w:szCs w:val="20"/>
                <w:color w:val="auto"/>
              </w:rPr>
            </w:pPr>
            <w:r>
              <w:rPr>
                <w:rFonts w:ascii="Arial" w:cs="Arial" w:eastAsia="Arial" w:hAnsi="Arial"/>
                <w:sz w:val="16"/>
                <w:szCs w:val="16"/>
                <w:color w:val="auto"/>
              </w:rPr>
              <w:t>1,033,333</w:t>
            </w:r>
          </w:p>
        </w:tc>
      </w:tr>
      <w:tr>
        <w:trPr>
          <w:trHeight w:val="83"/>
        </w:trPr>
        <w:tc>
          <w:tcPr>
            <w:tcW w:w="2720" w:type="dxa"/>
            <w:vAlign w:val="bottom"/>
          </w:tcPr>
          <w:p>
            <w:pPr>
              <w:spacing w:after="0"/>
              <w:rPr>
                <w:sz w:val="7"/>
                <w:szCs w:val="7"/>
                <w:color w:val="auto"/>
              </w:rPr>
            </w:pPr>
          </w:p>
        </w:tc>
        <w:tc>
          <w:tcPr>
            <w:tcW w:w="2000" w:type="dxa"/>
            <w:vAlign w:val="bottom"/>
          </w:tcPr>
          <w:p>
            <w:pPr>
              <w:spacing w:after="0"/>
              <w:rPr>
                <w:sz w:val="7"/>
                <w:szCs w:val="7"/>
                <w:color w:val="auto"/>
              </w:rPr>
            </w:pPr>
          </w:p>
        </w:tc>
      </w:tr>
      <w:tr>
        <w:trPr>
          <w:trHeight w:val="295"/>
        </w:trPr>
        <w:tc>
          <w:tcPr>
            <w:tcW w:w="27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$90.00</w:t>
            </w:r>
          </w:p>
        </w:tc>
        <w:tc>
          <w:tcPr>
            <w:tcW w:w="20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1,033,333</w:t>
            </w:r>
          </w:p>
        </w:tc>
      </w:tr>
      <w:tr>
        <w:trPr>
          <w:trHeight w:val="56"/>
        </w:trPr>
        <w:tc>
          <w:tcPr>
            <w:tcW w:w="2720" w:type="dxa"/>
            <w:vAlign w:val="bottom"/>
            <w:shd w:val="clear" w:color="auto" w:fill="F2F2F2"/>
          </w:tcPr>
          <w:p>
            <w:pPr>
              <w:spacing w:after="0"/>
              <w:rPr>
                <w:sz w:val="4"/>
                <w:szCs w:val="4"/>
                <w:color w:val="auto"/>
              </w:rPr>
            </w:pPr>
          </w:p>
        </w:tc>
        <w:tc>
          <w:tcPr>
            <w:tcW w:w="2000" w:type="dxa"/>
            <w:vAlign w:val="bottom"/>
            <w:shd w:val="clear" w:color="auto" w:fill="F2F2F2"/>
          </w:tcPr>
          <w:p>
            <w:pPr>
              <w:spacing w:after="0"/>
              <w:rPr>
                <w:sz w:val="4"/>
                <w:szCs w:val="4"/>
                <w:color w:val="auto"/>
              </w:rPr>
            </w:pPr>
          </w:p>
        </w:tc>
      </w:tr>
    </w:tbl>
    <w:p>
      <w:pPr>
        <w:spacing w:after="0" w:line="161" w:lineRule="exact"/>
        <w:rPr>
          <w:sz w:val="20"/>
          <w:szCs w:val="20"/>
          <w:color w:val="auto"/>
        </w:rPr>
      </w:pPr>
    </w:p>
    <w:p>
      <w:pPr>
        <w:ind w:left="720" w:right="780"/>
        <w:spacing w:after="0" w:line="259" w:lineRule="auto"/>
        <w:rPr>
          <w:sz w:val="20"/>
          <w:szCs w:val="20"/>
          <w:color w:val="auto"/>
        </w:rPr>
      </w:pPr>
      <w:r>
        <w:rPr>
          <w:rFonts w:ascii="Arial" w:cs="Arial" w:eastAsia="Arial" w:hAnsi="Arial"/>
          <w:sz w:val="16"/>
          <w:szCs w:val="16"/>
          <w:color w:val="auto"/>
        </w:rPr>
        <w:t>The Performance Period began on January 2, 2019, and ends on the earliest to occur of: (i) the date on which all shares subject to the Co-Founder Grant vests, (ii) the date Mr. Houston ceases to satisfy the service-based vesting condition, and (iii) March 23, 2028 (“</w:t>
      </w:r>
      <w:r>
        <w:rPr>
          <w:rFonts w:ascii="Arial" w:cs="Arial" w:eastAsia="Arial" w:hAnsi="Arial"/>
          <w:sz w:val="16"/>
          <w:szCs w:val="16"/>
          <w:b w:val="1"/>
          <w:bCs w:val="1"/>
          <w:i w:val="1"/>
          <w:iCs w:val="1"/>
          <w:color w:val="auto"/>
        </w:rPr>
        <w:t>Performance Period</w:t>
      </w:r>
      <w:r>
        <w:rPr>
          <w:rFonts w:ascii="Arial" w:cs="Arial" w:eastAsia="Arial" w:hAnsi="Arial"/>
          <w:sz w:val="16"/>
          <w:szCs w:val="16"/>
          <w:color w:val="auto"/>
        </w:rPr>
        <w:t>”). During 2021, the $30.00 Stock Price Target was achieved. As a result, on November 15, 2021, Mr. Houston vested into 2,066,667 shares.</w:t>
      </w:r>
    </w:p>
    <w:p>
      <w:pPr>
        <w:spacing w:after="0" w:line="124" w:lineRule="exact"/>
        <w:rPr>
          <w:sz w:val="20"/>
          <w:szCs w:val="20"/>
          <w:color w:val="auto"/>
        </w:rPr>
      </w:pPr>
    </w:p>
    <w:p>
      <w:pPr>
        <w:ind w:left="720" w:right="780"/>
        <w:spacing w:after="0" w:line="275" w:lineRule="auto"/>
        <w:rPr>
          <w:sz w:val="20"/>
          <w:szCs w:val="20"/>
          <w:color w:val="auto"/>
        </w:rPr>
      </w:pPr>
      <w:r>
        <w:rPr>
          <w:rFonts w:ascii="Arial" w:cs="Arial" w:eastAsia="Arial" w:hAnsi="Arial"/>
          <w:sz w:val="16"/>
          <w:szCs w:val="16"/>
          <w:color w:val="auto"/>
        </w:rPr>
        <w:t>During the first four years of the Performance Period, no more than 20% of the shares subject to the Co-Founder Grant are eligible to vest in any calendar year. After the first four years, all shares are eligible to vest based on the achievement of the Stock Price Targets.</w:t>
      </w:r>
    </w:p>
    <w:p>
      <w:pPr>
        <w:spacing w:after="0" w:line="36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51</w:t>
            </w:r>
          </w:p>
        </w:tc>
      </w:tr>
      <w:tr>
        <w:trPr>
          <w:trHeight w:val="158"/>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55" w:name="page56"/>
    <w:bookmarkEnd w:id="55"/>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384" w:lineRule="exact"/>
        <w:rPr>
          <w:sz w:val="20"/>
          <w:szCs w:val="20"/>
          <w:color w:val="auto"/>
        </w:rPr>
      </w:pPr>
    </w:p>
    <w:p>
      <w:pPr>
        <w:ind w:left="4"/>
        <w:spacing w:after="0"/>
        <w:rPr>
          <w:sz w:val="20"/>
          <w:szCs w:val="20"/>
          <w:color w:val="auto"/>
        </w:rPr>
      </w:pPr>
      <w:r>
        <w:rPr>
          <w:rFonts w:ascii="Arial" w:cs="Arial" w:eastAsia="Arial" w:hAnsi="Arial"/>
          <w:sz w:val="26"/>
          <w:szCs w:val="26"/>
          <w:color w:val="0063A6"/>
        </w:rPr>
        <w:t>Option Exercises and Stock Vested in 2021</w:t>
      </w:r>
    </w:p>
    <w:p>
      <w:pPr>
        <w:spacing w:after="0" w:line="179" w:lineRule="exact"/>
        <w:rPr>
          <w:sz w:val="20"/>
          <w:szCs w:val="20"/>
          <w:color w:val="auto"/>
        </w:rPr>
      </w:pPr>
    </w:p>
    <w:p>
      <w:pPr>
        <w:ind w:left="4" w:right="340"/>
        <w:spacing w:after="0" w:line="286" w:lineRule="auto"/>
        <w:rPr>
          <w:sz w:val="20"/>
          <w:szCs w:val="20"/>
          <w:color w:val="auto"/>
        </w:rPr>
      </w:pPr>
      <w:r>
        <w:rPr>
          <w:rFonts w:ascii="Arial" w:cs="Arial" w:eastAsia="Arial" w:hAnsi="Arial"/>
          <w:sz w:val="16"/>
          <w:szCs w:val="16"/>
          <w:color w:val="auto"/>
        </w:rPr>
        <w:t>The following table shows all stock awards vested, and value realized upon vesting, by our named executive officers during fiscal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13335</wp:posOffset>
            </wp:positionV>
            <wp:extent cx="6077585" cy="185166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6077585" cy="1851660"/>
                    </a:xfrm>
                    <a:prstGeom prst="rect">
                      <a:avLst/>
                    </a:prstGeom>
                    <a:noFill/>
                  </pic:spPr>
                </pic:pic>
              </a:graphicData>
            </a:graphic>
          </wp:anchor>
        </w:drawing>
      </w:r>
    </w:p>
    <w:p>
      <w:pPr>
        <w:spacing w:after="0" w:line="1" w:lineRule="exact"/>
        <w:rPr>
          <w:sz w:val="20"/>
          <w:szCs w:val="20"/>
          <w:color w:val="auto"/>
        </w:rPr>
      </w:pPr>
    </w:p>
    <w:tbl>
      <w:tblPr>
        <w:tblLayout w:type="fixed"/>
        <w:tblInd w:w="4" w:type="dxa"/>
        <w:tblCellMar>
          <w:top w:w="0" w:type="dxa"/>
          <w:left w:w="0" w:type="dxa"/>
          <w:bottom w:w="0" w:type="dxa"/>
          <w:right w:w="0" w:type="dxa"/>
        </w:tblCellMar>
      </w:tblPr>
      <w:tr>
        <w:trPr>
          <w:trHeight w:val="295"/>
        </w:trPr>
        <w:tc>
          <w:tcPr>
            <w:tcW w:w="40" w:type="dxa"/>
            <w:vAlign w:val="bottom"/>
            <w:shd w:val="clear" w:color="auto" w:fill="0063A6"/>
          </w:tcPr>
          <w:p>
            <w:pPr>
              <w:spacing w:after="0"/>
              <w:rPr>
                <w:sz w:val="24"/>
                <w:szCs w:val="24"/>
                <w:color w:val="auto"/>
              </w:rPr>
            </w:pPr>
          </w:p>
        </w:tc>
        <w:tc>
          <w:tcPr>
            <w:tcW w:w="2600" w:type="dxa"/>
            <w:vAlign w:val="bottom"/>
            <w:shd w:val="clear" w:color="auto" w:fill="0063A6"/>
          </w:tcPr>
          <w:p>
            <w:pPr>
              <w:spacing w:after="0"/>
              <w:rPr>
                <w:sz w:val="24"/>
                <w:szCs w:val="24"/>
                <w:color w:val="auto"/>
              </w:rPr>
            </w:pPr>
          </w:p>
        </w:tc>
        <w:tc>
          <w:tcPr>
            <w:tcW w:w="4140" w:type="dxa"/>
            <w:vAlign w:val="bottom"/>
            <w:gridSpan w:val="2"/>
            <w:shd w:val="clear" w:color="auto" w:fill="0063A6"/>
          </w:tcPr>
          <w:p>
            <w:pPr>
              <w:ind w:left="2060"/>
              <w:spacing w:after="0"/>
              <w:rPr>
                <w:sz w:val="20"/>
                <w:szCs w:val="20"/>
                <w:color w:val="auto"/>
              </w:rPr>
            </w:pPr>
            <w:r>
              <w:rPr>
                <w:rFonts w:ascii="Arial" w:cs="Arial" w:eastAsia="Arial" w:hAnsi="Arial"/>
                <w:sz w:val="14"/>
                <w:szCs w:val="14"/>
                <w:b w:val="1"/>
                <w:bCs w:val="1"/>
                <w:color w:val="FFFFFF"/>
              </w:rPr>
              <w:t>Option Awards</w:t>
            </w:r>
          </w:p>
        </w:tc>
        <w:tc>
          <w:tcPr>
            <w:tcW w:w="2780" w:type="dxa"/>
            <w:vAlign w:val="bottom"/>
            <w:gridSpan w:val="2"/>
            <w:shd w:val="clear" w:color="auto" w:fill="0063A6"/>
          </w:tcPr>
          <w:p>
            <w:pPr>
              <w:jc w:val="right"/>
              <w:ind w:right="824"/>
              <w:spacing w:after="0"/>
              <w:rPr>
                <w:sz w:val="20"/>
                <w:szCs w:val="20"/>
                <w:color w:val="auto"/>
              </w:rPr>
            </w:pPr>
            <w:r>
              <w:rPr>
                <w:rFonts w:ascii="Arial" w:cs="Arial" w:eastAsia="Arial" w:hAnsi="Arial"/>
                <w:sz w:val="14"/>
                <w:szCs w:val="14"/>
                <w:b w:val="1"/>
                <w:bCs w:val="1"/>
                <w:color w:val="FFFFFF"/>
              </w:rPr>
              <w:t>Stock Awards</w:t>
            </w:r>
          </w:p>
        </w:tc>
        <w:tc>
          <w:tcPr>
            <w:tcW w:w="0" w:type="dxa"/>
            <w:vAlign w:val="bottom"/>
          </w:tcPr>
          <w:p>
            <w:pPr>
              <w:spacing w:after="0"/>
              <w:rPr>
                <w:sz w:val="1"/>
                <w:szCs w:val="1"/>
                <w:color w:val="auto"/>
              </w:rPr>
            </w:pPr>
          </w:p>
        </w:tc>
      </w:tr>
      <w:tr>
        <w:trPr>
          <w:trHeight w:val="326"/>
        </w:trPr>
        <w:tc>
          <w:tcPr>
            <w:tcW w:w="40" w:type="dxa"/>
            <w:vAlign w:val="bottom"/>
            <w:shd w:val="clear" w:color="auto" w:fill="0063A6"/>
          </w:tcPr>
          <w:p>
            <w:pPr>
              <w:spacing w:after="0"/>
              <w:rPr>
                <w:sz w:val="24"/>
                <w:szCs w:val="24"/>
                <w:color w:val="auto"/>
              </w:rPr>
            </w:pPr>
          </w:p>
        </w:tc>
        <w:tc>
          <w:tcPr>
            <w:tcW w:w="2600" w:type="dxa"/>
            <w:vAlign w:val="bottom"/>
            <w:shd w:val="clear" w:color="auto" w:fill="0063A6"/>
          </w:tcPr>
          <w:p>
            <w:pPr>
              <w:spacing w:after="0"/>
              <w:rPr>
                <w:sz w:val="24"/>
                <w:szCs w:val="24"/>
                <w:color w:val="auto"/>
              </w:rPr>
            </w:pPr>
          </w:p>
        </w:tc>
        <w:tc>
          <w:tcPr>
            <w:tcW w:w="2640" w:type="dxa"/>
            <w:vAlign w:val="bottom"/>
            <w:shd w:val="clear" w:color="auto" w:fill="0063A6"/>
          </w:tcPr>
          <w:p>
            <w:pPr>
              <w:jc w:val="center"/>
              <w:ind w:left="883"/>
              <w:spacing w:after="0"/>
              <w:rPr>
                <w:sz w:val="20"/>
                <w:szCs w:val="20"/>
                <w:color w:val="auto"/>
              </w:rPr>
            </w:pPr>
            <w:r>
              <w:rPr>
                <w:rFonts w:ascii="Arial" w:cs="Arial" w:eastAsia="Arial" w:hAnsi="Arial"/>
                <w:sz w:val="14"/>
                <w:szCs w:val="14"/>
                <w:b w:val="1"/>
                <w:bCs w:val="1"/>
                <w:color w:val="FFFFFF"/>
              </w:rPr>
              <w:t>Option Awards –</w:t>
            </w:r>
          </w:p>
        </w:tc>
        <w:tc>
          <w:tcPr>
            <w:tcW w:w="15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Option Awards –</w:t>
            </w:r>
          </w:p>
        </w:tc>
        <w:tc>
          <w:tcPr>
            <w:tcW w:w="15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Number of Shares</w:t>
            </w:r>
          </w:p>
        </w:tc>
        <w:tc>
          <w:tcPr>
            <w:tcW w:w="1280" w:type="dxa"/>
            <w:vAlign w:val="bottom"/>
            <w:shd w:val="clear" w:color="auto" w:fill="0063A6"/>
          </w:tcPr>
          <w:p>
            <w:pPr>
              <w:jc w:val="right"/>
              <w:ind w:right="84"/>
              <w:spacing w:after="0"/>
              <w:rPr>
                <w:sz w:val="20"/>
                <w:szCs w:val="20"/>
                <w:color w:val="auto"/>
              </w:rPr>
            </w:pPr>
            <w:r>
              <w:rPr>
                <w:rFonts w:ascii="Arial" w:cs="Arial" w:eastAsia="Arial" w:hAnsi="Arial"/>
                <w:sz w:val="14"/>
                <w:szCs w:val="14"/>
                <w:b w:val="1"/>
                <w:bCs w:val="1"/>
                <w:color w:val="FFFFFF"/>
              </w:rPr>
              <w:t>Value Realized</w:t>
            </w:r>
          </w:p>
        </w:tc>
        <w:tc>
          <w:tcPr>
            <w:tcW w:w="0" w:type="dxa"/>
            <w:vAlign w:val="bottom"/>
          </w:tcPr>
          <w:p>
            <w:pPr>
              <w:spacing w:after="0"/>
              <w:rPr>
                <w:sz w:val="1"/>
                <w:szCs w:val="1"/>
                <w:color w:val="auto"/>
              </w:rPr>
            </w:pPr>
          </w:p>
        </w:tc>
      </w:tr>
      <w:tr>
        <w:trPr>
          <w:trHeight w:val="162"/>
        </w:trPr>
        <w:tc>
          <w:tcPr>
            <w:tcW w:w="40" w:type="dxa"/>
            <w:vAlign w:val="bottom"/>
            <w:shd w:val="clear" w:color="auto" w:fill="0063A6"/>
          </w:tcPr>
          <w:p>
            <w:pPr>
              <w:spacing w:after="0"/>
              <w:rPr>
                <w:sz w:val="14"/>
                <w:szCs w:val="14"/>
                <w:color w:val="auto"/>
              </w:rPr>
            </w:pPr>
          </w:p>
        </w:tc>
        <w:tc>
          <w:tcPr>
            <w:tcW w:w="2600" w:type="dxa"/>
            <w:vAlign w:val="bottom"/>
            <w:vMerge w:val="restart"/>
            <w:shd w:val="clear" w:color="auto" w:fill="0063A6"/>
          </w:tcPr>
          <w:p>
            <w:pPr>
              <w:ind w:left="40"/>
              <w:spacing w:after="0"/>
              <w:rPr>
                <w:sz w:val="20"/>
                <w:szCs w:val="20"/>
                <w:color w:val="auto"/>
              </w:rPr>
            </w:pPr>
            <w:r>
              <w:rPr>
                <w:rFonts w:ascii="Arial" w:cs="Arial" w:eastAsia="Arial" w:hAnsi="Arial"/>
                <w:sz w:val="14"/>
                <w:szCs w:val="14"/>
                <w:b w:val="1"/>
                <w:bCs w:val="1"/>
                <w:color w:val="FFFFFF"/>
              </w:rPr>
              <w:t>Name</w:t>
            </w:r>
          </w:p>
        </w:tc>
        <w:tc>
          <w:tcPr>
            <w:tcW w:w="2640" w:type="dxa"/>
            <w:vAlign w:val="bottom"/>
            <w:shd w:val="clear" w:color="auto" w:fill="0063A6"/>
          </w:tcPr>
          <w:p>
            <w:pPr>
              <w:jc w:val="center"/>
              <w:ind w:left="923"/>
              <w:spacing w:after="0"/>
              <w:rPr>
                <w:sz w:val="20"/>
                <w:szCs w:val="20"/>
                <w:color w:val="auto"/>
              </w:rPr>
            </w:pPr>
            <w:r>
              <w:rPr>
                <w:rFonts w:ascii="Arial" w:cs="Arial" w:eastAsia="Arial" w:hAnsi="Arial"/>
                <w:sz w:val="14"/>
                <w:szCs w:val="14"/>
                <w:b w:val="1"/>
                <w:bCs w:val="1"/>
                <w:color w:val="FFFFFF"/>
              </w:rPr>
              <w:t>Shares Acquired on</w:t>
            </w:r>
          </w:p>
        </w:tc>
        <w:tc>
          <w:tcPr>
            <w:tcW w:w="15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Value Realized on</w:t>
            </w:r>
          </w:p>
        </w:tc>
        <w:tc>
          <w:tcPr>
            <w:tcW w:w="15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Acquired on</w:t>
            </w:r>
          </w:p>
        </w:tc>
        <w:tc>
          <w:tcPr>
            <w:tcW w:w="1280" w:type="dxa"/>
            <w:vAlign w:val="bottom"/>
            <w:shd w:val="clear" w:color="auto" w:fill="0063A6"/>
          </w:tcPr>
          <w:p>
            <w:pPr>
              <w:jc w:val="right"/>
              <w:ind w:right="84"/>
              <w:spacing w:after="0"/>
              <w:rPr>
                <w:sz w:val="20"/>
                <w:szCs w:val="20"/>
                <w:color w:val="auto"/>
              </w:rPr>
            </w:pPr>
            <w:r>
              <w:rPr>
                <w:rFonts w:ascii="Arial" w:cs="Arial" w:eastAsia="Arial" w:hAnsi="Arial"/>
                <w:sz w:val="14"/>
                <w:szCs w:val="14"/>
                <w:b w:val="1"/>
                <w:bCs w:val="1"/>
                <w:color w:val="FFFFFF"/>
              </w:rPr>
              <w:t>on Vesting ($)</w:t>
            </w:r>
          </w:p>
        </w:tc>
        <w:tc>
          <w:tcPr>
            <w:tcW w:w="0" w:type="dxa"/>
            <w:vAlign w:val="bottom"/>
          </w:tcPr>
          <w:p>
            <w:pPr>
              <w:spacing w:after="0"/>
              <w:rPr>
                <w:sz w:val="1"/>
                <w:szCs w:val="1"/>
                <w:color w:val="auto"/>
              </w:rPr>
            </w:pPr>
          </w:p>
        </w:tc>
      </w:tr>
      <w:tr>
        <w:trPr>
          <w:trHeight w:val="257"/>
        </w:trPr>
        <w:tc>
          <w:tcPr>
            <w:tcW w:w="40" w:type="dxa"/>
            <w:vAlign w:val="bottom"/>
            <w:shd w:val="clear" w:color="auto" w:fill="0063A6"/>
          </w:tcPr>
          <w:p>
            <w:pPr>
              <w:spacing w:after="0"/>
              <w:rPr>
                <w:sz w:val="22"/>
                <w:szCs w:val="22"/>
                <w:color w:val="auto"/>
              </w:rPr>
            </w:pPr>
          </w:p>
        </w:tc>
        <w:tc>
          <w:tcPr>
            <w:tcW w:w="2600" w:type="dxa"/>
            <w:vAlign w:val="bottom"/>
            <w:vMerge w:val="continue"/>
            <w:shd w:val="clear" w:color="auto" w:fill="0063A6"/>
          </w:tcPr>
          <w:p>
            <w:pPr>
              <w:spacing w:after="0"/>
              <w:rPr>
                <w:sz w:val="22"/>
                <w:szCs w:val="22"/>
                <w:color w:val="auto"/>
              </w:rPr>
            </w:pPr>
          </w:p>
        </w:tc>
        <w:tc>
          <w:tcPr>
            <w:tcW w:w="2640" w:type="dxa"/>
            <w:vAlign w:val="bottom"/>
            <w:shd w:val="clear" w:color="auto" w:fill="0063A6"/>
          </w:tcPr>
          <w:p>
            <w:pPr>
              <w:jc w:val="center"/>
              <w:ind w:left="923"/>
              <w:spacing w:after="0"/>
              <w:rPr>
                <w:sz w:val="20"/>
                <w:szCs w:val="20"/>
                <w:color w:val="auto"/>
              </w:rPr>
            </w:pPr>
            <w:r>
              <w:rPr>
                <w:rFonts w:ascii="Arial" w:cs="Arial" w:eastAsia="Arial" w:hAnsi="Arial"/>
                <w:sz w:val="14"/>
                <w:szCs w:val="14"/>
                <w:b w:val="1"/>
                <w:bCs w:val="1"/>
                <w:color w:val="FFFFFF"/>
              </w:rPr>
              <w:t>Exercise</w:t>
            </w:r>
          </w:p>
        </w:tc>
        <w:tc>
          <w:tcPr>
            <w:tcW w:w="1500" w:type="dxa"/>
            <w:vAlign w:val="bottom"/>
            <w:shd w:val="clear" w:color="auto" w:fill="0063A6"/>
          </w:tcPr>
          <w:p>
            <w:pPr>
              <w:jc w:val="center"/>
              <w:spacing w:after="0" w:line="256" w:lineRule="exact"/>
              <w:rPr>
                <w:sz w:val="20"/>
                <w:szCs w:val="20"/>
                <w:color w:val="auto"/>
              </w:rPr>
            </w:pPr>
            <w:r>
              <w:rPr>
                <w:rFonts w:ascii="Arial" w:cs="Arial" w:eastAsia="Arial" w:hAnsi="Arial"/>
                <w:sz w:val="14"/>
                <w:szCs w:val="14"/>
                <w:b w:val="1"/>
                <w:bCs w:val="1"/>
                <w:color w:val="FFFFFF"/>
                <w:w w:val="97"/>
              </w:rPr>
              <w:t>Vesting ($)</w:t>
            </w:r>
            <w:r>
              <w:rPr>
                <w:rFonts w:ascii="Arial" w:cs="Arial" w:eastAsia="Arial" w:hAnsi="Arial"/>
                <w:sz w:val="23"/>
                <w:szCs w:val="23"/>
                <w:b w:val="1"/>
                <w:bCs w:val="1"/>
                <w:color w:val="FFFFFF"/>
                <w:w w:val="97"/>
                <w:vertAlign w:val="superscript"/>
              </w:rPr>
              <w:t>(1)</w:t>
            </w:r>
          </w:p>
        </w:tc>
        <w:tc>
          <w:tcPr>
            <w:tcW w:w="15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w w:val="98"/>
              </w:rPr>
              <w:t>Vesting</w:t>
            </w:r>
          </w:p>
        </w:tc>
        <w:tc>
          <w:tcPr>
            <w:tcW w:w="1280" w:type="dxa"/>
            <w:vAlign w:val="bottom"/>
            <w:shd w:val="clear" w:color="auto" w:fill="0063A6"/>
          </w:tcPr>
          <w:p>
            <w:pPr>
              <w:jc w:val="right"/>
              <w:ind w:right="484"/>
              <w:spacing w:after="0"/>
              <w:rPr>
                <w:sz w:val="20"/>
                <w:szCs w:val="20"/>
                <w:color w:val="auto"/>
              </w:rPr>
            </w:pPr>
            <w:r>
              <w:rPr>
                <w:rFonts w:ascii="Arial" w:cs="Arial" w:eastAsia="Arial" w:hAnsi="Arial"/>
                <w:sz w:val="12"/>
                <w:szCs w:val="12"/>
                <w:b w:val="1"/>
                <w:bCs w:val="1"/>
                <w:color w:val="FFFFFF"/>
              </w:rPr>
              <w:t>(2)</w:t>
            </w:r>
          </w:p>
        </w:tc>
        <w:tc>
          <w:tcPr>
            <w:tcW w:w="0" w:type="dxa"/>
            <w:vAlign w:val="bottom"/>
          </w:tcPr>
          <w:p>
            <w:pPr>
              <w:spacing w:after="0"/>
              <w:rPr>
                <w:sz w:val="1"/>
                <w:szCs w:val="1"/>
                <w:color w:val="auto"/>
              </w:rPr>
            </w:pPr>
          </w:p>
        </w:tc>
      </w:tr>
      <w:tr>
        <w:trPr>
          <w:trHeight w:val="295"/>
        </w:trPr>
        <w:tc>
          <w:tcPr>
            <w:tcW w:w="40" w:type="dxa"/>
            <w:vAlign w:val="bottom"/>
            <w:shd w:val="clear" w:color="auto" w:fill="F2F2F2"/>
          </w:tcPr>
          <w:p>
            <w:pPr>
              <w:spacing w:after="0"/>
              <w:rPr>
                <w:sz w:val="24"/>
                <w:szCs w:val="24"/>
                <w:color w:val="auto"/>
              </w:rPr>
            </w:pPr>
          </w:p>
        </w:tc>
        <w:tc>
          <w:tcPr>
            <w:tcW w:w="2600" w:type="dxa"/>
            <w:vAlign w:val="bottom"/>
            <w:shd w:val="clear" w:color="auto" w:fill="F2F2F2"/>
          </w:tcPr>
          <w:p>
            <w:pPr>
              <w:ind w:left="40"/>
              <w:spacing w:after="0"/>
              <w:rPr>
                <w:sz w:val="20"/>
                <w:szCs w:val="20"/>
                <w:color w:val="auto"/>
              </w:rPr>
            </w:pPr>
            <w:r>
              <w:rPr>
                <w:rFonts w:ascii="Arial" w:cs="Arial" w:eastAsia="Arial" w:hAnsi="Arial"/>
                <w:sz w:val="16"/>
                <w:szCs w:val="16"/>
                <w:color w:val="auto"/>
              </w:rPr>
              <w:t>Andrew W. Houston</w:t>
            </w:r>
          </w:p>
        </w:tc>
        <w:tc>
          <w:tcPr>
            <w:tcW w:w="2640" w:type="dxa"/>
            <w:vAlign w:val="bottom"/>
            <w:shd w:val="clear" w:color="auto" w:fill="F2F2F2"/>
          </w:tcPr>
          <w:p>
            <w:pPr>
              <w:jc w:val="center"/>
              <w:ind w:left="923"/>
              <w:spacing w:after="0"/>
              <w:rPr>
                <w:sz w:val="20"/>
                <w:szCs w:val="20"/>
                <w:color w:val="auto"/>
              </w:rPr>
            </w:pPr>
            <w:r>
              <w:rPr>
                <w:rFonts w:ascii="Arial" w:cs="Arial" w:eastAsia="Arial" w:hAnsi="Arial"/>
                <w:sz w:val="16"/>
                <w:szCs w:val="16"/>
                <w:color w:val="auto"/>
                <w:w w:val="99"/>
              </w:rPr>
              <w:t>—</w:t>
            </w:r>
          </w:p>
        </w:tc>
        <w:tc>
          <w:tcPr>
            <w:tcW w:w="150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500" w:type="dxa"/>
            <w:vAlign w:val="bottom"/>
            <w:shd w:val="clear" w:color="auto" w:fill="F2F2F2"/>
          </w:tcPr>
          <w:p>
            <w:pPr>
              <w:jc w:val="right"/>
              <w:ind w:right="303"/>
              <w:spacing w:after="0"/>
              <w:rPr>
                <w:sz w:val="20"/>
                <w:szCs w:val="20"/>
                <w:color w:val="auto"/>
              </w:rPr>
            </w:pPr>
            <w:r>
              <w:rPr>
                <w:rFonts w:ascii="Arial" w:cs="Arial" w:eastAsia="Arial" w:hAnsi="Arial"/>
                <w:sz w:val="16"/>
                <w:szCs w:val="16"/>
                <w:color w:val="auto"/>
              </w:rPr>
              <w:t>2,066,667</w:t>
            </w:r>
          </w:p>
        </w:tc>
        <w:tc>
          <w:tcPr>
            <w:tcW w:w="1280" w:type="dxa"/>
            <w:vAlign w:val="bottom"/>
            <w:shd w:val="clear" w:color="auto" w:fill="F2F2F2"/>
          </w:tcPr>
          <w:p>
            <w:pPr>
              <w:jc w:val="right"/>
              <w:ind w:right="144"/>
              <w:spacing w:after="0"/>
              <w:rPr>
                <w:sz w:val="20"/>
                <w:szCs w:val="20"/>
                <w:color w:val="auto"/>
              </w:rPr>
            </w:pPr>
            <w:r>
              <w:rPr>
                <w:rFonts w:ascii="Arial" w:cs="Arial" w:eastAsia="Arial" w:hAnsi="Arial"/>
                <w:sz w:val="16"/>
                <w:szCs w:val="16"/>
                <w:color w:val="auto"/>
              </w:rPr>
              <w:t>54,994,009</w:t>
            </w:r>
          </w:p>
        </w:tc>
        <w:tc>
          <w:tcPr>
            <w:tcW w:w="0" w:type="dxa"/>
            <w:vAlign w:val="bottom"/>
          </w:tcPr>
          <w:p>
            <w:pPr>
              <w:spacing w:after="0"/>
              <w:rPr>
                <w:sz w:val="1"/>
                <w:szCs w:val="1"/>
                <w:color w:val="auto"/>
              </w:rPr>
            </w:pPr>
          </w:p>
        </w:tc>
      </w:tr>
      <w:tr>
        <w:trPr>
          <w:trHeight w:val="83"/>
        </w:trPr>
        <w:tc>
          <w:tcPr>
            <w:tcW w:w="40" w:type="dxa"/>
            <w:vAlign w:val="bottom"/>
            <w:shd w:val="clear" w:color="auto" w:fill="F2F2F2"/>
          </w:tcPr>
          <w:p>
            <w:pPr>
              <w:spacing w:after="0"/>
              <w:rPr>
                <w:sz w:val="7"/>
                <w:szCs w:val="7"/>
                <w:color w:val="auto"/>
              </w:rPr>
            </w:pPr>
          </w:p>
        </w:tc>
        <w:tc>
          <w:tcPr>
            <w:tcW w:w="2600" w:type="dxa"/>
            <w:vAlign w:val="bottom"/>
            <w:shd w:val="clear" w:color="auto" w:fill="F2F2F2"/>
          </w:tcPr>
          <w:p>
            <w:pPr>
              <w:spacing w:after="0"/>
              <w:rPr>
                <w:sz w:val="7"/>
                <w:szCs w:val="7"/>
                <w:color w:val="auto"/>
              </w:rPr>
            </w:pPr>
          </w:p>
        </w:tc>
        <w:tc>
          <w:tcPr>
            <w:tcW w:w="2640" w:type="dxa"/>
            <w:vAlign w:val="bottom"/>
            <w:shd w:val="clear" w:color="auto" w:fill="F2F2F2"/>
          </w:tcPr>
          <w:p>
            <w:pPr>
              <w:spacing w:after="0"/>
              <w:rPr>
                <w:sz w:val="7"/>
                <w:szCs w:val="7"/>
                <w:color w:val="auto"/>
              </w:rPr>
            </w:pPr>
          </w:p>
        </w:tc>
        <w:tc>
          <w:tcPr>
            <w:tcW w:w="1500" w:type="dxa"/>
            <w:vAlign w:val="bottom"/>
            <w:shd w:val="clear" w:color="auto" w:fill="F2F2F2"/>
          </w:tcPr>
          <w:p>
            <w:pPr>
              <w:spacing w:after="0"/>
              <w:rPr>
                <w:sz w:val="7"/>
                <w:szCs w:val="7"/>
                <w:color w:val="auto"/>
              </w:rPr>
            </w:pPr>
          </w:p>
        </w:tc>
        <w:tc>
          <w:tcPr>
            <w:tcW w:w="1500" w:type="dxa"/>
            <w:vAlign w:val="bottom"/>
            <w:shd w:val="clear" w:color="auto" w:fill="F2F2F2"/>
          </w:tcPr>
          <w:p>
            <w:pPr>
              <w:spacing w:after="0"/>
              <w:rPr>
                <w:sz w:val="7"/>
                <w:szCs w:val="7"/>
                <w:color w:val="auto"/>
              </w:rPr>
            </w:pPr>
          </w:p>
        </w:tc>
        <w:tc>
          <w:tcPr>
            <w:tcW w:w="1280" w:type="dxa"/>
            <w:vAlign w:val="bottom"/>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40" w:type="dxa"/>
            <w:vAlign w:val="bottom"/>
          </w:tcPr>
          <w:p>
            <w:pPr>
              <w:spacing w:after="0"/>
              <w:rPr>
                <w:sz w:val="24"/>
                <w:szCs w:val="24"/>
                <w:color w:val="auto"/>
              </w:rPr>
            </w:pPr>
          </w:p>
        </w:tc>
        <w:tc>
          <w:tcPr>
            <w:tcW w:w="2600" w:type="dxa"/>
            <w:vAlign w:val="bottom"/>
          </w:tcPr>
          <w:p>
            <w:pPr>
              <w:ind w:left="40"/>
              <w:spacing w:after="0"/>
              <w:rPr>
                <w:sz w:val="20"/>
                <w:szCs w:val="20"/>
                <w:color w:val="auto"/>
              </w:rPr>
            </w:pPr>
            <w:r>
              <w:rPr>
                <w:rFonts w:ascii="Arial" w:cs="Arial" w:eastAsia="Arial" w:hAnsi="Arial"/>
                <w:sz w:val="16"/>
                <w:szCs w:val="16"/>
                <w:color w:val="auto"/>
              </w:rPr>
              <w:t>Timothy Regan</w:t>
            </w:r>
          </w:p>
        </w:tc>
        <w:tc>
          <w:tcPr>
            <w:tcW w:w="2640" w:type="dxa"/>
            <w:vAlign w:val="bottom"/>
          </w:tcPr>
          <w:p>
            <w:pPr>
              <w:jc w:val="center"/>
              <w:ind w:left="923"/>
              <w:spacing w:after="0"/>
              <w:rPr>
                <w:sz w:val="20"/>
                <w:szCs w:val="20"/>
                <w:color w:val="auto"/>
              </w:rPr>
            </w:pPr>
            <w:r>
              <w:rPr>
                <w:rFonts w:ascii="Arial" w:cs="Arial" w:eastAsia="Arial" w:hAnsi="Arial"/>
                <w:sz w:val="16"/>
                <w:szCs w:val="16"/>
                <w:color w:val="auto"/>
                <w:w w:val="99"/>
              </w:rPr>
              <w:t>—</w:t>
            </w:r>
          </w:p>
        </w:tc>
        <w:tc>
          <w:tcPr>
            <w:tcW w:w="15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500" w:type="dxa"/>
            <w:vAlign w:val="bottom"/>
          </w:tcPr>
          <w:p>
            <w:pPr>
              <w:ind w:left="520"/>
              <w:spacing w:after="0"/>
              <w:rPr>
                <w:sz w:val="20"/>
                <w:szCs w:val="20"/>
                <w:color w:val="auto"/>
              </w:rPr>
            </w:pPr>
            <w:r>
              <w:rPr>
                <w:rFonts w:ascii="Arial" w:cs="Arial" w:eastAsia="Arial" w:hAnsi="Arial"/>
                <w:sz w:val="16"/>
                <w:szCs w:val="16"/>
                <w:color w:val="auto"/>
              </w:rPr>
              <w:t>122,089</w:t>
            </w:r>
          </w:p>
        </w:tc>
        <w:tc>
          <w:tcPr>
            <w:tcW w:w="1280" w:type="dxa"/>
            <w:vAlign w:val="bottom"/>
          </w:tcPr>
          <w:p>
            <w:pPr>
              <w:jc w:val="right"/>
              <w:ind w:right="164"/>
              <w:spacing w:after="0"/>
              <w:rPr>
                <w:sz w:val="20"/>
                <w:szCs w:val="20"/>
                <w:color w:val="auto"/>
              </w:rPr>
            </w:pPr>
            <w:r>
              <w:rPr>
                <w:rFonts w:ascii="Arial" w:cs="Arial" w:eastAsia="Arial" w:hAnsi="Arial"/>
                <w:sz w:val="16"/>
                <w:szCs w:val="16"/>
                <w:color w:val="auto"/>
              </w:rPr>
              <w:t>3,344,631</w:t>
            </w:r>
          </w:p>
        </w:tc>
        <w:tc>
          <w:tcPr>
            <w:tcW w:w="0" w:type="dxa"/>
            <w:vAlign w:val="bottom"/>
          </w:tcPr>
          <w:p>
            <w:pPr>
              <w:spacing w:after="0"/>
              <w:rPr>
                <w:sz w:val="1"/>
                <w:szCs w:val="1"/>
                <w:color w:val="auto"/>
              </w:rPr>
            </w:pPr>
          </w:p>
        </w:tc>
      </w:tr>
      <w:tr>
        <w:trPr>
          <w:trHeight w:val="83"/>
        </w:trPr>
        <w:tc>
          <w:tcPr>
            <w:tcW w:w="40" w:type="dxa"/>
            <w:vAlign w:val="bottom"/>
          </w:tcPr>
          <w:p>
            <w:pPr>
              <w:spacing w:after="0"/>
              <w:rPr>
                <w:sz w:val="7"/>
                <w:szCs w:val="7"/>
                <w:color w:val="auto"/>
              </w:rPr>
            </w:pPr>
          </w:p>
        </w:tc>
        <w:tc>
          <w:tcPr>
            <w:tcW w:w="2600" w:type="dxa"/>
            <w:vAlign w:val="bottom"/>
          </w:tcPr>
          <w:p>
            <w:pPr>
              <w:spacing w:after="0"/>
              <w:rPr>
                <w:sz w:val="7"/>
                <w:szCs w:val="7"/>
                <w:color w:val="auto"/>
              </w:rPr>
            </w:pPr>
          </w:p>
        </w:tc>
        <w:tc>
          <w:tcPr>
            <w:tcW w:w="2640" w:type="dxa"/>
            <w:vAlign w:val="bottom"/>
          </w:tcPr>
          <w:p>
            <w:pPr>
              <w:spacing w:after="0"/>
              <w:rPr>
                <w:sz w:val="7"/>
                <w:szCs w:val="7"/>
                <w:color w:val="auto"/>
              </w:rPr>
            </w:pPr>
          </w:p>
        </w:tc>
        <w:tc>
          <w:tcPr>
            <w:tcW w:w="1500" w:type="dxa"/>
            <w:vAlign w:val="bottom"/>
          </w:tcPr>
          <w:p>
            <w:pPr>
              <w:spacing w:after="0"/>
              <w:rPr>
                <w:sz w:val="7"/>
                <w:szCs w:val="7"/>
                <w:color w:val="auto"/>
              </w:rPr>
            </w:pPr>
          </w:p>
        </w:tc>
        <w:tc>
          <w:tcPr>
            <w:tcW w:w="1500" w:type="dxa"/>
            <w:vAlign w:val="bottom"/>
          </w:tcPr>
          <w:p>
            <w:pPr>
              <w:spacing w:after="0"/>
              <w:rPr>
                <w:sz w:val="7"/>
                <w:szCs w:val="7"/>
                <w:color w:val="auto"/>
              </w:rPr>
            </w:pPr>
          </w:p>
        </w:tc>
        <w:tc>
          <w:tcPr>
            <w:tcW w:w="1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40" w:type="dxa"/>
            <w:vAlign w:val="bottom"/>
            <w:shd w:val="clear" w:color="auto" w:fill="F2F2F2"/>
          </w:tcPr>
          <w:p>
            <w:pPr>
              <w:spacing w:after="0"/>
              <w:rPr>
                <w:sz w:val="24"/>
                <w:szCs w:val="24"/>
                <w:color w:val="auto"/>
              </w:rPr>
            </w:pPr>
          </w:p>
        </w:tc>
        <w:tc>
          <w:tcPr>
            <w:tcW w:w="2600" w:type="dxa"/>
            <w:vAlign w:val="bottom"/>
            <w:shd w:val="clear" w:color="auto" w:fill="F2F2F2"/>
          </w:tcPr>
          <w:p>
            <w:pPr>
              <w:ind w:left="40"/>
              <w:spacing w:after="0"/>
              <w:rPr>
                <w:sz w:val="20"/>
                <w:szCs w:val="20"/>
                <w:color w:val="auto"/>
              </w:rPr>
            </w:pPr>
            <w:r>
              <w:rPr>
                <w:rFonts w:ascii="Arial" w:cs="Arial" w:eastAsia="Arial" w:hAnsi="Arial"/>
                <w:sz w:val="16"/>
                <w:szCs w:val="16"/>
                <w:color w:val="auto"/>
              </w:rPr>
              <w:t>Timothy Young</w:t>
            </w:r>
          </w:p>
        </w:tc>
        <w:tc>
          <w:tcPr>
            <w:tcW w:w="2640" w:type="dxa"/>
            <w:vAlign w:val="bottom"/>
            <w:shd w:val="clear" w:color="auto" w:fill="F2F2F2"/>
          </w:tcPr>
          <w:p>
            <w:pPr>
              <w:jc w:val="center"/>
              <w:ind w:left="923"/>
              <w:spacing w:after="0"/>
              <w:rPr>
                <w:sz w:val="20"/>
                <w:szCs w:val="20"/>
                <w:color w:val="auto"/>
              </w:rPr>
            </w:pPr>
            <w:r>
              <w:rPr>
                <w:rFonts w:ascii="Arial" w:cs="Arial" w:eastAsia="Arial" w:hAnsi="Arial"/>
                <w:sz w:val="16"/>
                <w:szCs w:val="16"/>
                <w:color w:val="auto"/>
                <w:w w:val="99"/>
              </w:rPr>
              <w:t>—</w:t>
            </w:r>
          </w:p>
        </w:tc>
        <w:tc>
          <w:tcPr>
            <w:tcW w:w="150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500" w:type="dxa"/>
            <w:vAlign w:val="bottom"/>
            <w:shd w:val="clear" w:color="auto" w:fill="F2F2F2"/>
          </w:tcPr>
          <w:p>
            <w:pPr>
              <w:ind w:left="520"/>
              <w:spacing w:after="0"/>
              <w:rPr>
                <w:sz w:val="20"/>
                <w:szCs w:val="20"/>
                <w:color w:val="auto"/>
              </w:rPr>
            </w:pPr>
            <w:r>
              <w:rPr>
                <w:rFonts w:ascii="Arial" w:cs="Arial" w:eastAsia="Arial" w:hAnsi="Arial"/>
                <w:sz w:val="16"/>
                <w:szCs w:val="16"/>
                <w:color w:val="auto"/>
              </w:rPr>
              <w:t>119,527</w:t>
            </w:r>
          </w:p>
        </w:tc>
        <w:tc>
          <w:tcPr>
            <w:tcW w:w="1280" w:type="dxa"/>
            <w:vAlign w:val="bottom"/>
            <w:shd w:val="clear" w:color="auto" w:fill="F2F2F2"/>
          </w:tcPr>
          <w:p>
            <w:pPr>
              <w:jc w:val="right"/>
              <w:ind w:right="164"/>
              <w:spacing w:after="0"/>
              <w:rPr>
                <w:sz w:val="20"/>
                <w:szCs w:val="20"/>
                <w:color w:val="auto"/>
              </w:rPr>
            </w:pPr>
            <w:r>
              <w:rPr>
                <w:rFonts w:ascii="Arial" w:cs="Arial" w:eastAsia="Arial" w:hAnsi="Arial"/>
                <w:sz w:val="16"/>
                <w:szCs w:val="16"/>
                <w:color w:val="auto"/>
              </w:rPr>
              <w:t>3,265,384</w:t>
            </w:r>
          </w:p>
        </w:tc>
        <w:tc>
          <w:tcPr>
            <w:tcW w:w="0" w:type="dxa"/>
            <w:vAlign w:val="bottom"/>
          </w:tcPr>
          <w:p>
            <w:pPr>
              <w:spacing w:after="0"/>
              <w:rPr>
                <w:sz w:val="1"/>
                <w:szCs w:val="1"/>
                <w:color w:val="auto"/>
              </w:rPr>
            </w:pPr>
          </w:p>
        </w:tc>
      </w:tr>
      <w:tr>
        <w:trPr>
          <w:trHeight w:val="83"/>
        </w:trPr>
        <w:tc>
          <w:tcPr>
            <w:tcW w:w="40" w:type="dxa"/>
            <w:vAlign w:val="bottom"/>
            <w:shd w:val="clear" w:color="auto" w:fill="F2F2F2"/>
          </w:tcPr>
          <w:p>
            <w:pPr>
              <w:spacing w:after="0"/>
              <w:rPr>
                <w:sz w:val="7"/>
                <w:szCs w:val="7"/>
                <w:color w:val="auto"/>
              </w:rPr>
            </w:pPr>
          </w:p>
        </w:tc>
        <w:tc>
          <w:tcPr>
            <w:tcW w:w="2600" w:type="dxa"/>
            <w:vAlign w:val="bottom"/>
            <w:shd w:val="clear" w:color="auto" w:fill="F2F2F2"/>
          </w:tcPr>
          <w:p>
            <w:pPr>
              <w:spacing w:after="0"/>
              <w:rPr>
                <w:sz w:val="7"/>
                <w:szCs w:val="7"/>
                <w:color w:val="auto"/>
              </w:rPr>
            </w:pPr>
          </w:p>
        </w:tc>
        <w:tc>
          <w:tcPr>
            <w:tcW w:w="2640" w:type="dxa"/>
            <w:vAlign w:val="bottom"/>
            <w:shd w:val="clear" w:color="auto" w:fill="F2F2F2"/>
          </w:tcPr>
          <w:p>
            <w:pPr>
              <w:spacing w:after="0"/>
              <w:rPr>
                <w:sz w:val="7"/>
                <w:szCs w:val="7"/>
                <w:color w:val="auto"/>
              </w:rPr>
            </w:pPr>
          </w:p>
        </w:tc>
        <w:tc>
          <w:tcPr>
            <w:tcW w:w="1500" w:type="dxa"/>
            <w:vAlign w:val="bottom"/>
            <w:shd w:val="clear" w:color="auto" w:fill="F2F2F2"/>
          </w:tcPr>
          <w:p>
            <w:pPr>
              <w:spacing w:after="0"/>
              <w:rPr>
                <w:sz w:val="7"/>
                <w:szCs w:val="7"/>
                <w:color w:val="auto"/>
              </w:rPr>
            </w:pPr>
          </w:p>
        </w:tc>
        <w:tc>
          <w:tcPr>
            <w:tcW w:w="1500" w:type="dxa"/>
            <w:vAlign w:val="bottom"/>
            <w:shd w:val="clear" w:color="auto" w:fill="F2F2F2"/>
          </w:tcPr>
          <w:p>
            <w:pPr>
              <w:spacing w:after="0"/>
              <w:rPr>
                <w:sz w:val="7"/>
                <w:szCs w:val="7"/>
                <w:color w:val="auto"/>
              </w:rPr>
            </w:pPr>
          </w:p>
        </w:tc>
        <w:tc>
          <w:tcPr>
            <w:tcW w:w="1280" w:type="dxa"/>
            <w:vAlign w:val="bottom"/>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40" w:type="dxa"/>
            <w:vAlign w:val="bottom"/>
          </w:tcPr>
          <w:p>
            <w:pPr>
              <w:spacing w:after="0"/>
              <w:rPr>
                <w:sz w:val="24"/>
                <w:szCs w:val="24"/>
                <w:color w:val="auto"/>
              </w:rPr>
            </w:pPr>
          </w:p>
        </w:tc>
        <w:tc>
          <w:tcPr>
            <w:tcW w:w="2600" w:type="dxa"/>
            <w:vAlign w:val="bottom"/>
          </w:tcPr>
          <w:p>
            <w:pPr>
              <w:ind w:left="40"/>
              <w:spacing w:after="0"/>
              <w:rPr>
                <w:sz w:val="20"/>
                <w:szCs w:val="20"/>
                <w:color w:val="auto"/>
              </w:rPr>
            </w:pPr>
            <w:r>
              <w:rPr>
                <w:rFonts w:ascii="Arial" w:cs="Arial" w:eastAsia="Arial" w:hAnsi="Arial"/>
                <w:sz w:val="16"/>
                <w:szCs w:val="16"/>
                <w:color w:val="auto"/>
              </w:rPr>
              <w:t>Bart E. Volkmer</w:t>
            </w:r>
          </w:p>
        </w:tc>
        <w:tc>
          <w:tcPr>
            <w:tcW w:w="2640" w:type="dxa"/>
            <w:vAlign w:val="bottom"/>
          </w:tcPr>
          <w:p>
            <w:pPr>
              <w:jc w:val="center"/>
              <w:ind w:left="903"/>
              <w:spacing w:after="0"/>
              <w:rPr>
                <w:sz w:val="20"/>
                <w:szCs w:val="20"/>
                <w:color w:val="auto"/>
              </w:rPr>
            </w:pPr>
            <w:r>
              <w:rPr>
                <w:rFonts w:ascii="Arial" w:cs="Arial" w:eastAsia="Arial" w:hAnsi="Arial"/>
                <w:sz w:val="16"/>
                <w:szCs w:val="16"/>
                <w:color w:val="auto"/>
              </w:rPr>
              <w:t>90,133</w:t>
            </w:r>
          </w:p>
        </w:tc>
        <w:tc>
          <w:tcPr>
            <w:tcW w:w="1500" w:type="dxa"/>
            <w:vAlign w:val="bottom"/>
          </w:tcPr>
          <w:p>
            <w:pPr>
              <w:jc w:val="center"/>
              <w:spacing w:after="0"/>
              <w:rPr>
                <w:sz w:val="20"/>
                <w:szCs w:val="20"/>
                <w:color w:val="auto"/>
              </w:rPr>
            </w:pPr>
            <w:r>
              <w:rPr>
                <w:rFonts w:ascii="Arial" w:cs="Arial" w:eastAsia="Arial" w:hAnsi="Arial"/>
                <w:sz w:val="16"/>
                <w:szCs w:val="16"/>
                <w:color w:val="auto"/>
              </w:rPr>
              <w:t>2,286,918</w:t>
            </w:r>
          </w:p>
        </w:tc>
        <w:tc>
          <w:tcPr>
            <w:tcW w:w="150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2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0" w:type="dxa"/>
            <w:vAlign w:val="bottom"/>
          </w:tcPr>
          <w:p>
            <w:pPr>
              <w:spacing w:after="0"/>
              <w:rPr>
                <w:sz w:val="1"/>
                <w:szCs w:val="1"/>
                <w:color w:val="auto"/>
              </w:rPr>
            </w:pPr>
          </w:p>
        </w:tc>
      </w:tr>
      <w:tr>
        <w:trPr>
          <w:trHeight w:val="83"/>
        </w:trPr>
        <w:tc>
          <w:tcPr>
            <w:tcW w:w="40" w:type="dxa"/>
            <w:vAlign w:val="bottom"/>
          </w:tcPr>
          <w:p>
            <w:pPr>
              <w:spacing w:after="0"/>
              <w:rPr>
                <w:sz w:val="7"/>
                <w:szCs w:val="7"/>
                <w:color w:val="auto"/>
              </w:rPr>
            </w:pPr>
          </w:p>
        </w:tc>
        <w:tc>
          <w:tcPr>
            <w:tcW w:w="2600" w:type="dxa"/>
            <w:vAlign w:val="bottom"/>
          </w:tcPr>
          <w:p>
            <w:pPr>
              <w:spacing w:after="0"/>
              <w:rPr>
                <w:sz w:val="7"/>
                <w:szCs w:val="7"/>
                <w:color w:val="auto"/>
              </w:rPr>
            </w:pPr>
          </w:p>
        </w:tc>
        <w:tc>
          <w:tcPr>
            <w:tcW w:w="2640" w:type="dxa"/>
            <w:vAlign w:val="bottom"/>
          </w:tcPr>
          <w:p>
            <w:pPr>
              <w:spacing w:after="0"/>
              <w:rPr>
                <w:sz w:val="7"/>
                <w:szCs w:val="7"/>
                <w:color w:val="auto"/>
              </w:rPr>
            </w:pPr>
          </w:p>
        </w:tc>
        <w:tc>
          <w:tcPr>
            <w:tcW w:w="1500" w:type="dxa"/>
            <w:vAlign w:val="bottom"/>
          </w:tcPr>
          <w:p>
            <w:pPr>
              <w:spacing w:after="0"/>
              <w:rPr>
                <w:sz w:val="7"/>
                <w:szCs w:val="7"/>
                <w:color w:val="auto"/>
              </w:rPr>
            </w:pPr>
          </w:p>
        </w:tc>
        <w:tc>
          <w:tcPr>
            <w:tcW w:w="1500" w:type="dxa"/>
            <w:vAlign w:val="bottom"/>
          </w:tcPr>
          <w:p>
            <w:pPr>
              <w:spacing w:after="0"/>
              <w:rPr>
                <w:sz w:val="7"/>
                <w:szCs w:val="7"/>
                <w:color w:val="auto"/>
              </w:rPr>
            </w:pPr>
          </w:p>
        </w:tc>
        <w:tc>
          <w:tcPr>
            <w:tcW w:w="1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95"/>
        </w:trPr>
        <w:tc>
          <w:tcPr>
            <w:tcW w:w="40" w:type="dxa"/>
            <w:vAlign w:val="bottom"/>
            <w:shd w:val="clear" w:color="auto" w:fill="F2F2F2"/>
          </w:tcPr>
          <w:p>
            <w:pPr>
              <w:spacing w:after="0"/>
              <w:rPr>
                <w:sz w:val="24"/>
                <w:szCs w:val="24"/>
                <w:color w:val="auto"/>
              </w:rPr>
            </w:pPr>
          </w:p>
        </w:tc>
        <w:tc>
          <w:tcPr>
            <w:tcW w:w="2600" w:type="dxa"/>
            <w:vAlign w:val="bottom"/>
            <w:shd w:val="clear" w:color="auto" w:fill="F2F2F2"/>
          </w:tcPr>
          <w:p>
            <w:pPr>
              <w:ind w:left="40"/>
              <w:spacing w:after="0"/>
              <w:rPr>
                <w:sz w:val="20"/>
                <w:szCs w:val="20"/>
                <w:color w:val="auto"/>
              </w:rPr>
            </w:pPr>
            <w:r>
              <w:rPr>
                <w:rFonts w:ascii="Arial" w:cs="Arial" w:eastAsia="Arial" w:hAnsi="Arial"/>
                <w:sz w:val="16"/>
                <w:szCs w:val="16"/>
                <w:color w:val="auto"/>
              </w:rPr>
              <w:t>Olivia Nottebohm</w:t>
            </w:r>
          </w:p>
        </w:tc>
        <w:tc>
          <w:tcPr>
            <w:tcW w:w="2640" w:type="dxa"/>
            <w:vAlign w:val="bottom"/>
            <w:shd w:val="clear" w:color="auto" w:fill="F2F2F2"/>
          </w:tcPr>
          <w:p>
            <w:pPr>
              <w:jc w:val="center"/>
              <w:ind w:left="923"/>
              <w:spacing w:after="0"/>
              <w:rPr>
                <w:sz w:val="20"/>
                <w:szCs w:val="20"/>
                <w:color w:val="auto"/>
              </w:rPr>
            </w:pPr>
            <w:r>
              <w:rPr>
                <w:rFonts w:ascii="Arial" w:cs="Arial" w:eastAsia="Arial" w:hAnsi="Arial"/>
                <w:sz w:val="16"/>
                <w:szCs w:val="16"/>
                <w:color w:val="auto"/>
                <w:w w:val="99"/>
              </w:rPr>
              <w:t>—</w:t>
            </w:r>
          </w:p>
        </w:tc>
        <w:tc>
          <w:tcPr>
            <w:tcW w:w="150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500" w:type="dxa"/>
            <w:vAlign w:val="bottom"/>
            <w:shd w:val="clear" w:color="auto" w:fill="F2F2F2"/>
          </w:tcPr>
          <w:p>
            <w:pPr>
              <w:ind w:left="520"/>
              <w:spacing w:after="0"/>
              <w:rPr>
                <w:sz w:val="20"/>
                <w:szCs w:val="20"/>
                <w:color w:val="auto"/>
              </w:rPr>
            </w:pPr>
            <w:r>
              <w:rPr>
                <w:rFonts w:ascii="Arial" w:cs="Arial" w:eastAsia="Arial" w:hAnsi="Arial"/>
                <w:sz w:val="16"/>
                <w:szCs w:val="16"/>
                <w:color w:val="auto"/>
              </w:rPr>
              <w:t>211,190</w:t>
            </w:r>
          </w:p>
        </w:tc>
        <w:tc>
          <w:tcPr>
            <w:tcW w:w="1280" w:type="dxa"/>
            <w:vAlign w:val="bottom"/>
            <w:shd w:val="clear" w:color="auto" w:fill="F2F2F2"/>
          </w:tcPr>
          <w:p>
            <w:pPr>
              <w:jc w:val="right"/>
              <w:ind w:right="164"/>
              <w:spacing w:after="0"/>
              <w:rPr>
                <w:sz w:val="20"/>
                <w:szCs w:val="20"/>
                <w:color w:val="auto"/>
              </w:rPr>
            </w:pPr>
            <w:r>
              <w:rPr>
                <w:rFonts w:ascii="Arial" w:cs="Arial" w:eastAsia="Arial" w:hAnsi="Arial"/>
                <w:sz w:val="16"/>
                <w:szCs w:val="16"/>
                <w:color w:val="auto"/>
              </w:rPr>
              <w:t>5,003,091</w:t>
            </w:r>
          </w:p>
        </w:tc>
        <w:tc>
          <w:tcPr>
            <w:tcW w:w="0" w:type="dxa"/>
            <w:vAlign w:val="bottom"/>
          </w:tcPr>
          <w:p>
            <w:pPr>
              <w:spacing w:after="0"/>
              <w:rPr>
                <w:sz w:val="1"/>
                <w:szCs w:val="1"/>
                <w:color w:val="auto"/>
              </w:rPr>
            </w:pPr>
          </w:p>
        </w:tc>
      </w:tr>
      <w:tr>
        <w:trPr>
          <w:trHeight w:val="56"/>
        </w:trPr>
        <w:tc>
          <w:tcPr>
            <w:tcW w:w="40" w:type="dxa"/>
            <w:vAlign w:val="bottom"/>
            <w:shd w:val="clear" w:color="auto" w:fill="F2F2F2"/>
          </w:tcPr>
          <w:p>
            <w:pPr>
              <w:spacing w:after="0"/>
              <w:rPr>
                <w:sz w:val="4"/>
                <w:szCs w:val="4"/>
                <w:color w:val="auto"/>
              </w:rPr>
            </w:pPr>
          </w:p>
        </w:tc>
        <w:tc>
          <w:tcPr>
            <w:tcW w:w="2600" w:type="dxa"/>
            <w:vAlign w:val="bottom"/>
            <w:shd w:val="clear" w:color="auto" w:fill="F2F2F2"/>
          </w:tcPr>
          <w:p>
            <w:pPr>
              <w:spacing w:after="0"/>
              <w:rPr>
                <w:sz w:val="4"/>
                <w:szCs w:val="4"/>
                <w:color w:val="auto"/>
              </w:rPr>
            </w:pPr>
          </w:p>
        </w:tc>
        <w:tc>
          <w:tcPr>
            <w:tcW w:w="2640" w:type="dxa"/>
            <w:vAlign w:val="bottom"/>
            <w:shd w:val="clear" w:color="auto" w:fill="F2F2F2"/>
          </w:tcPr>
          <w:p>
            <w:pPr>
              <w:spacing w:after="0"/>
              <w:rPr>
                <w:sz w:val="4"/>
                <w:szCs w:val="4"/>
                <w:color w:val="auto"/>
              </w:rPr>
            </w:pPr>
          </w:p>
        </w:tc>
        <w:tc>
          <w:tcPr>
            <w:tcW w:w="1500" w:type="dxa"/>
            <w:vAlign w:val="bottom"/>
            <w:shd w:val="clear" w:color="auto" w:fill="F2F2F2"/>
          </w:tcPr>
          <w:p>
            <w:pPr>
              <w:spacing w:after="0"/>
              <w:rPr>
                <w:sz w:val="4"/>
                <w:szCs w:val="4"/>
                <w:color w:val="auto"/>
              </w:rPr>
            </w:pPr>
          </w:p>
        </w:tc>
        <w:tc>
          <w:tcPr>
            <w:tcW w:w="1500" w:type="dxa"/>
            <w:vAlign w:val="bottom"/>
            <w:shd w:val="clear" w:color="auto" w:fill="F2F2F2"/>
          </w:tcPr>
          <w:p>
            <w:pPr>
              <w:spacing w:after="0"/>
              <w:rPr>
                <w:sz w:val="4"/>
                <w:szCs w:val="4"/>
                <w:color w:val="auto"/>
              </w:rPr>
            </w:pPr>
          </w:p>
        </w:tc>
        <w:tc>
          <w:tcPr>
            <w:tcW w:w="1280" w:type="dxa"/>
            <w:vAlign w:val="bottom"/>
            <w:shd w:val="clear" w:color="auto" w:fill="F2F2F2"/>
          </w:tcPr>
          <w:p>
            <w:pPr>
              <w:spacing w:after="0"/>
              <w:rPr>
                <w:sz w:val="4"/>
                <w:szCs w:val="4"/>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ind w:left="244" w:right="120" w:hanging="244"/>
        <w:spacing w:after="0" w:line="203" w:lineRule="auto"/>
        <w:tabs>
          <w:tab w:leader="none" w:pos="244" w:val="left"/>
        </w:tabs>
        <w:numPr>
          <w:ilvl w:val="0"/>
          <w:numId w:val="76"/>
        </w:numPr>
        <w:rPr>
          <w:rFonts w:ascii="Arial" w:cs="Arial" w:eastAsia="Arial" w:hAnsi="Arial"/>
          <w:sz w:val="22"/>
          <w:szCs w:val="22"/>
          <w:color w:val="auto"/>
          <w:vertAlign w:val="superscript"/>
        </w:rPr>
      </w:pPr>
      <w:r>
        <w:rPr>
          <w:rFonts w:ascii="Arial" w:cs="Arial" w:eastAsia="Arial" w:hAnsi="Arial"/>
          <w:sz w:val="14"/>
          <w:szCs w:val="14"/>
          <w:color w:val="auto"/>
        </w:rPr>
        <w:t>The value realized upon exercise of stock option awards is calculated by multiplying the shares exercised by Dropbox’s share price at the time of exercise, less the exercise price of the options.</w:t>
      </w:r>
    </w:p>
    <w:p>
      <w:pPr>
        <w:spacing w:after="0" w:line="1" w:lineRule="exact"/>
        <w:rPr>
          <w:rFonts w:ascii="Arial" w:cs="Arial" w:eastAsia="Arial" w:hAnsi="Arial"/>
          <w:sz w:val="22"/>
          <w:szCs w:val="22"/>
          <w:color w:val="auto"/>
          <w:vertAlign w:val="superscript"/>
        </w:rPr>
      </w:pPr>
    </w:p>
    <w:p>
      <w:pPr>
        <w:ind w:left="244" w:right="140" w:hanging="244"/>
        <w:spacing w:after="0" w:line="208" w:lineRule="auto"/>
        <w:tabs>
          <w:tab w:leader="none" w:pos="244" w:val="left"/>
        </w:tabs>
        <w:numPr>
          <w:ilvl w:val="0"/>
          <w:numId w:val="76"/>
        </w:numPr>
        <w:rPr>
          <w:rFonts w:ascii="Arial" w:cs="Arial" w:eastAsia="Arial" w:hAnsi="Arial"/>
          <w:sz w:val="22"/>
          <w:szCs w:val="22"/>
          <w:color w:val="auto"/>
          <w:vertAlign w:val="superscript"/>
        </w:rPr>
      </w:pPr>
      <w:r>
        <w:rPr>
          <w:rFonts w:ascii="Arial" w:cs="Arial" w:eastAsia="Arial" w:hAnsi="Arial"/>
          <w:sz w:val="14"/>
          <w:szCs w:val="14"/>
          <w:color w:val="auto"/>
        </w:rPr>
        <w:t>The value realized upon vesting of RSAs or RSUs, as applicable, is calculated by multiplying the number of shares vested by the closing price of Dropbox’s Class A common stock on the vest date (or, in the event the vest date occurs on a holiday or weekend, the closing price of Dropbox’s Class A common stock on the immediately preceding trading day).</w:t>
      </w:r>
    </w:p>
    <w:p>
      <w:pPr>
        <w:spacing w:after="0" w:line="301" w:lineRule="exact"/>
        <w:rPr>
          <w:sz w:val="20"/>
          <w:szCs w:val="20"/>
          <w:color w:val="auto"/>
        </w:rPr>
      </w:pPr>
    </w:p>
    <w:p>
      <w:pPr>
        <w:ind w:left="4"/>
        <w:spacing w:after="0"/>
        <w:rPr>
          <w:sz w:val="20"/>
          <w:szCs w:val="20"/>
          <w:color w:val="auto"/>
        </w:rPr>
      </w:pPr>
      <w:r>
        <w:rPr>
          <w:rFonts w:ascii="Arial" w:cs="Arial" w:eastAsia="Arial" w:hAnsi="Arial"/>
          <w:sz w:val="26"/>
          <w:szCs w:val="26"/>
          <w:color w:val="0063A6"/>
        </w:rPr>
        <w:t>Potential Payments on Termination or Change in Control</w:t>
      </w:r>
    </w:p>
    <w:p>
      <w:pPr>
        <w:spacing w:after="0" w:line="368"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Change in Control and Severance Agreements</w:t>
      </w:r>
    </w:p>
    <w:p>
      <w:pPr>
        <w:spacing w:after="0" w:line="46" w:lineRule="exact"/>
        <w:rPr>
          <w:sz w:val="20"/>
          <w:szCs w:val="20"/>
          <w:color w:val="auto"/>
        </w:rPr>
      </w:pPr>
    </w:p>
    <w:p>
      <w:pPr>
        <w:ind w:left="4" w:right="120"/>
        <w:spacing w:after="0" w:line="259" w:lineRule="auto"/>
        <w:rPr>
          <w:sz w:val="20"/>
          <w:szCs w:val="20"/>
          <w:color w:val="auto"/>
        </w:rPr>
      </w:pPr>
      <w:r>
        <w:rPr>
          <w:rFonts w:ascii="Arial" w:cs="Arial" w:eastAsia="Arial" w:hAnsi="Arial"/>
          <w:sz w:val="16"/>
          <w:szCs w:val="16"/>
          <w:color w:val="auto"/>
        </w:rPr>
        <w:t>In order to recruit and maintain a stable and effective management team, the compensation committee believes it is appropriate and necessary to provide assurance of certain severance and change in control benefits approved by the compensation committee, in consultation with Compensia. We entered into change in control and severance agreements with each of our named executive officers that provide for the severance and change in control benefits described below.</w:t>
      </w:r>
    </w:p>
    <w:p>
      <w:pPr>
        <w:spacing w:after="0" w:line="340"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Basic Severance</w:t>
      </w:r>
    </w:p>
    <w:p>
      <w:pPr>
        <w:spacing w:after="0" w:line="46" w:lineRule="exact"/>
        <w:rPr>
          <w:sz w:val="20"/>
          <w:szCs w:val="20"/>
          <w:color w:val="auto"/>
        </w:rPr>
      </w:pPr>
    </w:p>
    <w:p>
      <w:pPr>
        <w:ind w:left="4" w:right="320"/>
        <w:spacing w:after="0" w:line="266" w:lineRule="auto"/>
        <w:rPr>
          <w:sz w:val="20"/>
          <w:szCs w:val="20"/>
          <w:color w:val="auto"/>
        </w:rPr>
      </w:pPr>
      <w:r>
        <w:rPr>
          <w:rFonts w:ascii="Arial" w:cs="Arial" w:eastAsia="Arial" w:hAnsi="Arial"/>
          <w:sz w:val="16"/>
          <w:szCs w:val="16"/>
          <w:color w:val="auto"/>
        </w:rPr>
        <w:t>If a named executive officer’s employment is terminated by us other than for “cause,” death, or “disability” or they resign for “good reason” (as such terms are defined in their change in control and severance agreement), in either case, outside the Change in Control Period (as defined below), they will be eligible to receive the following payments and benefits:</w:t>
      </w:r>
    </w:p>
    <w:p>
      <w:pPr>
        <w:spacing w:after="0" w:line="117" w:lineRule="exact"/>
        <w:rPr>
          <w:sz w:val="20"/>
          <w:szCs w:val="20"/>
          <w:color w:val="auto"/>
        </w:rPr>
      </w:pPr>
    </w:p>
    <w:p>
      <w:pPr>
        <w:ind w:left="284" w:hanging="284"/>
        <w:spacing w:after="0" w:line="286" w:lineRule="auto"/>
        <w:tabs>
          <w:tab w:leader="none" w:pos="284" w:val="left"/>
        </w:tabs>
        <w:numPr>
          <w:ilvl w:val="0"/>
          <w:numId w:val="77"/>
        </w:numPr>
        <w:rPr>
          <w:rFonts w:ascii="Arial" w:cs="Arial" w:eastAsia="Arial" w:hAnsi="Arial"/>
          <w:sz w:val="16"/>
          <w:szCs w:val="16"/>
          <w:color w:val="0063A6"/>
        </w:rPr>
      </w:pPr>
      <w:r>
        <w:rPr>
          <w:rFonts w:ascii="Arial" w:cs="Arial" w:eastAsia="Arial" w:hAnsi="Arial"/>
          <w:sz w:val="16"/>
          <w:szCs w:val="16"/>
          <w:color w:val="auto"/>
        </w:rPr>
        <w:t>a lump-sum payment equal to 50% of annual base salary as of immediately before their termination (or, if the termination is due to a resignation for good reason based on a material reduction in base salary, then as of immediately before such reduction);</w:t>
      </w:r>
    </w:p>
    <w:p>
      <w:pPr>
        <w:spacing w:after="0" w:line="101" w:lineRule="exact"/>
        <w:rPr>
          <w:rFonts w:ascii="Arial" w:cs="Arial" w:eastAsia="Arial" w:hAnsi="Arial"/>
          <w:sz w:val="16"/>
          <w:szCs w:val="16"/>
          <w:color w:val="0063A6"/>
        </w:rPr>
      </w:pPr>
    </w:p>
    <w:p>
      <w:pPr>
        <w:jc w:val="both"/>
        <w:ind w:left="284" w:right="220" w:hanging="284"/>
        <w:spacing w:after="0" w:line="266" w:lineRule="auto"/>
        <w:tabs>
          <w:tab w:leader="none" w:pos="284" w:val="left"/>
        </w:tabs>
        <w:numPr>
          <w:ilvl w:val="0"/>
          <w:numId w:val="77"/>
        </w:numPr>
        <w:rPr>
          <w:rFonts w:ascii="Arial" w:cs="Arial" w:eastAsia="Arial" w:hAnsi="Arial"/>
          <w:sz w:val="16"/>
          <w:szCs w:val="16"/>
          <w:color w:val="0063A6"/>
        </w:rPr>
      </w:pPr>
      <w:r>
        <w:rPr>
          <w:rFonts w:ascii="Arial" w:cs="Arial" w:eastAsia="Arial" w:hAnsi="Arial"/>
          <w:sz w:val="16"/>
          <w:szCs w:val="16"/>
          <w:color w:val="auto"/>
        </w:rPr>
        <w:t>if they elect to continue health insurance coverage for themselves and their eligible dependents under COBRA, our payment of the monthly premium for such COBRA continuation coverage for up to 6 months (or monthly taxable payments to him or her in lieu of our payment of such premiums);</w:t>
      </w:r>
    </w:p>
    <w:p>
      <w:pPr>
        <w:spacing w:after="0" w:line="117" w:lineRule="exact"/>
        <w:rPr>
          <w:rFonts w:ascii="Arial" w:cs="Arial" w:eastAsia="Arial" w:hAnsi="Arial"/>
          <w:sz w:val="16"/>
          <w:szCs w:val="16"/>
          <w:color w:val="0063A6"/>
        </w:rPr>
      </w:pPr>
    </w:p>
    <w:p>
      <w:pPr>
        <w:ind w:left="284" w:right="120" w:hanging="284"/>
        <w:spacing w:after="0" w:line="266" w:lineRule="auto"/>
        <w:tabs>
          <w:tab w:leader="none" w:pos="284" w:val="left"/>
        </w:tabs>
        <w:numPr>
          <w:ilvl w:val="0"/>
          <w:numId w:val="77"/>
        </w:numPr>
        <w:rPr>
          <w:rFonts w:ascii="Arial" w:cs="Arial" w:eastAsia="Arial" w:hAnsi="Arial"/>
          <w:sz w:val="16"/>
          <w:szCs w:val="16"/>
          <w:color w:val="0063A6"/>
        </w:rPr>
      </w:pPr>
      <w:r>
        <w:rPr>
          <w:rFonts w:ascii="Arial" w:cs="Arial" w:eastAsia="Arial" w:hAnsi="Arial"/>
          <w:sz w:val="16"/>
          <w:szCs w:val="16"/>
          <w:color w:val="auto"/>
        </w:rPr>
        <w:t>in the case of Mr. Volkmer, 25% accelerated vesting of all outstanding equity awards and, with respect to equity awards with performance-based vesting, unless otherwise specified in the award agreements governing such equity awards, all performance goals or other vesting criteria will be deemed achieved at 100% of target levels; and</w:t>
      </w:r>
    </w:p>
    <w:p>
      <w:pPr>
        <w:spacing w:after="0" w:line="117" w:lineRule="exact"/>
        <w:rPr>
          <w:rFonts w:ascii="Arial" w:cs="Arial" w:eastAsia="Arial" w:hAnsi="Arial"/>
          <w:sz w:val="16"/>
          <w:szCs w:val="16"/>
          <w:color w:val="0063A6"/>
        </w:rPr>
      </w:pPr>
    </w:p>
    <w:p>
      <w:pPr>
        <w:ind w:left="284" w:right="140" w:hanging="284"/>
        <w:spacing w:after="0" w:line="286" w:lineRule="auto"/>
        <w:tabs>
          <w:tab w:leader="none" w:pos="284" w:val="left"/>
        </w:tabs>
        <w:numPr>
          <w:ilvl w:val="0"/>
          <w:numId w:val="77"/>
        </w:numPr>
        <w:rPr>
          <w:rFonts w:ascii="Arial" w:cs="Arial" w:eastAsia="Arial" w:hAnsi="Arial"/>
          <w:sz w:val="16"/>
          <w:szCs w:val="16"/>
          <w:color w:val="0063A6"/>
        </w:rPr>
      </w:pPr>
      <w:r>
        <w:rPr>
          <w:rFonts w:ascii="Arial" w:cs="Arial" w:eastAsia="Arial" w:hAnsi="Arial"/>
          <w:sz w:val="16"/>
          <w:szCs w:val="16"/>
          <w:color w:val="auto"/>
        </w:rPr>
        <w:t>in the case of Mr. Regan and Mr. Young, 3 months’ accelerated vesting of the unvested portion of outstanding time-based equity awards.</w:t>
      </w:r>
    </w:p>
    <w:p>
      <w:pPr>
        <w:spacing w:after="0" w:line="102" w:lineRule="exact"/>
        <w:rPr>
          <w:sz w:val="20"/>
          <w:szCs w:val="20"/>
          <w:color w:val="auto"/>
        </w:rPr>
      </w:pPr>
    </w:p>
    <w:p>
      <w:pPr>
        <w:ind w:left="4" w:right="180"/>
        <w:spacing w:after="0" w:line="286" w:lineRule="auto"/>
        <w:rPr>
          <w:sz w:val="20"/>
          <w:szCs w:val="20"/>
          <w:color w:val="auto"/>
        </w:rPr>
      </w:pPr>
      <w:r>
        <w:rPr>
          <w:rFonts w:ascii="Arial" w:cs="Arial" w:eastAsia="Arial" w:hAnsi="Arial"/>
          <w:sz w:val="16"/>
          <w:szCs w:val="16"/>
          <w:color w:val="auto"/>
        </w:rPr>
        <w:t>The receipt of the payments and benefits above is conditioned on the named executive officer timely signing and not revoking a release of claims, returning all documents and property belonging to us, and resigning from all officer and director positions with us.</w:t>
      </w:r>
    </w:p>
    <w:p>
      <w:pPr>
        <w:spacing w:after="0" w:line="160" w:lineRule="exact"/>
        <w:rPr>
          <w:sz w:val="20"/>
          <w:szCs w:val="20"/>
          <w:color w:val="auto"/>
        </w:rPr>
      </w:pPr>
    </w:p>
    <w:p>
      <w:pPr>
        <w:ind w:left="524" w:hanging="524"/>
        <w:spacing w:after="0"/>
        <w:tabs>
          <w:tab w:leader="none" w:pos="524" w:val="left"/>
        </w:tabs>
        <w:numPr>
          <w:ilvl w:val="0"/>
          <w:numId w:val="78"/>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56" w:name="page57"/>
    <w:bookmarkEnd w:id="56"/>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Change in Control Severance</w:t>
      </w:r>
    </w:p>
    <w:p>
      <w:pPr>
        <w:spacing w:after="0" w:line="39" w:lineRule="exact"/>
        <w:rPr>
          <w:sz w:val="20"/>
          <w:szCs w:val="20"/>
          <w:color w:val="auto"/>
        </w:rPr>
      </w:pPr>
    </w:p>
    <w:p>
      <w:pPr>
        <w:ind w:left="720" w:right="820"/>
        <w:spacing w:after="0" w:line="256" w:lineRule="auto"/>
        <w:rPr>
          <w:sz w:val="20"/>
          <w:szCs w:val="20"/>
          <w:color w:val="auto"/>
        </w:rPr>
      </w:pPr>
      <w:r>
        <w:rPr>
          <w:rFonts w:ascii="Arial" w:cs="Arial" w:eastAsia="Arial" w:hAnsi="Arial"/>
          <w:sz w:val="16"/>
          <w:szCs w:val="16"/>
          <w:color w:val="auto"/>
        </w:rPr>
        <w:t>If, within the three-month period prior to a change in control or during the 12-month period following a change in control (such period, the “</w:t>
      </w:r>
      <w:r>
        <w:rPr>
          <w:rFonts w:ascii="Arial" w:cs="Arial" w:eastAsia="Arial" w:hAnsi="Arial"/>
          <w:sz w:val="16"/>
          <w:szCs w:val="16"/>
          <w:b w:val="1"/>
          <w:bCs w:val="1"/>
          <w:i w:val="1"/>
          <w:iCs w:val="1"/>
          <w:color w:val="auto"/>
        </w:rPr>
        <w:t>Change in Control Period</w:t>
      </w:r>
      <w:r>
        <w:rPr>
          <w:rFonts w:ascii="Arial" w:cs="Arial" w:eastAsia="Arial" w:hAnsi="Arial"/>
          <w:sz w:val="16"/>
          <w:szCs w:val="16"/>
          <w:color w:val="auto"/>
        </w:rPr>
        <w:t>”), a named executive officer’s employment is terminated by us other than for cause, death, or disability or they resign for “good reason” (as defined in their change in control and severance agreement), they will be entitled to the following benefits:</w:t>
      </w:r>
    </w:p>
    <w:p>
      <w:pPr>
        <w:spacing w:after="0" w:line="99" w:lineRule="exact"/>
        <w:rPr>
          <w:sz w:val="20"/>
          <w:szCs w:val="20"/>
          <w:color w:val="auto"/>
        </w:rPr>
      </w:pPr>
    </w:p>
    <w:p>
      <w:pPr>
        <w:jc w:val="both"/>
        <w:ind w:left="1000" w:right="820" w:hanging="284"/>
        <w:spacing w:after="0" w:line="266" w:lineRule="auto"/>
        <w:tabs>
          <w:tab w:leader="none" w:pos="1000" w:val="left"/>
        </w:tabs>
        <w:numPr>
          <w:ilvl w:val="0"/>
          <w:numId w:val="79"/>
        </w:numPr>
        <w:rPr>
          <w:rFonts w:ascii="Arial" w:cs="Arial" w:eastAsia="Arial" w:hAnsi="Arial"/>
          <w:sz w:val="16"/>
          <w:szCs w:val="16"/>
          <w:color w:val="0063A6"/>
        </w:rPr>
      </w:pPr>
      <w:r>
        <w:rPr>
          <w:rFonts w:ascii="Arial" w:cs="Arial" w:eastAsia="Arial" w:hAnsi="Arial"/>
          <w:sz w:val="16"/>
          <w:szCs w:val="16"/>
          <w:color w:val="auto"/>
        </w:rPr>
        <w:t>a lump-sum payment equal to 100% of their annual base salary as of immediately before their termination (or if the termination is due to a resignation for good reason based on a material reduction in base salary, then as of immediately before such reduction) or, if such amount is greater, as of immediately before the change in control;</w:t>
      </w:r>
    </w:p>
    <w:p>
      <w:pPr>
        <w:spacing w:after="0" w:line="76" w:lineRule="exact"/>
        <w:rPr>
          <w:rFonts w:ascii="Arial" w:cs="Arial" w:eastAsia="Arial" w:hAnsi="Arial"/>
          <w:sz w:val="16"/>
          <w:szCs w:val="16"/>
          <w:color w:val="0063A6"/>
        </w:rPr>
      </w:pPr>
    </w:p>
    <w:p>
      <w:pPr>
        <w:ind w:left="1000" w:hanging="284"/>
        <w:spacing w:after="0"/>
        <w:tabs>
          <w:tab w:leader="none" w:pos="1000" w:val="left"/>
        </w:tabs>
        <w:numPr>
          <w:ilvl w:val="0"/>
          <w:numId w:val="79"/>
        </w:numPr>
        <w:rPr>
          <w:rFonts w:ascii="Arial" w:cs="Arial" w:eastAsia="Arial" w:hAnsi="Arial"/>
          <w:sz w:val="16"/>
          <w:szCs w:val="16"/>
          <w:color w:val="0063A6"/>
        </w:rPr>
      </w:pPr>
      <w:r>
        <w:rPr>
          <w:rFonts w:ascii="Arial" w:cs="Arial" w:eastAsia="Arial" w:hAnsi="Arial"/>
          <w:sz w:val="16"/>
          <w:szCs w:val="16"/>
          <w:color w:val="auto"/>
        </w:rPr>
        <w:t>a lump-sum payment equal to 100% of their target annual bonus (for the year of their termination);</w:t>
      </w:r>
    </w:p>
    <w:p>
      <w:pPr>
        <w:spacing w:after="0" w:line="126" w:lineRule="exact"/>
        <w:rPr>
          <w:rFonts w:ascii="Arial" w:cs="Arial" w:eastAsia="Arial" w:hAnsi="Arial"/>
          <w:sz w:val="16"/>
          <w:szCs w:val="16"/>
          <w:color w:val="0063A6"/>
        </w:rPr>
      </w:pPr>
    </w:p>
    <w:p>
      <w:pPr>
        <w:jc w:val="both"/>
        <w:ind w:left="1000" w:right="900" w:hanging="284"/>
        <w:spacing w:after="0" w:line="266" w:lineRule="auto"/>
        <w:tabs>
          <w:tab w:leader="none" w:pos="1000" w:val="left"/>
        </w:tabs>
        <w:numPr>
          <w:ilvl w:val="0"/>
          <w:numId w:val="79"/>
        </w:numPr>
        <w:rPr>
          <w:rFonts w:ascii="Arial" w:cs="Arial" w:eastAsia="Arial" w:hAnsi="Arial"/>
          <w:sz w:val="16"/>
          <w:szCs w:val="16"/>
          <w:color w:val="0063A6"/>
        </w:rPr>
      </w:pPr>
      <w:r>
        <w:rPr>
          <w:rFonts w:ascii="Arial" w:cs="Arial" w:eastAsia="Arial" w:hAnsi="Arial"/>
          <w:sz w:val="16"/>
          <w:szCs w:val="16"/>
          <w:color w:val="auto"/>
        </w:rPr>
        <w:t>if they elect to continue health insurance coverage for themselves and their eligible dependents under COBRA, our payment of the monthly premium for such COBRA continuation coverage for up to 12 months (or monthly taxable payments to him or her in lieu of our payment of such premiums); and</w:t>
      </w:r>
    </w:p>
    <w:p>
      <w:pPr>
        <w:spacing w:after="0" w:line="90" w:lineRule="exact"/>
        <w:rPr>
          <w:rFonts w:ascii="Arial" w:cs="Arial" w:eastAsia="Arial" w:hAnsi="Arial"/>
          <w:sz w:val="16"/>
          <w:szCs w:val="16"/>
          <w:color w:val="0063A6"/>
        </w:rPr>
      </w:pPr>
    </w:p>
    <w:p>
      <w:pPr>
        <w:ind w:left="1000" w:right="780" w:hanging="284"/>
        <w:spacing w:after="0" w:line="266" w:lineRule="auto"/>
        <w:tabs>
          <w:tab w:leader="none" w:pos="1000" w:val="left"/>
        </w:tabs>
        <w:numPr>
          <w:ilvl w:val="0"/>
          <w:numId w:val="79"/>
        </w:numPr>
        <w:rPr>
          <w:rFonts w:ascii="Arial" w:cs="Arial" w:eastAsia="Arial" w:hAnsi="Arial"/>
          <w:sz w:val="16"/>
          <w:szCs w:val="16"/>
          <w:color w:val="0063A6"/>
        </w:rPr>
      </w:pPr>
      <w:r>
        <w:rPr>
          <w:rFonts w:ascii="Arial" w:cs="Arial" w:eastAsia="Arial" w:hAnsi="Arial"/>
          <w:sz w:val="16"/>
          <w:szCs w:val="16"/>
          <w:color w:val="auto"/>
        </w:rPr>
        <w:t>100% accelerated vesting of all outstanding equity awards, and, with respect to equity awards with performance-based vesting, unless otherwise specified in the award agreements governing such equity awards, all performance goals or other vesting criteria will be deemed achieved at 100% of target levels.</w:t>
      </w:r>
    </w:p>
    <w:p>
      <w:pPr>
        <w:spacing w:after="0" w:line="117" w:lineRule="exact"/>
        <w:rPr>
          <w:sz w:val="20"/>
          <w:szCs w:val="20"/>
          <w:color w:val="auto"/>
        </w:rPr>
      </w:pPr>
    </w:p>
    <w:p>
      <w:pPr>
        <w:ind w:left="720" w:right="920"/>
        <w:spacing w:after="0" w:line="286" w:lineRule="auto"/>
        <w:rPr>
          <w:sz w:val="20"/>
          <w:szCs w:val="20"/>
          <w:color w:val="auto"/>
        </w:rPr>
      </w:pPr>
      <w:r>
        <w:rPr>
          <w:rFonts w:ascii="Arial" w:cs="Arial" w:eastAsia="Arial" w:hAnsi="Arial"/>
          <w:sz w:val="16"/>
          <w:szCs w:val="16"/>
          <w:color w:val="auto"/>
        </w:rPr>
        <w:t>The receipt of the payments and benefits above is conditioned on the named executive officer timely signing and not revoking a release of claims, returning all documents and property belonging to us, and resigning from all officer and director positions with us.</w:t>
      </w:r>
    </w:p>
    <w:p>
      <w:pPr>
        <w:spacing w:after="0" w:line="102" w:lineRule="exact"/>
        <w:rPr>
          <w:sz w:val="20"/>
          <w:szCs w:val="20"/>
          <w:color w:val="auto"/>
        </w:rPr>
      </w:pPr>
    </w:p>
    <w:p>
      <w:pPr>
        <w:ind w:left="720" w:right="840"/>
        <w:spacing w:after="0" w:line="254" w:lineRule="auto"/>
        <w:rPr>
          <w:sz w:val="20"/>
          <w:szCs w:val="20"/>
          <w:color w:val="auto"/>
        </w:rPr>
      </w:pPr>
      <w:r>
        <w:rPr>
          <w:rFonts w:ascii="Arial" w:cs="Arial" w:eastAsia="Arial" w:hAnsi="Arial"/>
          <w:sz w:val="16"/>
          <w:szCs w:val="16"/>
          <w:color w:val="auto"/>
        </w:rPr>
        <w:t>In addition, if any of the payments or benefits provided for under a change in control and severance agreement or otherwise payable to a named executive officer would constitute “parachute payments” within the meaning of Section 280G of the Internal Revenue Code and could be subject to the related excise tax, the named executive officer would be entitled to receive either full payment of such payments and benefits or such lesser amount that would result in no portion of the payments and benefits being subject to the excise tax, whichever results in the greater amount of after-tax benefits to the named executive officer. The change in control and severance agreements do not require us to provide any tax gross-up payments to our named executive officers.</w:t>
      </w:r>
    </w:p>
    <w:p>
      <w:pPr>
        <w:spacing w:after="0" w:line="182"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Certain Equity Awards</w:t>
      </w:r>
    </w:p>
    <w:p>
      <w:pPr>
        <w:spacing w:after="0" w:line="140"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Andrew Houston Co-Founder Grant</w:t>
      </w:r>
    </w:p>
    <w:p>
      <w:pPr>
        <w:spacing w:after="0" w:line="46" w:lineRule="exact"/>
        <w:rPr>
          <w:sz w:val="20"/>
          <w:szCs w:val="20"/>
          <w:color w:val="auto"/>
        </w:rPr>
      </w:pPr>
    </w:p>
    <w:p>
      <w:pPr>
        <w:ind w:left="720" w:right="820"/>
        <w:spacing w:after="0" w:line="254" w:lineRule="auto"/>
        <w:rPr>
          <w:sz w:val="20"/>
          <w:szCs w:val="20"/>
          <w:color w:val="auto"/>
        </w:rPr>
      </w:pPr>
      <w:r>
        <w:rPr>
          <w:rFonts w:ascii="Arial" w:cs="Arial" w:eastAsia="Arial" w:hAnsi="Arial"/>
          <w:sz w:val="16"/>
          <w:szCs w:val="16"/>
          <w:color w:val="auto"/>
        </w:rPr>
        <w:t>In the event of an acquisition of the company before the end of the Performance Period, Mr. Houston’s Co-Founder Grant may be eligible to vest in additional tranche(s) of shares if the per share deal price in the acquisition causes a Stock Price Target that has not previously been achieved to be satisfied, in which case the tranche(s) of shares corresponding to that Stock Price Target will vest. Additionally, if the acquisition price falls between a Stock Price Target that has been achieved and one that has not, then a portion of that tranche of shares will vest based on a linear interpolation between each of these Stock Price Targets. See “</w:t>
      </w:r>
      <w:r>
        <w:rPr>
          <w:rFonts w:ascii="Arial" w:cs="Arial" w:eastAsia="Arial" w:hAnsi="Arial"/>
          <w:sz w:val="16"/>
          <w:szCs w:val="16"/>
          <w:i w:val="1"/>
          <w:iCs w:val="1"/>
          <w:color w:val="auto"/>
        </w:rPr>
        <w:t>Co-Founder Grant</w:t>
      </w:r>
      <w:r>
        <w:rPr>
          <w:rFonts w:ascii="Arial" w:cs="Arial" w:eastAsia="Arial" w:hAnsi="Arial"/>
          <w:sz w:val="16"/>
          <w:szCs w:val="16"/>
          <w:color w:val="auto"/>
        </w:rPr>
        <w:t>” above.</w:t>
      </w:r>
    </w:p>
    <w:p>
      <w:pPr>
        <w:spacing w:after="0" w:line="182"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Timothy Young 2020 Performance-Based Restricted Stock Award</w:t>
      </w:r>
    </w:p>
    <w:p>
      <w:pPr>
        <w:spacing w:after="0" w:line="46" w:lineRule="exact"/>
        <w:rPr>
          <w:sz w:val="20"/>
          <w:szCs w:val="20"/>
          <w:color w:val="auto"/>
        </w:rPr>
      </w:pPr>
    </w:p>
    <w:p>
      <w:pPr>
        <w:ind w:left="720" w:right="1000"/>
        <w:spacing w:after="0" w:line="259" w:lineRule="auto"/>
        <w:rPr>
          <w:sz w:val="20"/>
          <w:szCs w:val="20"/>
          <w:color w:val="auto"/>
        </w:rPr>
      </w:pPr>
      <w:r>
        <w:rPr>
          <w:rFonts w:ascii="Arial" w:cs="Arial" w:eastAsia="Arial" w:hAnsi="Arial"/>
          <w:sz w:val="16"/>
          <w:szCs w:val="16"/>
          <w:color w:val="auto"/>
        </w:rPr>
        <w:t>The vesting acceleration provisions under Mr. Young’s control and severance agreement described above will not apply to the performance-based RSA granted to Mr. Young in December 2020, and instead, the shares subject to the performance-based RSA may vest in connection with certain terminations of Mr. Young’s employment and/or a “change in control” (as defined in our 2018 Equity Incentive Plan), as described below.</w:t>
      </w:r>
    </w:p>
    <w:p>
      <w:pPr>
        <w:spacing w:after="0" w:line="124" w:lineRule="exact"/>
        <w:rPr>
          <w:sz w:val="20"/>
          <w:szCs w:val="20"/>
          <w:color w:val="auto"/>
        </w:rPr>
      </w:pPr>
    </w:p>
    <w:p>
      <w:pPr>
        <w:ind w:left="720" w:right="740"/>
        <w:spacing w:after="0" w:line="250" w:lineRule="auto"/>
        <w:rPr>
          <w:sz w:val="20"/>
          <w:szCs w:val="20"/>
          <w:color w:val="auto"/>
        </w:rPr>
      </w:pPr>
      <w:r>
        <w:rPr>
          <w:rFonts w:ascii="Arial" w:cs="Arial" w:eastAsia="Arial" w:hAnsi="Arial"/>
          <w:sz w:val="16"/>
          <w:szCs w:val="16"/>
          <w:color w:val="auto"/>
        </w:rPr>
        <w:t>In the event of a change in control prior to the completion of the performance period of the performance-based RSA, Mr. Young will be eligible to vest in additional shares subject to the tranche for any uncompleted measurement period(s) if the per share deal price in the change in control (which will be treated as the stock price) causes a stock price goal that has not previously been achieved to be satisfied, in which case the shares that become eligible to vest due to the achievement of that stock price goal will vest immediately prior to the change in control, subject to Mr. Young’s continued service through the date of the change in control. Additionally, if the per share deal price in the change in control is greater than the stock price goal corresponding to a 150% multiplier and falls between a stock price goal that has been achieved and one that has not, then a portion of the shares that would have vested upon achievement of the higher stock price goal for any uncompleted measurement period(s) will vest based on a linear interpolation between each of these stock price goals. In addition, if a change in control occurs after the completion of a measurement period but before the vesting date of the shares subject to the tranche for that measurement period, the shares subject to that tranche that became eligible to vest will vest immediately prior to the change in control, subject to Mr. Young’s continued service through the date of the change in control.</w:t>
      </w:r>
    </w:p>
    <w:p>
      <w:pPr>
        <w:spacing w:after="0" w:line="322" w:lineRule="exact"/>
        <w:rPr>
          <w:sz w:val="20"/>
          <w:szCs w:val="20"/>
          <w:color w:val="auto"/>
        </w:rPr>
      </w:pPr>
    </w:p>
    <w:p>
      <w:pPr>
        <w:jc w:val="both"/>
        <w:ind w:left="720" w:right="980"/>
        <w:spacing w:after="0" w:line="266" w:lineRule="auto"/>
        <w:rPr>
          <w:sz w:val="20"/>
          <w:szCs w:val="20"/>
          <w:color w:val="auto"/>
        </w:rPr>
      </w:pPr>
      <w:r>
        <w:rPr>
          <w:rFonts w:ascii="Arial" w:cs="Arial" w:eastAsia="Arial" w:hAnsi="Arial"/>
          <w:sz w:val="16"/>
          <w:szCs w:val="16"/>
          <w:color w:val="auto"/>
        </w:rPr>
        <w:t>If Mr. Young experiences a termination of his employment with us that qualifies him to receive the severance and change in control benefits described above in “</w:t>
      </w:r>
      <w:r>
        <w:rPr>
          <w:rFonts w:ascii="Arial" w:cs="Arial" w:eastAsia="Arial" w:hAnsi="Arial"/>
          <w:sz w:val="16"/>
          <w:szCs w:val="16"/>
          <w:i w:val="1"/>
          <w:iCs w:val="1"/>
          <w:color w:val="auto"/>
        </w:rPr>
        <w:t>Change in Control Severance</w:t>
      </w:r>
      <w:r>
        <w:rPr>
          <w:rFonts w:ascii="Arial" w:cs="Arial" w:eastAsia="Arial" w:hAnsi="Arial"/>
          <w:sz w:val="16"/>
          <w:szCs w:val="16"/>
          <w:color w:val="auto"/>
        </w:rPr>
        <w:t>” and such termination occurs before the vesting date of a tranche, then the number of</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53</w:t>
            </w:r>
          </w:p>
        </w:tc>
      </w:tr>
      <w:tr>
        <w:trPr>
          <w:trHeight w:val="158"/>
        </w:trPr>
        <w:tc>
          <w:tcPr>
            <w:tcW w:w="99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57" w:name="page58"/>
    <w:bookmarkEnd w:id="57"/>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EXECUTIVE COMPENSATION (continued)</w:t>
      </w:r>
    </w:p>
    <w:p>
      <w:pPr>
        <w:spacing w:after="0" w:line="200" w:lineRule="exact"/>
        <w:rPr>
          <w:sz w:val="20"/>
          <w:szCs w:val="20"/>
          <w:color w:val="auto"/>
        </w:rPr>
      </w:pPr>
    </w:p>
    <w:p>
      <w:pPr>
        <w:spacing w:after="0" w:line="202" w:lineRule="exact"/>
        <w:rPr>
          <w:sz w:val="20"/>
          <w:szCs w:val="20"/>
          <w:color w:val="auto"/>
        </w:rPr>
      </w:pPr>
    </w:p>
    <w:p>
      <w:pPr>
        <w:ind w:left="4" w:right="200"/>
        <w:spacing w:after="0" w:line="259" w:lineRule="auto"/>
        <w:rPr>
          <w:sz w:val="20"/>
          <w:szCs w:val="20"/>
          <w:color w:val="auto"/>
        </w:rPr>
      </w:pPr>
      <w:r>
        <w:rPr>
          <w:rFonts w:ascii="Arial" w:cs="Arial" w:eastAsia="Arial" w:hAnsi="Arial"/>
          <w:sz w:val="16"/>
          <w:szCs w:val="16"/>
          <w:color w:val="auto"/>
        </w:rPr>
        <w:t>shares allocated to such tranche that will vest as of immediately before the change in control will be determined as described in the previous paragraph as if Mr. Young had remained employed by us through the date of the change in control, subject to Mr. Young satisfying the conditions to receive such severance and change in control benefits under his change in control and severance agreement.</w:t>
      </w:r>
    </w:p>
    <w:p>
      <w:pPr>
        <w:spacing w:after="0" w:line="124" w:lineRule="exact"/>
        <w:rPr>
          <w:sz w:val="20"/>
          <w:szCs w:val="20"/>
          <w:color w:val="auto"/>
        </w:rPr>
      </w:pPr>
    </w:p>
    <w:p>
      <w:pPr>
        <w:ind w:left="4" w:right="20"/>
        <w:spacing w:after="0" w:line="252" w:lineRule="auto"/>
        <w:rPr>
          <w:sz w:val="20"/>
          <w:szCs w:val="20"/>
          <w:color w:val="auto"/>
        </w:rPr>
      </w:pPr>
      <w:r>
        <w:rPr>
          <w:rFonts w:ascii="Arial" w:cs="Arial" w:eastAsia="Arial" w:hAnsi="Arial"/>
          <w:sz w:val="16"/>
          <w:szCs w:val="16"/>
          <w:color w:val="auto"/>
        </w:rPr>
        <w:t>If Mr. Young experiences a termination of his employment with us that qualifies him to receive the severance and change in control benefits described above in the “</w:t>
      </w:r>
      <w:r>
        <w:rPr>
          <w:rFonts w:ascii="Arial" w:cs="Arial" w:eastAsia="Arial" w:hAnsi="Arial"/>
          <w:sz w:val="16"/>
          <w:szCs w:val="16"/>
          <w:i w:val="1"/>
          <w:iCs w:val="1"/>
          <w:color w:val="auto"/>
        </w:rPr>
        <w:t>Basic Severance</w:t>
      </w:r>
      <w:r>
        <w:rPr>
          <w:rFonts w:ascii="Arial" w:cs="Arial" w:eastAsia="Arial" w:hAnsi="Arial"/>
          <w:sz w:val="16"/>
          <w:szCs w:val="16"/>
          <w:color w:val="auto"/>
        </w:rPr>
        <w:t>” described above and such termination occurs after the commencement of a measurement period but before the vesting date of the tranche relating to such measurement period, then 25% of the number of shares allocated to that tranche that became eligible to vest (or otherwise would have become eligible to vest had Mr. Young remained employed through the end of the measurement period or the date of a change in control, as applicable) based on the actual achievement of the stock price goals for such measurement period will vest on the earlier of the vesting date for the measurement period or a change in control, subject to Mr. Young satisfying the conditions to receive such severance and change in control benefits under his control and severance agreement.</w:t>
      </w:r>
    </w:p>
    <w:p>
      <w:pPr>
        <w:spacing w:after="0" w:line="183"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Ms. Nottebohm’s Separation</w:t>
      </w:r>
    </w:p>
    <w:p>
      <w:pPr>
        <w:spacing w:after="0" w:line="39" w:lineRule="exact"/>
        <w:rPr>
          <w:sz w:val="20"/>
          <w:szCs w:val="20"/>
          <w:color w:val="auto"/>
        </w:rPr>
      </w:pPr>
    </w:p>
    <w:p>
      <w:pPr>
        <w:ind w:left="4" w:right="240"/>
        <w:spacing w:after="0" w:line="256" w:lineRule="auto"/>
        <w:rPr>
          <w:sz w:val="20"/>
          <w:szCs w:val="20"/>
          <w:color w:val="auto"/>
        </w:rPr>
      </w:pPr>
      <w:r>
        <w:rPr>
          <w:rFonts w:ascii="Arial" w:cs="Arial" w:eastAsia="Arial" w:hAnsi="Arial"/>
          <w:sz w:val="16"/>
          <w:szCs w:val="16"/>
          <w:color w:val="auto"/>
        </w:rPr>
        <w:t>In connection with Ms. Nottebohm’s resignation as our chief operating officer, we entered into a separation and release agreement (the “</w:t>
      </w:r>
      <w:r>
        <w:rPr>
          <w:rFonts w:ascii="Arial" w:cs="Arial" w:eastAsia="Arial" w:hAnsi="Arial"/>
          <w:sz w:val="16"/>
          <w:szCs w:val="16"/>
          <w:b w:val="1"/>
          <w:bCs w:val="1"/>
          <w:i w:val="1"/>
          <w:iCs w:val="1"/>
          <w:color w:val="auto"/>
        </w:rPr>
        <w:t>Separation Agreement</w:t>
      </w:r>
      <w:r>
        <w:rPr>
          <w:rFonts w:ascii="Arial" w:cs="Arial" w:eastAsia="Arial" w:hAnsi="Arial"/>
          <w:sz w:val="16"/>
          <w:szCs w:val="16"/>
          <w:color w:val="auto"/>
        </w:rPr>
        <w:t>”) with her in January 2021. For additional information about the Separation Agreement and consideration received thereunder, see the section titled “</w:t>
      </w:r>
      <w:r>
        <w:rPr>
          <w:rFonts w:ascii="Arial" w:cs="Arial" w:eastAsia="Arial" w:hAnsi="Arial"/>
          <w:sz w:val="16"/>
          <w:szCs w:val="16"/>
          <w:i w:val="1"/>
          <w:iCs w:val="1"/>
          <w:color w:val="auto"/>
        </w:rPr>
        <w:t>Ms. Nottebohm’s Separation</w:t>
      </w:r>
      <w:r>
        <w:rPr>
          <w:rFonts w:ascii="Arial" w:cs="Arial" w:eastAsia="Arial" w:hAnsi="Arial"/>
          <w:sz w:val="16"/>
          <w:szCs w:val="16"/>
          <w:color w:val="auto"/>
        </w:rPr>
        <w:t>” in our proxy statement for the 2021 annual meeting of stockholders filed with the SEC on April 6, 2021.</w:t>
      </w:r>
    </w:p>
    <w:p>
      <w:pPr>
        <w:spacing w:after="0" w:line="180"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0063A6"/>
        </w:rPr>
        <w:t>Amount of Payments Upon Termination at 2021 Year-End</w:t>
      </w:r>
    </w:p>
    <w:p>
      <w:pPr>
        <w:spacing w:after="0" w:line="46" w:lineRule="exact"/>
        <w:rPr>
          <w:sz w:val="20"/>
          <w:szCs w:val="20"/>
          <w:color w:val="auto"/>
        </w:rPr>
      </w:pPr>
    </w:p>
    <w:p>
      <w:pPr>
        <w:ind w:left="4" w:right="140"/>
        <w:spacing w:after="0" w:line="266" w:lineRule="auto"/>
        <w:rPr>
          <w:sz w:val="20"/>
          <w:szCs w:val="20"/>
          <w:color w:val="auto"/>
        </w:rPr>
      </w:pPr>
      <w:r>
        <w:rPr>
          <w:rFonts w:ascii="Arial" w:cs="Arial" w:eastAsia="Arial" w:hAnsi="Arial"/>
          <w:sz w:val="16"/>
          <w:szCs w:val="16"/>
          <w:color w:val="auto"/>
        </w:rPr>
        <w:t>The following table describes the payments that would have been provided to each of our named executive officers in the event that they were involuntarily terminated by Dropbox without cause or resigned for good reason outside of a change in control context, assuming such termination occurred on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23495</wp:posOffset>
            </wp:positionV>
            <wp:extent cx="6077585" cy="14230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6077585" cy="1423035"/>
                    </a:xfrm>
                    <a:prstGeom prst="rect">
                      <a:avLst/>
                    </a:prstGeom>
                    <a:noFill/>
                  </pic:spPr>
                </pic:pic>
              </a:graphicData>
            </a:graphic>
          </wp:anchor>
        </w:drawing>
      </w:r>
    </w:p>
    <w:p>
      <w:pPr>
        <w:spacing w:after="0" w:line="17" w:lineRule="exact"/>
        <w:rPr>
          <w:sz w:val="20"/>
          <w:szCs w:val="20"/>
          <w:color w:val="auto"/>
        </w:rPr>
      </w:pPr>
    </w:p>
    <w:tbl>
      <w:tblPr>
        <w:tblLayout w:type="fixed"/>
        <w:tblInd w:w="4" w:type="dxa"/>
        <w:tblCellMar>
          <w:top w:w="0" w:type="dxa"/>
          <w:left w:w="0" w:type="dxa"/>
          <w:bottom w:w="0" w:type="dxa"/>
          <w:right w:w="0" w:type="dxa"/>
        </w:tblCellMar>
      </w:tblPr>
      <w:tr>
        <w:trPr>
          <w:trHeight w:val="261"/>
        </w:trPr>
        <w:tc>
          <w:tcPr>
            <w:tcW w:w="2440" w:type="dxa"/>
            <w:vAlign w:val="bottom"/>
            <w:shd w:val="clear" w:color="auto" w:fill="0063A6"/>
          </w:tcPr>
          <w:p>
            <w:pPr>
              <w:spacing w:after="0"/>
              <w:rPr>
                <w:sz w:val="22"/>
                <w:szCs w:val="22"/>
                <w:color w:val="auto"/>
              </w:rPr>
            </w:pPr>
          </w:p>
        </w:tc>
        <w:tc>
          <w:tcPr>
            <w:tcW w:w="2020" w:type="dxa"/>
            <w:vAlign w:val="bottom"/>
            <w:shd w:val="clear" w:color="auto" w:fill="0063A6"/>
          </w:tcPr>
          <w:p>
            <w:pPr>
              <w:spacing w:after="0"/>
              <w:rPr>
                <w:sz w:val="22"/>
                <w:szCs w:val="22"/>
                <w:color w:val="auto"/>
              </w:rPr>
            </w:pPr>
          </w:p>
        </w:tc>
        <w:tc>
          <w:tcPr>
            <w:tcW w:w="1380" w:type="dxa"/>
            <w:vAlign w:val="bottom"/>
            <w:shd w:val="clear" w:color="auto" w:fill="0063A6"/>
          </w:tcPr>
          <w:p>
            <w:pPr>
              <w:spacing w:after="0"/>
              <w:rPr>
                <w:sz w:val="22"/>
                <w:szCs w:val="22"/>
                <w:color w:val="auto"/>
              </w:rPr>
            </w:pPr>
          </w:p>
        </w:tc>
        <w:tc>
          <w:tcPr>
            <w:tcW w:w="15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Value of</w:t>
            </w:r>
          </w:p>
        </w:tc>
        <w:tc>
          <w:tcPr>
            <w:tcW w:w="1100" w:type="dxa"/>
            <w:vAlign w:val="bottom"/>
            <w:shd w:val="clear" w:color="auto" w:fill="0063A6"/>
          </w:tcPr>
          <w:p>
            <w:pPr>
              <w:spacing w:after="0"/>
              <w:rPr>
                <w:sz w:val="22"/>
                <w:szCs w:val="22"/>
                <w:color w:val="auto"/>
              </w:rPr>
            </w:pPr>
          </w:p>
        </w:tc>
        <w:tc>
          <w:tcPr>
            <w:tcW w:w="1100" w:type="dxa"/>
            <w:vAlign w:val="bottom"/>
            <w:shd w:val="clear" w:color="auto" w:fill="0063A6"/>
          </w:tcPr>
          <w:p>
            <w:pPr>
              <w:spacing w:after="0"/>
              <w:rPr>
                <w:sz w:val="22"/>
                <w:szCs w:val="22"/>
                <w:color w:val="auto"/>
              </w:rPr>
            </w:pPr>
          </w:p>
        </w:tc>
      </w:tr>
      <w:tr>
        <w:trPr>
          <w:trHeight w:val="162"/>
        </w:trPr>
        <w:tc>
          <w:tcPr>
            <w:tcW w:w="2440" w:type="dxa"/>
            <w:vAlign w:val="bottom"/>
            <w:shd w:val="clear" w:color="auto" w:fill="0063A6"/>
          </w:tcPr>
          <w:p>
            <w:pPr>
              <w:spacing w:after="0"/>
              <w:rPr>
                <w:sz w:val="14"/>
                <w:szCs w:val="14"/>
                <w:color w:val="auto"/>
              </w:rPr>
            </w:pPr>
          </w:p>
        </w:tc>
        <w:tc>
          <w:tcPr>
            <w:tcW w:w="2020" w:type="dxa"/>
            <w:vAlign w:val="bottom"/>
            <w:shd w:val="clear" w:color="auto" w:fill="0063A6"/>
          </w:tcPr>
          <w:p>
            <w:pPr>
              <w:jc w:val="center"/>
              <w:ind w:left="603"/>
              <w:spacing w:after="0"/>
              <w:rPr>
                <w:sz w:val="20"/>
                <w:szCs w:val="20"/>
                <w:color w:val="auto"/>
              </w:rPr>
            </w:pPr>
            <w:r>
              <w:rPr>
                <w:rFonts w:ascii="Arial" w:cs="Arial" w:eastAsia="Arial" w:hAnsi="Arial"/>
                <w:sz w:val="14"/>
                <w:szCs w:val="14"/>
                <w:b w:val="1"/>
                <w:bCs w:val="1"/>
                <w:color w:val="FFFFFF"/>
              </w:rPr>
              <w:t>Base Salary</w:t>
            </w:r>
          </w:p>
        </w:tc>
        <w:tc>
          <w:tcPr>
            <w:tcW w:w="13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Cash Bonus</w:t>
            </w:r>
          </w:p>
        </w:tc>
        <w:tc>
          <w:tcPr>
            <w:tcW w:w="15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Accelerated</w:t>
            </w:r>
          </w:p>
        </w:tc>
        <w:tc>
          <w:tcPr>
            <w:tcW w:w="11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Value of</w:t>
            </w:r>
          </w:p>
        </w:tc>
        <w:tc>
          <w:tcPr>
            <w:tcW w:w="1100" w:type="dxa"/>
            <w:vAlign w:val="bottom"/>
            <w:shd w:val="clear" w:color="auto" w:fill="0063A6"/>
          </w:tcPr>
          <w:p>
            <w:pPr>
              <w:spacing w:after="0"/>
              <w:rPr>
                <w:sz w:val="14"/>
                <w:szCs w:val="14"/>
                <w:color w:val="auto"/>
              </w:rPr>
            </w:pPr>
          </w:p>
        </w:tc>
      </w:tr>
      <w:tr>
        <w:trPr>
          <w:trHeight w:val="145"/>
        </w:trPr>
        <w:tc>
          <w:tcPr>
            <w:tcW w:w="2440" w:type="dxa"/>
            <w:vAlign w:val="bottom"/>
            <w:shd w:val="clear" w:color="auto" w:fill="0063A6"/>
          </w:tcPr>
          <w:p>
            <w:pPr>
              <w:spacing w:after="0"/>
              <w:rPr>
                <w:sz w:val="12"/>
                <w:szCs w:val="12"/>
                <w:color w:val="auto"/>
              </w:rPr>
            </w:pPr>
          </w:p>
        </w:tc>
        <w:tc>
          <w:tcPr>
            <w:tcW w:w="2020" w:type="dxa"/>
            <w:vAlign w:val="bottom"/>
            <w:shd w:val="clear" w:color="auto" w:fill="0063A6"/>
          </w:tcPr>
          <w:p>
            <w:pPr>
              <w:jc w:val="center"/>
              <w:ind w:left="583"/>
              <w:spacing w:after="0" w:line="145" w:lineRule="exact"/>
              <w:rPr>
                <w:sz w:val="20"/>
                <w:szCs w:val="20"/>
                <w:color w:val="auto"/>
              </w:rPr>
            </w:pPr>
            <w:r>
              <w:rPr>
                <w:rFonts w:ascii="Arial" w:cs="Arial" w:eastAsia="Arial" w:hAnsi="Arial"/>
                <w:sz w:val="14"/>
                <w:szCs w:val="14"/>
                <w:b w:val="1"/>
                <w:bCs w:val="1"/>
                <w:color w:val="FFFFFF"/>
              </w:rPr>
              <w:t>Component</w:t>
            </w:r>
          </w:p>
        </w:tc>
        <w:tc>
          <w:tcPr>
            <w:tcW w:w="138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Component</w:t>
            </w:r>
          </w:p>
        </w:tc>
        <w:tc>
          <w:tcPr>
            <w:tcW w:w="152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Equity Awards</w:t>
            </w:r>
          </w:p>
        </w:tc>
        <w:tc>
          <w:tcPr>
            <w:tcW w:w="110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Benefits</w:t>
            </w:r>
          </w:p>
        </w:tc>
        <w:tc>
          <w:tcPr>
            <w:tcW w:w="1100" w:type="dxa"/>
            <w:vAlign w:val="bottom"/>
            <w:shd w:val="clear" w:color="auto" w:fill="0063A6"/>
          </w:tcPr>
          <w:p>
            <w:pPr>
              <w:spacing w:after="0"/>
              <w:rPr>
                <w:sz w:val="12"/>
                <w:szCs w:val="12"/>
                <w:color w:val="auto"/>
              </w:rPr>
            </w:pPr>
          </w:p>
        </w:tc>
      </w:tr>
      <w:tr>
        <w:trPr>
          <w:trHeight w:val="269"/>
        </w:trPr>
        <w:tc>
          <w:tcPr>
            <w:tcW w:w="2440" w:type="dxa"/>
            <w:vAlign w:val="bottom"/>
            <w:shd w:val="clear" w:color="auto" w:fill="0063A6"/>
          </w:tcPr>
          <w:p>
            <w:pPr>
              <w:ind w:left="60"/>
              <w:spacing w:after="0"/>
              <w:rPr>
                <w:sz w:val="20"/>
                <w:szCs w:val="20"/>
                <w:color w:val="auto"/>
              </w:rPr>
            </w:pPr>
            <w:r>
              <w:rPr>
                <w:rFonts w:ascii="Arial" w:cs="Arial" w:eastAsia="Arial" w:hAnsi="Arial"/>
                <w:sz w:val="14"/>
                <w:szCs w:val="14"/>
                <w:b w:val="1"/>
                <w:bCs w:val="1"/>
                <w:color w:val="FFFFFF"/>
              </w:rPr>
              <w:t>Name</w:t>
            </w:r>
          </w:p>
        </w:tc>
        <w:tc>
          <w:tcPr>
            <w:tcW w:w="2020" w:type="dxa"/>
            <w:vAlign w:val="bottom"/>
            <w:shd w:val="clear" w:color="auto" w:fill="0063A6"/>
          </w:tcPr>
          <w:p>
            <w:pPr>
              <w:jc w:val="center"/>
              <w:ind w:left="643"/>
              <w:spacing w:after="0"/>
              <w:rPr>
                <w:sz w:val="20"/>
                <w:szCs w:val="20"/>
                <w:color w:val="auto"/>
              </w:rPr>
            </w:pPr>
            <w:r>
              <w:rPr>
                <w:rFonts w:ascii="Arial" w:cs="Arial" w:eastAsia="Arial" w:hAnsi="Arial"/>
                <w:sz w:val="14"/>
                <w:szCs w:val="14"/>
                <w:b w:val="1"/>
                <w:bCs w:val="1"/>
                <w:color w:val="FFFFFF"/>
              </w:rPr>
              <w:t>($)</w:t>
            </w:r>
          </w:p>
        </w:tc>
        <w:tc>
          <w:tcPr>
            <w:tcW w:w="13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w:t>
            </w:r>
          </w:p>
        </w:tc>
        <w:tc>
          <w:tcPr>
            <w:tcW w:w="15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w w:val="89"/>
              </w:rPr>
              <w:t>($)</w:t>
            </w:r>
            <w:r>
              <w:rPr>
                <w:rFonts w:ascii="Arial" w:cs="Arial" w:eastAsia="Arial" w:hAnsi="Arial"/>
                <w:sz w:val="23"/>
                <w:szCs w:val="23"/>
                <w:b w:val="1"/>
                <w:bCs w:val="1"/>
                <w:color w:val="FFFFFF"/>
                <w:w w:val="89"/>
                <w:vertAlign w:val="superscript"/>
              </w:rPr>
              <w:t>(1)</w:t>
            </w:r>
          </w:p>
        </w:tc>
        <w:tc>
          <w:tcPr>
            <w:tcW w:w="11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w:t>
            </w:r>
          </w:p>
        </w:tc>
        <w:tc>
          <w:tcPr>
            <w:tcW w:w="1100" w:type="dxa"/>
            <w:vAlign w:val="bottom"/>
            <w:shd w:val="clear" w:color="auto" w:fill="0063A6"/>
          </w:tcPr>
          <w:p>
            <w:pPr>
              <w:jc w:val="right"/>
              <w:ind w:right="101"/>
              <w:spacing w:after="0"/>
              <w:rPr>
                <w:sz w:val="20"/>
                <w:szCs w:val="20"/>
                <w:color w:val="auto"/>
              </w:rPr>
            </w:pPr>
            <w:r>
              <w:rPr>
                <w:rFonts w:ascii="Arial" w:cs="Arial" w:eastAsia="Arial" w:hAnsi="Arial"/>
                <w:sz w:val="14"/>
                <w:szCs w:val="14"/>
                <w:b w:val="1"/>
                <w:bCs w:val="1"/>
                <w:color w:val="FFFFFF"/>
              </w:rPr>
              <w:t>Total ($)</w:t>
            </w:r>
          </w:p>
        </w:tc>
      </w:tr>
      <w:tr>
        <w:trPr>
          <w:trHeight w:val="282"/>
        </w:trPr>
        <w:tc>
          <w:tcPr>
            <w:tcW w:w="2440" w:type="dxa"/>
            <w:vAlign w:val="bottom"/>
            <w:shd w:val="clear" w:color="auto" w:fill="F2F2F2"/>
          </w:tcPr>
          <w:p>
            <w:pPr>
              <w:ind w:left="60"/>
              <w:spacing w:after="0"/>
              <w:rPr>
                <w:sz w:val="20"/>
                <w:szCs w:val="20"/>
                <w:color w:val="auto"/>
              </w:rPr>
            </w:pPr>
            <w:r>
              <w:rPr>
                <w:rFonts w:ascii="Arial" w:cs="Arial" w:eastAsia="Arial" w:hAnsi="Arial"/>
                <w:sz w:val="16"/>
                <w:szCs w:val="16"/>
                <w:color w:val="auto"/>
              </w:rPr>
              <w:t>Andrew W. Houston</w:t>
            </w:r>
          </w:p>
        </w:tc>
        <w:tc>
          <w:tcPr>
            <w:tcW w:w="2020" w:type="dxa"/>
            <w:vAlign w:val="bottom"/>
            <w:shd w:val="clear" w:color="auto" w:fill="F2F2F2"/>
          </w:tcPr>
          <w:p>
            <w:pPr>
              <w:jc w:val="center"/>
              <w:ind w:left="583"/>
              <w:spacing w:after="0"/>
              <w:rPr>
                <w:sz w:val="20"/>
                <w:szCs w:val="20"/>
                <w:color w:val="auto"/>
              </w:rPr>
            </w:pPr>
            <w:r>
              <w:rPr>
                <w:rFonts w:ascii="Arial" w:cs="Arial" w:eastAsia="Arial" w:hAnsi="Arial"/>
                <w:sz w:val="16"/>
                <w:szCs w:val="16"/>
                <w:color w:val="auto"/>
              </w:rPr>
              <w:t>312,500</w:t>
            </w:r>
          </w:p>
        </w:tc>
        <w:tc>
          <w:tcPr>
            <w:tcW w:w="138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520" w:type="dxa"/>
            <w:vAlign w:val="bottom"/>
            <w:shd w:val="clear" w:color="auto" w:fill="F2F2F2"/>
          </w:tcPr>
          <w:p>
            <w:pPr>
              <w:jc w:val="right"/>
              <w:ind w:right="324"/>
              <w:spacing w:after="0"/>
              <w:rPr>
                <w:sz w:val="20"/>
                <w:szCs w:val="20"/>
                <w:color w:val="auto"/>
              </w:rPr>
            </w:pPr>
            <w:r>
              <w:rPr>
                <w:rFonts w:ascii="Arial" w:cs="Arial" w:eastAsia="Arial" w:hAnsi="Arial"/>
                <w:sz w:val="16"/>
                <w:szCs w:val="16"/>
                <w:color w:val="auto"/>
              </w:rPr>
              <w:t>—</w:t>
            </w:r>
          </w:p>
        </w:tc>
        <w:tc>
          <w:tcPr>
            <w:tcW w:w="1100" w:type="dxa"/>
            <w:vAlign w:val="bottom"/>
            <w:shd w:val="clear" w:color="auto" w:fill="F2F2F2"/>
          </w:tcPr>
          <w:p>
            <w:pPr>
              <w:jc w:val="right"/>
              <w:ind w:right="243"/>
              <w:spacing w:after="0"/>
              <w:rPr>
                <w:sz w:val="20"/>
                <w:szCs w:val="20"/>
                <w:color w:val="auto"/>
              </w:rPr>
            </w:pPr>
            <w:r>
              <w:rPr>
                <w:rFonts w:ascii="Arial" w:cs="Arial" w:eastAsia="Arial" w:hAnsi="Arial"/>
                <w:sz w:val="16"/>
                <w:szCs w:val="16"/>
                <w:color w:val="auto"/>
              </w:rPr>
              <w:t>4,797</w:t>
            </w:r>
          </w:p>
        </w:tc>
        <w:tc>
          <w:tcPr>
            <w:tcW w:w="1100" w:type="dxa"/>
            <w:vAlign w:val="bottom"/>
            <w:shd w:val="clear" w:color="auto" w:fill="F2F2F2"/>
          </w:tcPr>
          <w:p>
            <w:pPr>
              <w:jc w:val="right"/>
              <w:ind w:right="21"/>
              <w:spacing w:after="0"/>
              <w:rPr>
                <w:sz w:val="20"/>
                <w:szCs w:val="20"/>
                <w:color w:val="auto"/>
              </w:rPr>
            </w:pPr>
            <w:r>
              <w:rPr>
                <w:rFonts w:ascii="Arial" w:cs="Arial" w:eastAsia="Arial" w:hAnsi="Arial"/>
                <w:sz w:val="16"/>
                <w:szCs w:val="16"/>
                <w:color w:val="auto"/>
              </w:rPr>
              <w:t>317,297</w:t>
            </w:r>
          </w:p>
        </w:tc>
      </w:tr>
      <w:tr>
        <w:trPr>
          <w:trHeight w:val="69"/>
        </w:trPr>
        <w:tc>
          <w:tcPr>
            <w:tcW w:w="2440" w:type="dxa"/>
            <w:vAlign w:val="bottom"/>
            <w:shd w:val="clear" w:color="auto" w:fill="F2F2F2"/>
          </w:tcPr>
          <w:p>
            <w:pPr>
              <w:spacing w:after="0"/>
              <w:rPr>
                <w:sz w:val="6"/>
                <w:szCs w:val="6"/>
                <w:color w:val="auto"/>
              </w:rPr>
            </w:pPr>
          </w:p>
        </w:tc>
        <w:tc>
          <w:tcPr>
            <w:tcW w:w="2020" w:type="dxa"/>
            <w:vAlign w:val="bottom"/>
            <w:shd w:val="clear" w:color="auto" w:fill="F2F2F2"/>
          </w:tcPr>
          <w:p>
            <w:pPr>
              <w:spacing w:after="0"/>
              <w:rPr>
                <w:sz w:val="6"/>
                <w:szCs w:val="6"/>
                <w:color w:val="auto"/>
              </w:rPr>
            </w:pPr>
          </w:p>
        </w:tc>
        <w:tc>
          <w:tcPr>
            <w:tcW w:w="1380" w:type="dxa"/>
            <w:vAlign w:val="bottom"/>
            <w:shd w:val="clear" w:color="auto" w:fill="F2F2F2"/>
          </w:tcPr>
          <w:p>
            <w:pPr>
              <w:spacing w:after="0"/>
              <w:rPr>
                <w:sz w:val="6"/>
                <w:szCs w:val="6"/>
                <w:color w:val="auto"/>
              </w:rPr>
            </w:pPr>
          </w:p>
        </w:tc>
        <w:tc>
          <w:tcPr>
            <w:tcW w:w="1520" w:type="dxa"/>
            <w:vAlign w:val="bottom"/>
            <w:shd w:val="clear" w:color="auto" w:fill="F2F2F2"/>
          </w:tcPr>
          <w:p>
            <w:pPr>
              <w:spacing w:after="0"/>
              <w:rPr>
                <w:sz w:val="6"/>
                <w:szCs w:val="6"/>
                <w:color w:val="auto"/>
              </w:rPr>
            </w:pPr>
          </w:p>
        </w:tc>
        <w:tc>
          <w:tcPr>
            <w:tcW w:w="1100" w:type="dxa"/>
            <w:vAlign w:val="bottom"/>
            <w:shd w:val="clear" w:color="auto" w:fill="F2F2F2"/>
          </w:tcPr>
          <w:p>
            <w:pPr>
              <w:spacing w:after="0"/>
              <w:rPr>
                <w:sz w:val="6"/>
                <w:szCs w:val="6"/>
                <w:color w:val="auto"/>
              </w:rPr>
            </w:pPr>
          </w:p>
        </w:tc>
        <w:tc>
          <w:tcPr>
            <w:tcW w:w="1100" w:type="dxa"/>
            <w:vAlign w:val="bottom"/>
            <w:shd w:val="clear" w:color="auto" w:fill="F2F2F2"/>
          </w:tcPr>
          <w:p>
            <w:pPr>
              <w:spacing w:after="0"/>
              <w:rPr>
                <w:sz w:val="6"/>
                <w:szCs w:val="6"/>
                <w:color w:val="auto"/>
              </w:rPr>
            </w:pPr>
          </w:p>
        </w:tc>
      </w:tr>
      <w:tr>
        <w:trPr>
          <w:trHeight w:val="282"/>
        </w:trPr>
        <w:tc>
          <w:tcPr>
            <w:tcW w:w="2440" w:type="dxa"/>
            <w:vAlign w:val="bottom"/>
          </w:tcPr>
          <w:p>
            <w:pPr>
              <w:ind w:left="60"/>
              <w:spacing w:after="0"/>
              <w:rPr>
                <w:sz w:val="20"/>
                <w:szCs w:val="20"/>
                <w:color w:val="auto"/>
              </w:rPr>
            </w:pPr>
            <w:r>
              <w:rPr>
                <w:rFonts w:ascii="Arial" w:cs="Arial" w:eastAsia="Arial" w:hAnsi="Arial"/>
                <w:sz w:val="16"/>
                <w:szCs w:val="16"/>
                <w:color w:val="auto"/>
              </w:rPr>
              <w:t>Timothy Regan</w:t>
            </w:r>
          </w:p>
        </w:tc>
        <w:tc>
          <w:tcPr>
            <w:tcW w:w="2020" w:type="dxa"/>
            <w:vAlign w:val="bottom"/>
          </w:tcPr>
          <w:p>
            <w:pPr>
              <w:jc w:val="center"/>
              <w:ind w:left="583"/>
              <w:spacing w:after="0"/>
              <w:rPr>
                <w:sz w:val="20"/>
                <w:szCs w:val="20"/>
                <w:color w:val="auto"/>
              </w:rPr>
            </w:pPr>
            <w:r>
              <w:rPr>
                <w:rFonts w:ascii="Arial" w:cs="Arial" w:eastAsia="Arial" w:hAnsi="Arial"/>
                <w:sz w:val="16"/>
                <w:szCs w:val="16"/>
                <w:color w:val="auto"/>
              </w:rPr>
              <w:t>237,500</w:t>
            </w:r>
          </w:p>
        </w:tc>
        <w:tc>
          <w:tcPr>
            <w:tcW w:w="13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520" w:type="dxa"/>
            <w:vAlign w:val="bottom"/>
          </w:tcPr>
          <w:p>
            <w:pPr>
              <w:jc w:val="right"/>
              <w:ind w:right="324"/>
              <w:spacing w:after="0"/>
              <w:rPr>
                <w:sz w:val="20"/>
                <w:szCs w:val="20"/>
                <w:color w:val="auto"/>
              </w:rPr>
            </w:pPr>
            <w:r>
              <w:rPr>
                <w:rFonts w:ascii="Arial" w:cs="Arial" w:eastAsia="Arial" w:hAnsi="Arial"/>
                <w:sz w:val="16"/>
                <w:szCs w:val="16"/>
                <w:color w:val="auto"/>
              </w:rPr>
              <w:t>816,249</w:t>
            </w:r>
          </w:p>
        </w:tc>
        <w:tc>
          <w:tcPr>
            <w:tcW w:w="1100" w:type="dxa"/>
            <w:vAlign w:val="bottom"/>
          </w:tcPr>
          <w:p>
            <w:pPr>
              <w:jc w:val="center"/>
              <w:spacing w:after="0"/>
              <w:rPr>
                <w:sz w:val="20"/>
                <w:szCs w:val="20"/>
                <w:color w:val="auto"/>
              </w:rPr>
            </w:pPr>
            <w:r>
              <w:rPr>
                <w:rFonts w:ascii="Arial" w:cs="Arial" w:eastAsia="Arial" w:hAnsi="Arial"/>
                <w:sz w:val="16"/>
                <w:szCs w:val="16"/>
                <w:color w:val="auto"/>
              </w:rPr>
              <w:t>14,767</w:t>
            </w:r>
          </w:p>
        </w:tc>
        <w:tc>
          <w:tcPr>
            <w:tcW w:w="1100" w:type="dxa"/>
            <w:vAlign w:val="bottom"/>
          </w:tcPr>
          <w:p>
            <w:pPr>
              <w:jc w:val="right"/>
              <w:ind w:right="21"/>
              <w:spacing w:after="0"/>
              <w:rPr>
                <w:sz w:val="20"/>
                <w:szCs w:val="20"/>
                <w:color w:val="auto"/>
              </w:rPr>
            </w:pPr>
            <w:r>
              <w:rPr>
                <w:rFonts w:ascii="Arial" w:cs="Arial" w:eastAsia="Arial" w:hAnsi="Arial"/>
                <w:sz w:val="16"/>
                <w:szCs w:val="16"/>
                <w:color w:val="auto"/>
              </w:rPr>
              <w:t>1,068,516</w:t>
            </w:r>
          </w:p>
        </w:tc>
      </w:tr>
      <w:tr>
        <w:trPr>
          <w:trHeight w:val="70"/>
        </w:trPr>
        <w:tc>
          <w:tcPr>
            <w:tcW w:w="2440" w:type="dxa"/>
            <w:vAlign w:val="bottom"/>
          </w:tcPr>
          <w:p>
            <w:pPr>
              <w:spacing w:after="0"/>
              <w:rPr>
                <w:sz w:val="6"/>
                <w:szCs w:val="6"/>
                <w:color w:val="auto"/>
              </w:rPr>
            </w:pPr>
          </w:p>
        </w:tc>
        <w:tc>
          <w:tcPr>
            <w:tcW w:w="2020" w:type="dxa"/>
            <w:vAlign w:val="bottom"/>
          </w:tcPr>
          <w:p>
            <w:pPr>
              <w:spacing w:after="0"/>
              <w:rPr>
                <w:sz w:val="6"/>
                <w:szCs w:val="6"/>
                <w:color w:val="auto"/>
              </w:rPr>
            </w:pPr>
          </w:p>
        </w:tc>
        <w:tc>
          <w:tcPr>
            <w:tcW w:w="1380" w:type="dxa"/>
            <w:vAlign w:val="bottom"/>
          </w:tcPr>
          <w:p>
            <w:pPr>
              <w:spacing w:after="0"/>
              <w:rPr>
                <w:sz w:val="6"/>
                <w:szCs w:val="6"/>
                <w:color w:val="auto"/>
              </w:rPr>
            </w:pPr>
          </w:p>
        </w:tc>
        <w:tc>
          <w:tcPr>
            <w:tcW w:w="1520" w:type="dxa"/>
            <w:vAlign w:val="bottom"/>
          </w:tcPr>
          <w:p>
            <w:pPr>
              <w:spacing w:after="0"/>
              <w:rPr>
                <w:sz w:val="6"/>
                <w:szCs w:val="6"/>
                <w:color w:val="auto"/>
              </w:rPr>
            </w:pPr>
          </w:p>
        </w:tc>
        <w:tc>
          <w:tcPr>
            <w:tcW w:w="1100" w:type="dxa"/>
            <w:vAlign w:val="bottom"/>
          </w:tcPr>
          <w:p>
            <w:pPr>
              <w:spacing w:after="0"/>
              <w:rPr>
                <w:sz w:val="6"/>
                <w:szCs w:val="6"/>
                <w:color w:val="auto"/>
              </w:rPr>
            </w:pPr>
          </w:p>
        </w:tc>
        <w:tc>
          <w:tcPr>
            <w:tcW w:w="1100" w:type="dxa"/>
            <w:vAlign w:val="bottom"/>
          </w:tcPr>
          <w:p>
            <w:pPr>
              <w:spacing w:after="0"/>
              <w:rPr>
                <w:sz w:val="6"/>
                <w:szCs w:val="6"/>
                <w:color w:val="auto"/>
              </w:rPr>
            </w:pPr>
          </w:p>
        </w:tc>
      </w:tr>
      <w:tr>
        <w:trPr>
          <w:trHeight w:val="281"/>
        </w:trPr>
        <w:tc>
          <w:tcPr>
            <w:tcW w:w="2440" w:type="dxa"/>
            <w:vAlign w:val="bottom"/>
            <w:shd w:val="clear" w:color="auto" w:fill="F2F2F2"/>
          </w:tcPr>
          <w:p>
            <w:pPr>
              <w:ind w:left="60"/>
              <w:spacing w:after="0"/>
              <w:rPr>
                <w:sz w:val="20"/>
                <w:szCs w:val="20"/>
                <w:color w:val="auto"/>
              </w:rPr>
            </w:pPr>
            <w:r>
              <w:rPr>
                <w:rFonts w:ascii="Arial" w:cs="Arial" w:eastAsia="Arial" w:hAnsi="Arial"/>
                <w:sz w:val="16"/>
                <w:szCs w:val="16"/>
                <w:color w:val="auto"/>
              </w:rPr>
              <w:t>Timothy Young</w:t>
            </w:r>
          </w:p>
        </w:tc>
        <w:tc>
          <w:tcPr>
            <w:tcW w:w="2020" w:type="dxa"/>
            <w:vAlign w:val="bottom"/>
            <w:shd w:val="clear" w:color="auto" w:fill="F2F2F2"/>
          </w:tcPr>
          <w:p>
            <w:pPr>
              <w:jc w:val="center"/>
              <w:ind w:left="583"/>
              <w:spacing w:after="0"/>
              <w:rPr>
                <w:sz w:val="20"/>
                <w:szCs w:val="20"/>
                <w:color w:val="auto"/>
              </w:rPr>
            </w:pPr>
            <w:r>
              <w:rPr>
                <w:rFonts w:ascii="Arial" w:cs="Arial" w:eastAsia="Arial" w:hAnsi="Arial"/>
                <w:sz w:val="16"/>
                <w:szCs w:val="16"/>
                <w:color w:val="auto"/>
              </w:rPr>
              <w:t>300,000</w:t>
            </w:r>
          </w:p>
        </w:tc>
        <w:tc>
          <w:tcPr>
            <w:tcW w:w="138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520" w:type="dxa"/>
            <w:vAlign w:val="bottom"/>
            <w:shd w:val="clear" w:color="auto" w:fill="F2F2F2"/>
          </w:tcPr>
          <w:p>
            <w:pPr>
              <w:jc w:val="right"/>
              <w:ind w:right="324"/>
              <w:spacing w:after="0"/>
              <w:rPr>
                <w:sz w:val="20"/>
                <w:szCs w:val="20"/>
                <w:color w:val="auto"/>
              </w:rPr>
            </w:pPr>
            <w:r>
              <w:rPr>
                <w:rFonts w:ascii="Arial" w:cs="Arial" w:eastAsia="Arial" w:hAnsi="Arial"/>
                <w:sz w:val="16"/>
                <w:szCs w:val="16"/>
                <w:color w:val="auto"/>
              </w:rPr>
              <w:t>1,615,198</w:t>
            </w:r>
          </w:p>
        </w:tc>
        <w:tc>
          <w:tcPr>
            <w:tcW w:w="1100" w:type="dxa"/>
            <w:vAlign w:val="bottom"/>
            <w:shd w:val="clear" w:color="auto" w:fill="F2F2F2"/>
          </w:tcPr>
          <w:p>
            <w:pPr>
              <w:jc w:val="right"/>
              <w:ind w:right="243"/>
              <w:spacing w:after="0"/>
              <w:rPr>
                <w:sz w:val="20"/>
                <w:szCs w:val="20"/>
                <w:color w:val="auto"/>
              </w:rPr>
            </w:pPr>
            <w:r>
              <w:rPr>
                <w:rFonts w:ascii="Arial" w:cs="Arial" w:eastAsia="Arial" w:hAnsi="Arial"/>
                <w:sz w:val="16"/>
                <w:szCs w:val="16"/>
                <w:color w:val="auto"/>
              </w:rPr>
              <w:t>8,758</w:t>
            </w:r>
          </w:p>
        </w:tc>
        <w:tc>
          <w:tcPr>
            <w:tcW w:w="1100" w:type="dxa"/>
            <w:vAlign w:val="bottom"/>
            <w:shd w:val="clear" w:color="auto" w:fill="F2F2F2"/>
          </w:tcPr>
          <w:p>
            <w:pPr>
              <w:jc w:val="right"/>
              <w:ind w:right="21"/>
              <w:spacing w:after="0"/>
              <w:rPr>
                <w:sz w:val="20"/>
                <w:szCs w:val="20"/>
                <w:color w:val="auto"/>
              </w:rPr>
            </w:pPr>
            <w:r>
              <w:rPr>
                <w:rFonts w:ascii="Arial" w:cs="Arial" w:eastAsia="Arial" w:hAnsi="Arial"/>
                <w:sz w:val="16"/>
                <w:szCs w:val="16"/>
                <w:color w:val="auto"/>
              </w:rPr>
              <w:t>1,923,956</w:t>
            </w:r>
          </w:p>
        </w:tc>
      </w:tr>
      <w:tr>
        <w:trPr>
          <w:trHeight w:val="70"/>
        </w:trPr>
        <w:tc>
          <w:tcPr>
            <w:tcW w:w="2440" w:type="dxa"/>
            <w:vAlign w:val="bottom"/>
            <w:shd w:val="clear" w:color="auto" w:fill="F2F2F2"/>
          </w:tcPr>
          <w:p>
            <w:pPr>
              <w:spacing w:after="0"/>
              <w:rPr>
                <w:sz w:val="6"/>
                <w:szCs w:val="6"/>
                <w:color w:val="auto"/>
              </w:rPr>
            </w:pPr>
          </w:p>
        </w:tc>
        <w:tc>
          <w:tcPr>
            <w:tcW w:w="2020" w:type="dxa"/>
            <w:vAlign w:val="bottom"/>
            <w:shd w:val="clear" w:color="auto" w:fill="F2F2F2"/>
          </w:tcPr>
          <w:p>
            <w:pPr>
              <w:spacing w:after="0"/>
              <w:rPr>
                <w:sz w:val="6"/>
                <w:szCs w:val="6"/>
                <w:color w:val="auto"/>
              </w:rPr>
            </w:pPr>
          </w:p>
        </w:tc>
        <w:tc>
          <w:tcPr>
            <w:tcW w:w="1380" w:type="dxa"/>
            <w:vAlign w:val="bottom"/>
            <w:shd w:val="clear" w:color="auto" w:fill="F2F2F2"/>
          </w:tcPr>
          <w:p>
            <w:pPr>
              <w:spacing w:after="0"/>
              <w:rPr>
                <w:sz w:val="6"/>
                <w:szCs w:val="6"/>
                <w:color w:val="auto"/>
              </w:rPr>
            </w:pPr>
          </w:p>
        </w:tc>
        <w:tc>
          <w:tcPr>
            <w:tcW w:w="1520" w:type="dxa"/>
            <w:vAlign w:val="bottom"/>
            <w:shd w:val="clear" w:color="auto" w:fill="F2F2F2"/>
          </w:tcPr>
          <w:p>
            <w:pPr>
              <w:spacing w:after="0"/>
              <w:rPr>
                <w:sz w:val="6"/>
                <w:szCs w:val="6"/>
                <w:color w:val="auto"/>
              </w:rPr>
            </w:pPr>
          </w:p>
        </w:tc>
        <w:tc>
          <w:tcPr>
            <w:tcW w:w="1100" w:type="dxa"/>
            <w:vAlign w:val="bottom"/>
            <w:shd w:val="clear" w:color="auto" w:fill="F2F2F2"/>
          </w:tcPr>
          <w:p>
            <w:pPr>
              <w:spacing w:after="0"/>
              <w:rPr>
                <w:sz w:val="6"/>
                <w:szCs w:val="6"/>
                <w:color w:val="auto"/>
              </w:rPr>
            </w:pPr>
          </w:p>
        </w:tc>
        <w:tc>
          <w:tcPr>
            <w:tcW w:w="1100" w:type="dxa"/>
            <w:vAlign w:val="bottom"/>
            <w:shd w:val="clear" w:color="auto" w:fill="F2F2F2"/>
          </w:tcPr>
          <w:p>
            <w:pPr>
              <w:spacing w:after="0"/>
              <w:rPr>
                <w:sz w:val="6"/>
                <w:szCs w:val="6"/>
                <w:color w:val="auto"/>
              </w:rPr>
            </w:pPr>
          </w:p>
        </w:tc>
      </w:tr>
      <w:tr>
        <w:trPr>
          <w:trHeight w:val="282"/>
        </w:trPr>
        <w:tc>
          <w:tcPr>
            <w:tcW w:w="2440" w:type="dxa"/>
            <w:vAlign w:val="bottom"/>
          </w:tcPr>
          <w:p>
            <w:pPr>
              <w:ind w:left="60"/>
              <w:spacing w:after="0"/>
              <w:rPr>
                <w:sz w:val="20"/>
                <w:szCs w:val="20"/>
                <w:color w:val="auto"/>
              </w:rPr>
            </w:pPr>
            <w:r>
              <w:rPr>
                <w:rFonts w:ascii="Arial" w:cs="Arial" w:eastAsia="Arial" w:hAnsi="Arial"/>
                <w:sz w:val="16"/>
                <w:szCs w:val="16"/>
                <w:color w:val="auto"/>
              </w:rPr>
              <w:t>Bart E. Volkmer</w:t>
            </w:r>
          </w:p>
        </w:tc>
        <w:tc>
          <w:tcPr>
            <w:tcW w:w="2020" w:type="dxa"/>
            <w:vAlign w:val="bottom"/>
          </w:tcPr>
          <w:p>
            <w:pPr>
              <w:jc w:val="center"/>
              <w:ind w:left="583"/>
              <w:spacing w:after="0"/>
              <w:rPr>
                <w:sz w:val="20"/>
                <w:szCs w:val="20"/>
                <w:color w:val="auto"/>
              </w:rPr>
            </w:pPr>
            <w:r>
              <w:rPr>
                <w:rFonts w:ascii="Arial" w:cs="Arial" w:eastAsia="Arial" w:hAnsi="Arial"/>
                <w:sz w:val="16"/>
                <w:szCs w:val="16"/>
                <w:color w:val="auto"/>
              </w:rPr>
              <w:t>237,500</w:t>
            </w:r>
          </w:p>
        </w:tc>
        <w:tc>
          <w:tcPr>
            <w:tcW w:w="13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520" w:type="dxa"/>
            <w:vAlign w:val="bottom"/>
          </w:tcPr>
          <w:p>
            <w:pPr>
              <w:jc w:val="right"/>
              <w:ind w:right="324"/>
              <w:spacing w:after="0"/>
              <w:rPr>
                <w:sz w:val="20"/>
                <w:szCs w:val="20"/>
                <w:color w:val="auto"/>
              </w:rPr>
            </w:pPr>
            <w:r>
              <w:rPr>
                <w:rFonts w:ascii="Arial" w:cs="Arial" w:eastAsia="Arial" w:hAnsi="Arial"/>
                <w:sz w:val="16"/>
                <w:szCs w:val="16"/>
                <w:color w:val="auto"/>
              </w:rPr>
              <w:t>1,249,319</w:t>
            </w:r>
          </w:p>
        </w:tc>
        <w:tc>
          <w:tcPr>
            <w:tcW w:w="1100" w:type="dxa"/>
            <w:vAlign w:val="bottom"/>
          </w:tcPr>
          <w:p>
            <w:pPr>
              <w:jc w:val="center"/>
              <w:spacing w:after="0"/>
              <w:rPr>
                <w:sz w:val="20"/>
                <w:szCs w:val="20"/>
                <w:color w:val="auto"/>
              </w:rPr>
            </w:pPr>
            <w:r>
              <w:rPr>
                <w:rFonts w:ascii="Arial" w:cs="Arial" w:eastAsia="Arial" w:hAnsi="Arial"/>
                <w:sz w:val="16"/>
                <w:szCs w:val="16"/>
                <w:color w:val="auto"/>
              </w:rPr>
              <w:t>14,767</w:t>
            </w:r>
          </w:p>
        </w:tc>
        <w:tc>
          <w:tcPr>
            <w:tcW w:w="1100" w:type="dxa"/>
            <w:vAlign w:val="bottom"/>
          </w:tcPr>
          <w:p>
            <w:pPr>
              <w:jc w:val="right"/>
              <w:ind w:right="21"/>
              <w:spacing w:after="0"/>
              <w:rPr>
                <w:sz w:val="20"/>
                <w:szCs w:val="20"/>
                <w:color w:val="auto"/>
              </w:rPr>
            </w:pPr>
            <w:r>
              <w:rPr>
                <w:rFonts w:ascii="Arial" w:cs="Arial" w:eastAsia="Arial" w:hAnsi="Arial"/>
                <w:sz w:val="16"/>
                <w:szCs w:val="16"/>
                <w:color w:val="auto"/>
              </w:rPr>
              <w:t>1,501,586</w:t>
            </w:r>
          </w:p>
        </w:tc>
      </w:tr>
    </w:tbl>
    <w:p>
      <w:pPr>
        <w:spacing w:after="0" w:line="92" w:lineRule="exact"/>
        <w:rPr>
          <w:sz w:val="20"/>
          <w:szCs w:val="20"/>
          <w:color w:val="auto"/>
        </w:rPr>
      </w:pPr>
    </w:p>
    <w:p>
      <w:pPr>
        <w:ind w:left="244" w:hanging="244"/>
        <w:spacing w:after="0"/>
        <w:tabs>
          <w:tab w:leader="none" w:pos="244" w:val="left"/>
        </w:tabs>
        <w:numPr>
          <w:ilvl w:val="0"/>
          <w:numId w:val="80"/>
        </w:numPr>
        <w:rPr>
          <w:rFonts w:ascii="Arial" w:cs="Arial" w:eastAsia="Arial" w:hAnsi="Arial"/>
          <w:sz w:val="22"/>
          <w:szCs w:val="22"/>
          <w:color w:val="auto"/>
          <w:vertAlign w:val="superscript"/>
        </w:rPr>
      </w:pPr>
      <w:r>
        <w:rPr>
          <w:rFonts w:ascii="Arial" w:cs="Arial" w:eastAsia="Arial" w:hAnsi="Arial"/>
          <w:sz w:val="14"/>
          <w:szCs w:val="14"/>
          <w:color w:val="auto"/>
        </w:rPr>
        <w:t>Value based on a per share price of $24.54, which was the closing price as reported on December 31, 2021.</w:t>
      </w:r>
    </w:p>
    <w:p>
      <w:pPr>
        <w:spacing w:after="0" w:line="129" w:lineRule="exact"/>
        <w:rPr>
          <w:sz w:val="20"/>
          <w:szCs w:val="20"/>
          <w:color w:val="auto"/>
        </w:rPr>
      </w:pPr>
    </w:p>
    <w:p>
      <w:pPr>
        <w:ind w:left="4" w:right="40"/>
        <w:spacing w:after="0" w:line="266" w:lineRule="auto"/>
        <w:rPr>
          <w:sz w:val="20"/>
          <w:szCs w:val="20"/>
          <w:color w:val="auto"/>
        </w:rPr>
      </w:pPr>
      <w:r>
        <w:rPr>
          <w:rFonts w:ascii="Arial" w:cs="Arial" w:eastAsia="Arial" w:hAnsi="Arial"/>
          <w:sz w:val="16"/>
          <w:szCs w:val="16"/>
          <w:color w:val="auto"/>
        </w:rPr>
        <w:t>The following table describes the payments that would have been provided for each of our named executive officers upon termination of employment in connection with a change in control of Dropbox as described above, assuming such termination had occurred on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57785</wp:posOffset>
            </wp:positionV>
            <wp:extent cx="6077585" cy="14230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6077585" cy="1423035"/>
                    </a:xfrm>
                    <a:prstGeom prst="rect">
                      <a:avLst/>
                    </a:prstGeom>
                    <a:noFill/>
                  </pic:spPr>
                </pic:pic>
              </a:graphicData>
            </a:graphic>
          </wp:anchor>
        </w:drawing>
      </w:r>
    </w:p>
    <w:p>
      <w:pPr>
        <w:spacing w:after="0" w:line="71" w:lineRule="exact"/>
        <w:rPr>
          <w:sz w:val="20"/>
          <w:szCs w:val="20"/>
          <w:color w:val="auto"/>
        </w:rPr>
      </w:pPr>
    </w:p>
    <w:tbl>
      <w:tblPr>
        <w:tblLayout w:type="fixed"/>
        <w:tblInd w:w="4" w:type="dxa"/>
        <w:tblCellMar>
          <w:top w:w="0" w:type="dxa"/>
          <w:left w:w="0" w:type="dxa"/>
          <w:bottom w:w="0" w:type="dxa"/>
          <w:right w:w="0" w:type="dxa"/>
        </w:tblCellMar>
      </w:tblPr>
      <w:tr>
        <w:trPr>
          <w:trHeight w:val="261"/>
        </w:trPr>
        <w:tc>
          <w:tcPr>
            <w:tcW w:w="2160" w:type="dxa"/>
            <w:vAlign w:val="bottom"/>
            <w:shd w:val="clear" w:color="auto" w:fill="0063A6"/>
          </w:tcPr>
          <w:p>
            <w:pPr>
              <w:spacing w:after="0"/>
              <w:rPr>
                <w:sz w:val="22"/>
                <w:szCs w:val="22"/>
                <w:color w:val="auto"/>
              </w:rPr>
            </w:pPr>
          </w:p>
        </w:tc>
        <w:tc>
          <w:tcPr>
            <w:tcW w:w="1660" w:type="dxa"/>
            <w:vAlign w:val="bottom"/>
            <w:shd w:val="clear" w:color="auto" w:fill="0063A6"/>
          </w:tcPr>
          <w:p>
            <w:pPr>
              <w:spacing w:after="0"/>
              <w:rPr>
                <w:sz w:val="22"/>
                <w:szCs w:val="22"/>
                <w:color w:val="auto"/>
              </w:rPr>
            </w:pPr>
          </w:p>
        </w:tc>
        <w:tc>
          <w:tcPr>
            <w:tcW w:w="1200" w:type="dxa"/>
            <w:vAlign w:val="bottom"/>
            <w:shd w:val="clear" w:color="auto" w:fill="0063A6"/>
          </w:tcPr>
          <w:p>
            <w:pPr>
              <w:spacing w:after="0"/>
              <w:rPr>
                <w:sz w:val="22"/>
                <w:szCs w:val="22"/>
                <w:color w:val="auto"/>
              </w:rPr>
            </w:pPr>
          </w:p>
        </w:tc>
        <w:tc>
          <w:tcPr>
            <w:tcW w:w="13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Value of</w:t>
            </w:r>
          </w:p>
        </w:tc>
        <w:tc>
          <w:tcPr>
            <w:tcW w:w="1180" w:type="dxa"/>
            <w:vAlign w:val="bottom"/>
            <w:shd w:val="clear" w:color="auto" w:fill="0063A6"/>
          </w:tcPr>
          <w:p>
            <w:pPr>
              <w:spacing w:after="0"/>
              <w:rPr>
                <w:sz w:val="22"/>
                <w:szCs w:val="22"/>
                <w:color w:val="auto"/>
              </w:rPr>
            </w:pPr>
          </w:p>
        </w:tc>
        <w:tc>
          <w:tcPr>
            <w:tcW w:w="880" w:type="dxa"/>
            <w:vAlign w:val="bottom"/>
            <w:shd w:val="clear" w:color="auto" w:fill="0063A6"/>
          </w:tcPr>
          <w:p>
            <w:pPr>
              <w:spacing w:after="0"/>
              <w:rPr>
                <w:sz w:val="22"/>
                <w:szCs w:val="22"/>
                <w:color w:val="auto"/>
              </w:rPr>
            </w:pPr>
          </w:p>
        </w:tc>
        <w:tc>
          <w:tcPr>
            <w:tcW w:w="1100" w:type="dxa"/>
            <w:vAlign w:val="bottom"/>
            <w:shd w:val="clear" w:color="auto" w:fill="0063A6"/>
          </w:tcPr>
          <w:p>
            <w:pPr>
              <w:spacing w:after="0"/>
              <w:rPr>
                <w:sz w:val="22"/>
                <w:szCs w:val="22"/>
                <w:color w:val="auto"/>
              </w:rPr>
            </w:pPr>
          </w:p>
        </w:tc>
        <w:tc>
          <w:tcPr>
            <w:tcW w:w="0" w:type="dxa"/>
            <w:vAlign w:val="bottom"/>
          </w:tcPr>
          <w:p>
            <w:pPr>
              <w:spacing w:after="0"/>
              <w:rPr>
                <w:sz w:val="1"/>
                <w:szCs w:val="1"/>
                <w:color w:val="auto"/>
              </w:rPr>
            </w:pPr>
          </w:p>
        </w:tc>
      </w:tr>
      <w:tr>
        <w:trPr>
          <w:trHeight w:val="162"/>
        </w:trPr>
        <w:tc>
          <w:tcPr>
            <w:tcW w:w="2160" w:type="dxa"/>
            <w:vAlign w:val="bottom"/>
            <w:shd w:val="clear" w:color="auto" w:fill="0063A6"/>
          </w:tcPr>
          <w:p>
            <w:pPr>
              <w:spacing w:after="0"/>
              <w:rPr>
                <w:sz w:val="14"/>
                <w:szCs w:val="14"/>
                <w:color w:val="auto"/>
              </w:rPr>
            </w:pPr>
          </w:p>
        </w:tc>
        <w:tc>
          <w:tcPr>
            <w:tcW w:w="1660" w:type="dxa"/>
            <w:vAlign w:val="bottom"/>
            <w:shd w:val="clear" w:color="auto" w:fill="0063A6"/>
          </w:tcPr>
          <w:p>
            <w:pPr>
              <w:jc w:val="center"/>
              <w:ind w:left="443"/>
              <w:spacing w:after="0"/>
              <w:rPr>
                <w:sz w:val="20"/>
                <w:szCs w:val="20"/>
                <w:color w:val="auto"/>
              </w:rPr>
            </w:pPr>
            <w:r>
              <w:rPr>
                <w:rFonts w:ascii="Arial" w:cs="Arial" w:eastAsia="Arial" w:hAnsi="Arial"/>
                <w:sz w:val="14"/>
                <w:szCs w:val="14"/>
                <w:b w:val="1"/>
                <w:bCs w:val="1"/>
                <w:color w:val="FFFFFF"/>
              </w:rPr>
              <w:t>Base Salary</w:t>
            </w:r>
          </w:p>
        </w:tc>
        <w:tc>
          <w:tcPr>
            <w:tcW w:w="12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Cash Bonus</w:t>
            </w:r>
          </w:p>
        </w:tc>
        <w:tc>
          <w:tcPr>
            <w:tcW w:w="13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Accelerated</w:t>
            </w:r>
          </w:p>
        </w:tc>
        <w:tc>
          <w:tcPr>
            <w:tcW w:w="1180" w:type="dxa"/>
            <w:vAlign w:val="bottom"/>
            <w:shd w:val="clear" w:color="auto" w:fill="0063A6"/>
          </w:tcPr>
          <w:p>
            <w:pPr>
              <w:spacing w:after="0"/>
              <w:rPr>
                <w:sz w:val="14"/>
                <w:szCs w:val="14"/>
                <w:color w:val="auto"/>
              </w:rPr>
            </w:pPr>
          </w:p>
        </w:tc>
        <w:tc>
          <w:tcPr>
            <w:tcW w:w="880" w:type="dxa"/>
            <w:vAlign w:val="bottom"/>
            <w:shd w:val="clear" w:color="auto" w:fill="0063A6"/>
          </w:tcPr>
          <w:p>
            <w:pPr>
              <w:ind w:left="160"/>
              <w:spacing w:after="0"/>
              <w:rPr>
                <w:sz w:val="20"/>
                <w:szCs w:val="20"/>
                <w:color w:val="auto"/>
              </w:rPr>
            </w:pPr>
            <w:r>
              <w:rPr>
                <w:rFonts w:ascii="Arial" w:cs="Arial" w:eastAsia="Arial" w:hAnsi="Arial"/>
                <w:sz w:val="14"/>
                <w:szCs w:val="14"/>
                <w:b w:val="1"/>
                <w:bCs w:val="1"/>
                <w:color w:val="FFFFFF"/>
              </w:rPr>
              <w:t>Value of</w:t>
            </w:r>
          </w:p>
        </w:tc>
        <w:tc>
          <w:tcPr>
            <w:tcW w:w="1100" w:type="dxa"/>
            <w:vAlign w:val="bottom"/>
            <w:shd w:val="clear" w:color="auto" w:fill="0063A6"/>
          </w:tcPr>
          <w:p>
            <w:pPr>
              <w:spacing w:after="0"/>
              <w:rPr>
                <w:sz w:val="14"/>
                <w:szCs w:val="14"/>
                <w:color w:val="auto"/>
              </w:rPr>
            </w:pPr>
          </w:p>
        </w:tc>
        <w:tc>
          <w:tcPr>
            <w:tcW w:w="0" w:type="dxa"/>
            <w:vAlign w:val="bottom"/>
          </w:tcPr>
          <w:p>
            <w:pPr>
              <w:spacing w:after="0"/>
              <w:rPr>
                <w:sz w:val="1"/>
                <w:szCs w:val="1"/>
                <w:color w:val="auto"/>
              </w:rPr>
            </w:pPr>
          </w:p>
        </w:tc>
      </w:tr>
      <w:tr>
        <w:trPr>
          <w:trHeight w:val="145"/>
        </w:trPr>
        <w:tc>
          <w:tcPr>
            <w:tcW w:w="2160" w:type="dxa"/>
            <w:vAlign w:val="bottom"/>
            <w:vMerge w:val="restart"/>
            <w:shd w:val="clear" w:color="auto" w:fill="0063A6"/>
          </w:tcPr>
          <w:p>
            <w:pPr>
              <w:ind w:left="60"/>
              <w:spacing w:after="0"/>
              <w:rPr>
                <w:sz w:val="20"/>
                <w:szCs w:val="20"/>
                <w:color w:val="auto"/>
              </w:rPr>
            </w:pPr>
            <w:r>
              <w:rPr>
                <w:rFonts w:ascii="Arial" w:cs="Arial" w:eastAsia="Arial" w:hAnsi="Arial"/>
                <w:sz w:val="14"/>
                <w:szCs w:val="14"/>
                <w:b w:val="1"/>
                <w:bCs w:val="1"/>
                <w:color w:val="FFFFFF"/>
              </w:rPr>
              <w:t>Name</w:t>
            </w:r>
            <w:r>
              <w:rPr>
                <w:rFonts w:ascii="Arial" w:cs="Arial" w:eastAsia="Arial" w:hAnsi="Arial"/>
                <w:sz w:val="23"/>
                <w:szCs w:val="23"/>
                <w:b w:val="1"/>
                <w:bCs w:val="1"/>
                <w:color w:val="FFFFFF"/>
                <w:vertAlign w:val="superscript"/>
              </w:rPr>
              <w:t>(1)</w:t>
            </w:r>
          </w:p>
        </w:tc>
        <w:tc>
          <w:tcPr>
            <w:tcW w:w="1660" w:type="dxa"/>
            <w:vAlign w:val="bottom"/>
            <w:shd w:val="clear" w:color="auto" w:fill="0063A6"/>
          </w:tcPr>
          <w:p>
            <w:pPr>
              <w:jc w:val="center"/>
              <w:ind w:left="423"/>
              <w:spacing w:after="0" w:line="145" w:lineRule="exact"/>
              <w:rPr>
                <w:sz w:val="20"/>
                <w:szCs w:val="20"/>
                <w:color w:val="auto"/>
              </w:rPr>
            </w:pPr>
            <w:r>
              <w:rPr>
                <w:rFonts w:ascii="Arial" w:cs="Arial" w:eastAsia="Arial" w:hAnsi="Arial"/>
                <w:sz w:val="14"/>
                <w:szCs w:val="14"/>
                <w:b w:val="1"/>
                <w:bCs w:val="1"/>
                <w:color w:val="FFFFFF"/>
              </w:rPr>
              <w:t>Component</w:t>
            </w:r>
          </w:p>
        </w:tc>
        <w:tc>
          <w:tcPr>
            <w:tcW w:w="120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Component</w:t>
            </w:r>
          </w:p>
        </w:tc>
        <w:tc>
          <w:tcPr>
            <w:tcW w:w="138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rPr>
              <w:t>Equity Awards</w:t>
            </w:r>
          </w:p>
        </w:tc>
        <w:tc>
          <w:tcPr>
            <w:tcW w:w="1180" w:type="dxa"/>
            <w:vAlign w:val="bottom"/>
            <w:shd w:val="clear" w:color="auto" w:fill="0063A6"/>
          </w:tcPr>
          <w:p>
            <w:pPr>
              <w:jc w:val="center"/>
              <w:spacing w:after="0" w:line="145" w:lineRule="exact"/>
              <w:rPr>
                <w:sz w:val="20"/>
                <w:szCs w:val="20"/>
                <w:color w:val="auto"/>
              </w:rPr>
            </w:pPr>
            <w:r>
              <w:rPr>
                <w:rFonts w:ascii="Arial" w:cs="Arial" w:eastAsia="Arial" w:hAnsi="Arial"/>
                <w:sz w:val="14"/>
                <w:szCs w:val="14"/>
                <w:b w:val="1"/>
                <w:bCs w:val="1"/>
                <w:color w:val="FFFFFF"/>
                <w:w w:val="99"/>
              </w:rPr>
              <w:t>280G</w:t>
            </w:r>
          </w:p>
        </w:tc>
        <w:tc>
          <w:tcPr>
            <w:tcW w:w="880" w:type="dxa"/>
            <w:vAlign w:val="bottom"/>
            <w:shd w:val="clear" w:color="auto" w:fill="0063A6"/>
          </w:tcPr>
          <w:p>
            <w:pPr>
              <w:ind w:left="140"/>
              <w:spacing w:after="0" w:line="145" w:lineRule="exact"/>
              <w:rPr>
                <w:sz w:val="20"/>
                <w:szCs w:val="20"/>
                <w:color w:val="auto"/>
              </w:rPr>
            </w:pPr>
            <w:r>
              <w:rPr>
                <w:rFonts w:ascii="Arial" w:cs="Arial" w:eastAsia="Arial" w:hAnsi="Arial"/>
                <w:sz w:val="14"/>
                <w:szCs w:val="14"/>
                <w:b w:val="1"/>
                <w:bCs w:val="1"/>
                <w:color w:val="FFFFFF"/>
              </w:rPr>
              <w:t>Benefits</w:t>
            </w:r>
          </w:p>
        </w:tc>
        <w:tc>
          <w:tcPr>
            <w:tcW w:w="1100" w:type="dxa"/>
            <w:vAlign w:val="bottom"/>
            <w:shd w:val="clear" w:color="auto" w:fill="0063A6"/>
          </w:tcPr>
          <w:p>
            <w:pPr>
              <w:spacing w:after="0"/>
              <w:rPr>
                <w:sz w:val="12"/>
                <w:szCs w:val="12"/>
                <w:color w:val="auto"/>
              </w:rPr>
            </w:pPr>
          </w:p>
        </w:tc>
        <w:tc>
          <w:tcPr>
            <w:tcW w:w="0" w:type="dxa"/>
            <w:vAlign w:val="bottom"/>
          </w:tcPr>
          <w:p>
            <w:pPr>
              <w:spacing w:after="0"/>
              <w:rPr>
                <w:sz w:val="1"/>
                <w:szCs w:val="1"/>
                <w:color w:val="auto"/>
              </w:rPr>
            </w:pPr>
          </w:p>
        </w:tc>
      </w:tr>
      <w:tr>
        <w:trPr>
          <w:trHeight w:val="269"/>
        </w:trPr>
        <w:tc>
          <w:tcPr>
            <w:tcW w:w="2160" w:type="dxa"/>
            <w:vAlign w:val="bottom"/>
            <w:vMerge w:val="continue"/>
            <w:shd w:val="clear" w:color="auto" w:fill="0063A6"/>
          </w:tcPr>
          <w:p>
            <w:pPr>
              <w:spacing w:after="0"/>
              <w:rPr>
                <w:sz w:val="23"/>
                <w:szCs w:val="23"/>
                <w:color w:val="auto"/>
              </w:rPr>
            </w:pPr>
          </w:p>
        </w:tc>
        <w:tc>
          <w:tcPr>
            <w:tcW w:w="1660" w:type="dxa"/>
            <w:vAlign w:val="bottom"/>
            <w:shd w:val="clear" w:color="auto" w:fill="0063A6"/>
          </w:tcPr>
          <w:p>
            <w:pPr>
              <w:jc w:val="center"/>
              <w:ind w:left="483"/>
              <w:spacing w:after="0"/>
              <w:rPr>
                <w:sz w:val="20"/>
                <w:szCs w:val="20"/>
                <w:color w:val="auto"/>
              </w:rPr>
            </w:pPr>
            <w:r>
              <w:rPr>
                <w:rFonts w:ascii="Arial" w:cs="Arial" w:eastAsia="Arial" w:hAnsi="Arial"/>
                <w:sz w:val="14"/>
                <w:szCs w:val="14"/>
                <w:b w:val="1"/>
                <w:bCs w:val="1"/>
                <w:color w:val="FFFFFF"/>
              </w:rPr>
              <w:t>($)</w:t>
            </w:r>
          </w:p>
        </w:tc>
        <w:tc>
          <w:tcPr>
            <w:tcW w:w="120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w w:val="93"/>
              </w:rPr>
              <w:t>($)</w:t>
            </w:r>
          </w:p>
        </w:tc>
        <w:tc>
          <w:tcPr>
            <w:tcW w:w="1380" w:type="dxa"/>
            <w:vAlign w:val="bottom"/>
            <w:shd w:val="clear" w:color="auto" w:fill="0063A6"/>
          </w:tcPr>
          <w:p>
            <w:pPr>
              <w:jc w:val="center"/>
              <w:spacing w:after="0" w:line="269" w:lineRule="exact"/>
              <w:rPr>
                <w:sz w:val="20"/>
                <w:szCs w:val="20"/>
                <w:color w:val="auto"/>
              </w:rPr>
            </w:pPr>
            <w:r>
              <w:rPr>
                <w:rFonts w:ascii="Arial" w:cs="Arial" w:eastAsia="Arial" w:hAnsi="Arial"/>
                <w:sz w:val="28"/>
                <w:szCs w:val="28"/>
                <w:b w:val="1"/>
                <w:bCs w:val="1"/>
                <w:color w:val="FFFFFF"/>
                <w:w w:val="85"/>
                <w:vertAlign w:val="subscript"/>
              </w:rPr>
              <w:t>($)</w:t>
            </w:r>
            <w:r>
              <w:rPr>
                <w:rFonts w:ascii="Arial" w:cs="Arial" w:eastAsia="Arial" w:hAnsi="Arial"/>
                <w:sz w:val="12"/>
                <w:szCs w:val="12"/>
                <w:b w:val="1"/>
                <w:bCs w:val="1"/>
                <w:color w:val="FFFFFF"/>
                <w:w w:val="85"/>
              </w:rPr>
              <w:t>(2)</w:t>
            </w:r>
          </w:p>
        </w:tc>
        <w:tc>
          <w:tcPr>
            <w:tcW w:w="11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Gross-up ($)</w:t>
            </w:r>
          </w:p>
        </w:tc>
        <w:tc>
          <w:tcPr>
            <w:tcW w:w="880" w:type="dxa"/>
            <w:vAlign w:val="bottom"/>
            <w:shd w:val="clear" w:color="auto" w:fill="0063A6"/>
          </w:tcPr>
          <w:p>
            <w:pPr>
              <w:ind w:left="360"/>
              <w:spacing w:after="0"/>
              <w:rPr>
                <w:sz w:val="20"/>
                <w:szCs w:val="20"/>
                <w:color w:val="auto"/>
              </w:rPr>
            </w:pPr>
            <w:r>
              <w:rPr>
                <w:rFonts w:ascii="Arial" w:cs="Arial" w:eastAsia="Arial" w:hAnsi="Arial"/>
                <w:sz w:val="14"/>
                <w:szCs w:val="14"/>
                <w:b w:val="1"/>
                <w:bCs w:val="1"/>
                <w:color w:val="FFFFFF"/>
              </w:rPr>
              <w:t>($)</w:t>
            </w:r>
          </w:p>
        </w:tc>
        <w:tc>
          <w:tcPr>
            <w:tcW w:w="1100" w:type="dxa"/>
            <w:vAlign w:val="bottom"/>
            <w:shd w:val="clear" w:color="auto" w:fill="0063A6"/>
          </w:tcPr>
          <w:p>
            <w:pPr>
              <w:jc w:val="right"/>
              <w:ind w:right="161"/>
              <w:spacing w:after="0"/>
              <w:rPr>
                <w:sz w:val="20"/>
                <w:szCs w:val="20"/>
                <w:color w:val="auto"/>
              </w:rPr>
            </w:pPr>
            <w:r>
              <w:rPr>
                <w:rFonts w:ascii="Arial" w:cs="Arial" w:eastAsia="Arial" w:hAnsi="Arial"/>
                <w:sz w:val="14"/>
                <w:szCs w:val="14"/>
                <w:b w:val="1"/>
                <w:bCs w:val="1"/>
                <w:color w:val="FFFFFF"/>
              </w:rPr>
              <w:t>Total ($)</w:t>
            </w:r>
          </w:p>
        </w:tc>
        <w:tc>
          <w:tcPr>
            <w:tcW w:w="0" w:type="dxa"/>
            <w:vAlign w:val="bottom"/>
          </w:tcPr>
          <w:p>
            <w:pPr>
              <w:spacing w:after="0"/>
              <w:rPr>
                <w:sz w:val="1"/>
                <w:szCs w:val="1"/>
                <w:color w:val="auto"/>
              </w:rPr>
            </w:pPr>
          </w:p>
        </w:tc>
      </w:tr>
      <w:tr>
        <w:trPr>
          <w:trHeight w:val="351"/>
        </w:trPr>
        <w:tc>
          <w:tcPr>
            <w:tcW w:w="2160" w:type="dxa"/>
            <w:vAlign w:val="bottom"/>
            <w:shd w:val="clear" w:color="auto" w:fill="F2F2F2"/>
          </w:tcPr>
          <w:p>
            <w:pPr>
              <w:ind w:left="60"/>
              <w:spacing w:after="0"/>
              <w:rPr>
                <w:sz w:val="20"/>
                <w:szCs w:val="20"/>
                <w:color w:val="auto"/>
              </w:rPr>
            </w:pPr>
            <w:r>
              <w:rPr>
                <w:rFonts w:ascii="Arial" w:cs="Arial" w:eastAsia="Arial" w:hAnsi="Arial"/>
                <w:sz w:val="16"/>
                <w:szCs w:val="16"/>
                <w:color w:val="auto"/>
              </w:rPr>
              <w:t>Andrew W. Houston</w:t>
            </w:r>
          </w:p>
        </w:tc>
        <w:tc>
          <w:tcPr>
            <w:tcW w:w="1660" w:type="dxa"/>
            <w:vAlign w:val="bottom"/>
            <w:shd w:val="clear" w:color="auto" w:fill="F2F2F2"/>
          </w:tcPr>
          <w:p>
            <w:pPr>
              <w:jc w:val="center"/>
              <w:ind w:left="423"/>
              <w:spacing w:after="0"/>
              <w:rPr>
                <w:sz w:val="20"/>
                <w:szCs w:val="20"/>
                <w:color w:val="auto"/>
              </w:rPr>
            </w:pPr>
            <w:r>
              <w:rPr>
                <w:rFonts w:ascii="Arial" w:cs="Arial" w:eastAsia="Arial" w:hAnsi="Arial"/>
                <w:sz w:val="16"/>
                <w:szCs w:val="16"/>
                <w:color w:val="auto"/>
              </w:rPr>
              <w:t>625,000</w:t>
            </w:r>
          </w:p>
        </w:tc>
        <w:tc>
          <w:tcPr>
            <w:tcW w:w="12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606,506</w:t>
            </w:r>
          </w:p>
        </w:tc>
        <w:tc>
          <w:tcPr>
            <w:tcW w:w="1380" w:type="dxa"/>
            <w:vAlign w:val="bottom"/>
            <w:shd w:val="clear" w:color="auto" w:fill="F2F2F2"/>
          </w:tcPr>
          <w:p>
            <w:pPr>
              <w:jc w:val="right"/>
              <w:ind w:right="87"/>
              <w:spacing w:after="0" w:line="350" w:lineRule="exact"/>
              <w:rPr>
                <w:sz w:val="20"/>
                <w:szCs w:val="20"/>
                <w:color w:val="auto"/>
              </w:rPr>
            </w:pPr>
            <w:r>
              <w:rPr>
                <w:rFonts w:ascii="Arial" w:cs="Arial" w:eastAsia="Arial" w:hAnsi="Arial"/>
                <w:sz w:val="32"/>
                <w:szCs w:val="32"/>
                <w:color w:val="auto"/>
                <w:vertAlign w:val="subscript"/>
              </w:rPr>
              <w:t>0</w:t>
            </w:r>
            <w:r>
              <w:rPr>
                <w:rFonts w:ascii="Arial" w:cs="Arial" w:eastAsia="Arial" w:hAnsi="Arial"/>
                <w:sz w:val="13"/>
                <w:szCs w:val="13"/>
                <w:color w:val="auto"/>
              </w:rPr>
              <w:t>(3)</w:t>
            </w:r>
          </w:p>
        </w:tc>
        <w:tc>
          <w:tcPr>
            <w:tcW w:w="118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880" w:type="dxa"/>
            <w:vAlign w:val="bottom"/>
            <w:shd w:val="clear" w:color="auto" w:fill="F2F2F2"/>
          </w:tcPr>
          <w:p>
            <w:pPr>
              <w:ind w:left="260"/>
              <w:spacing w:after="0"/>
              <w:rPr>
                <w:sz w:val="20"/>
                <w:szCs w:val="20"/>
                <w:color w:val="auto"/>
              </w:rPr>
            </w:pPr>
            <w:r>
              <w:rPr>
                <w:rFonts w:ascii="Arial" w:cs="Arial" w:eastAsia="Arial" w:hAnsi="Arial"/>
                <w:sz w:val="16"/>
                <w:szCs w:val="16"/>
                <w:color w:val="auto"/>
              </w:rPr>
              <w:t>9,595</w:t>
            </w:r>
          </w:p>
        </w:tc>
        <w:tc>
          <w:tcPr>
            <w:tcW w:w="1100" w:type="dxa"/>
            <w:vAlign w:val="bottom"/>
            <w:shd w:val="clear" w:color="auto" w:fill="F2F2F2"/>
          </w:tcPr>
          <w:p>
            <w:pPr>
              <w:jc w:val="right"/>
              <w:ind w:right="41"/>
              <w:spacing w:after="0"/>
              <w:rPr>
                <w:sz w:val="20"/>
                <w:szCs w:val="20"/>
                <w:color w:val="auto"/>
              </w:rPr>
            </w:pPr>
            <w:r>
              <w:rPr>
                <w:rFonts w:ascii="Arial" w:cs="Arial" w:eastAsia="Arial" w:hAnsi="Arial"/>
                <w:sz w:val="16"/>
                <w:szCs w:val="16"/>
                <w:color w:val="auto"/>
              </w:rPr>
              <w:t>1,241,101</w:t>
            </w:r>
          </w:p>
        </w:tc>
        <w:tc>
          <w:tcPr>
            <w:tcW w:w="0" w:type="dxa"/>
            <w:vAlign w:val="bottom"/>
          </w:tcPr>
          <w:p>
            <w:pPr>
              <w:spacing w:after="0"/>
              <w:rPr>
                <w:sz w:val="1"/>
                <w:szCs w:val="1"/>
                <w:color w:val="auto"/>
              </w:rPr>
            </w:pPr>
          </w:p>
        </w:tc>
      </w:tr>
      <w:tr>
        <w:trPr>
          <w:trHeight w:val="282"/>
        </w:trPr>
        <w:tc>
          <w:tcPr>
            <w:tcW w:w="2160" w:type="dxa"/>
            <w:vAlign w:val="bottom"/>
          </w:tcPr>
          <w:p>
            <w:pPr>
              <w:ind w:left="60"/>
              <w:spacing w:after="0"/>
              <w:rPr>
                <w:sz w:val="20"/>
                <w:szCs w:val="20"/>
                <w:color w:val="auto"/>
              </w:rPr>
            </w:pPr>
            <w:r>
              <w:rPr>
                <w:rFonts w:ascii="Arial" w:cs="Arial" w:eastAsia="Arial" w:hAnsi="Arial"/>
                <w:sz w:val="16"/>
                <w:szCs w:val="16"/>
                <w:color w:val="auto"/>
              </w:rPr>
              <w:t>Timothy Regan</w:t>
            </w:r>
          </w:p>
        </w:tc>
        <w:tc>
          <w:tcPr>
            <w:tcW w:w="1660" w:type="dxa"/>
            <w:vAlign w:val="bottom"/>
          </w:tcPr>
          <w:p>
            <w:pPr>
              <w:jc w:val="center"/>
              <w:ind w:left="423"/>
              <w:spacing w:after="0"/>
              <w:rPr>
                <w:sz w:val="20"/>
                <w:szCs w:val="20"/>
                <w:color w:val="auto"/>
              </w:rPr>
            </w:pPr>
            <w:r>
              <w:rPr>
                <w:rFonts w:ascii="Arial" w:cs="Arial" w:eastAsia="Arial" w:hAnsi="Arial"/>
                <w:sz w:val="16"/>
                <w:szCs w:val="16"/>
                <w:color w:val="auto"/>
              </w:rPr>
              <w:t>475,000</w:t>
            </w:r>
          </w:p>
        </w:tc>
        <w:tc>
          <w:tcPr>
            <w:tcW w:w="1200" w:type="dxa"/>
            <w:vAlign w:val="bottom"/>
          </w:tcPr>
          <w:p>
            <w:pPr>
              <w:jc w:val="center"/>
              <w:spacing w:after="0"/>
              <w:rPr>
                <w:sz w:val="20"/>
                <w:szCs w:val="20"/>
                <w:color w:val="auto"/>
              </w:rPr>
            </w:pPr>
            <w:r>
              <w:rPr>
                <w:rFonts w:ascii="Arial" w:cs="Arial" w:eastAsia="Arial" w:hAnsi="Arial"/>
                <w:sz w:val="16"/>
                <w:szCs w:val="16"/>
                <w:color w:val="auto"/>
              </w:rPr>
              <w:t>307,369</w:t>
            </w:r>
          </w:p>
        </w:tc>
        <w:tc>
          <w:tcPr>
            <w:tcW w:w="1380" w:type="dxa"/>
            <w:vAlign w:val="bottom"/>
          </w:tcPr>
          <w:p>
            <w:pPr>
              <w:jc w:val="right"/>
              <w:ind w:right="247"/>
              <w:spacing w:after="0"/>
              <w:rPr>
                <w:sz w:val="20"/>
                <w:szCs w:val="20"/>
                <w:color w:val="auto"/>
              </w:rPr>
            </w:pPr>
            <w:r>
              <w:rPr>
                <w:rFonts w:ascii="Arial" w:cs="Arial" w:eastAsia="Arial" w:hAnsi="Arial"/>
                <w:sz w:val="16"/>
                <w:szCs w:val="16"/>
                <w:color w:val="auto"/>
              </w:rPr>
              <w:t>8,120,826</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80" w:type="dxa"/>
            <w:vAlign w:val="bottom"/>
          </w:tcPr>
          <w:p>
            <w:pPr>
              <w:ind w:left="180"/>
              <w:spacing w:after="0"/>
              <w:rPr>
                <w:sz w:val="20"/>
                <w:szCs w:val="20"/>
                <w:color w:val="auto"/>
              </w:rPr>
            </w:pPr>
            <w:r>
              <w:rPr>
                <w:rFonts w:ascii="Arial" w:cs="Arial" w:eastAsia="Arial" w:hAnsi="Arial"/>
                <w:sz w:val="16"/>
                <w:szCs w:val="16"/>
                <w:color w:val="auto"/>
              </w:rPr>
              <w:t>29,533</w:t>
            </w:r>
          </w:p>
        </w:tc>
        <w:tc>
          <w:tcPr>
            <w:tcW w:w="1100" w:type="dxa"/>
            <w:vAlign w:val="bottom"/>
          </w:tcPr>
          <w:p>
            <w:pPr>
              <w:jc w:val="right"/>
              <w:ind w:right="41"/>
              <w:spacing w:after="0"/>
              <w:rPr>
                <w:sz w:val="20"/>
                <w:szCs w:val="20"/>
                <w:color w:val="auto"/>
              </w:rPr>
            </w:pPr>
            <w:r>
              <w:rPr>
                <w:rFonts w:ascii="Arial" w:cs="Arial" w:eastAsia="Arial" w:hAnsi="Arial"/>
                <w:sz w:val="16"/>
                <w:szCs w:val="16"/>
                <w:color w:val="auto"/>
              </w:rPr>
              <w:t>8,932,728</w:t>
            </w:r>
          </w:p>
        </w:tc>
        <w:tc>
          <w:tcPr>
            <w:tcW w:w="0" w:type="dxa"/>
            <w:vAlign w:val="bottom"/>
          </w:tcPr>
          <w:p>
            <w:pPr>
              <w:spacing w:after="0"/>
              <w:rPr>
                <w:sz w:val="1"/>
                <w:szCs w:val="1"/>
                <w:color w:val="auto"/>
              </w:rPr>
            </w:pPr>
          </w:p>
        </w:tc>
      </w:tr>
      <w:tr>
        <w:trPr>
          <w:trHeight w:val="69"/>
        </w:trPr>
        <w:tc>
          <w:tcPr>
            <w:tcW w:w="2160" w:type="dxa"/>
            <w:vAlign w:val="bottom"/>
          </w:tcPr>
          <w:p>
            <w:pPr>
              <w:spacing w:after="0"/>
              <w:rPr>
                <w:sz w:val="6"/>
                <w:szCs w:val="6"/>
                <w:color w:val="auto"/>
              </w:rPr>
            </w:pPr>
          </w:p>
        </w:tc>
        <w:tc>
          <w:tcPr>
            <w:tcW w:w="1660" w:type="dxa"/>
            <w:vAlign w:val="bottom"/>
          </w:tcPr>
          <w:p>
            <w:pPr>
              <w:spacing w:after="0"/>
              <w:rPr>
                <w:sz w:val="6"/>
                <w:szCs w:val="6"/>
                <w:color w:val="auto"/>
              </w:rPr>
            </w:pPr>
          </w:p>
        </w:tc>
        <w:tc>
          <w:tcPr>
            <w:tcW w:w="1200" w:type="dxa"/>
            <w:vAlign w:val="bottom"/>
          </w:tcPr>
          <w:p>
            <w:pPr>
              <w:spacing w:after="0"/>
              <w:rPr>
                <w:sz w:val="6"/>
                <w:szCs w:val="6"/>
                <w:color w:val="auto"/>
              </w:rPr>
            </w:pPr>
          </w:p>
        </w:tc>
        <w:tc>
          <w:tcPr>
            <w:tcW w:w="1380" w:type="dxa"/>
            <w:vAlign w:val="bottom"/>
          </w:tcPr>
          <w:p>
            <w:pPr>
              <w:spacing w:after="0"/>
              <w:rPr>
                <w:sz w:val="6"/>
                <w:szCs w:val="6"/>
                <w:color w:val="auto"/>
              </w:rPr>
            </w:pPr>
          </w:p>
        </w:tc>
        <w:tc>
          <w:tcPr>
            <w:tcW w:w="1180" w:type="dxa"/>
            <w:vAlign w:val="bottom"/>
          </w:tcPr>
          <w:p>
            <w:pPr>
              <w:spacing w:after="0"/>
              <w:rPr>
                <w:sz w:val="6"/>
                <w:szCs w:val="6"/>
                <w:color w:val="auto"/>
              </w:rPr>
            </w:pPr>
          </w:p>
        </w:tc>
        <w:tc>
          <w:tcPr>
            <w:tcW w:w="880" w:type="dxa"/>
            <w:vAlign w:val="bottom"/>
          </w:tcPr>
          <w:p>
            <w:pPr>
              <w:spacing w:after="0"/>
              <w:rPr>
                <w:sz w:val="6"/>
                <w:szCs w:val="6"/>
                <w:color w:val="auto"/>
              </w:rPr>
            </w:pPr>
          </w:p>
        </w:tc>
        <w:tc>
          <w:tcPr>
            <w:tcW w:w="1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51"/>
        </w:trPr>
        <w:tc>
          <w:tcPr>
            <w:tcW w:w="2160" w:type="dxa"/>
            <w:vAlign w:val="bottom"/>
            <w:shd w:val="clear" w:color="auto" w:fill="F2F2F2"/>
          </w:tcPr>
          <w:p>
            <w:pPr>
              <w:ind w:left="60"/>
              <w:spacing w:after="0"/>
              <w:rPr>
                <w:sz w:val="20"/>
                <w:szCs w:val="20"/>
                <w:color w:val="auto"/>
              </w:rPr>
            </w:pPr>
            <w:r>
              <w:rPr>
                <w:rFonts w:ascii="Arial" w:cs="Arial" w:eastAsia="Arial" w:hAnsi="Arial"/>
                <w:sz w:val="16"/>
                <w:szCs w:val="16"/>
                <w:color w:val="auto"/>
              </w:rPr>
              <w:t>Timothy Young</w:t>
            </w:r>
          </w:p>
        </w:tc>
        <w:tc>
          <w:tcPr>
            <w:tcW w:w="1660" w:type="dxa"/>
            <w:vAlign w:val="bottom"/>
            <w:shd w:val="clear" w:color="auto" w:fill="F2F2F2"/>
          </w:tcPr>
          <w:p>
            <w:pPr>
              <w:jc w:val="center"/>
              <w:ind w:left="423"/>
              <w:spacing w:after="0"/>
              <w:rPr>
                <w:sz w:val="20"/>
                <w:szCs w:val="20"/>
                <w:color w:val="auto"/>
              </w:rPr>
            </w:pPr>
            <w:r>
              <w:rPr>
                <w:rFonts w:ascii="Arial" w:cs="Arial" w:eastAsia="Arial" w:hAnsi="Arial"/>
                <w:sz w:val="16"/>
                <w:szCs w:val="16"/>
                <w:color w:val="auto"/>
              </w:rPr>
              <w:t>600,000</w:t>
            </w:r>
          </w:p>
        </w:tc>
        <w:tc>
          <w:tcPr>
            <w:tcW w:w="120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600,000</w:t>
            </w:r>
          </w:p>
        </w:tc>
        <w:tc>
          <w:tcPr>
            <w:tcW w:w="1380" w:type="dxa"/>
            <w:vAlign w:val="bottom"/>
            <w:shd w:val="clear" w:color="auto" w:fill="F2F2F2"/>
          </w:tcPr>
          <w:p>
            <w:pPr>
              <w:jc w:val="right"/>
              <w:ind w:right="87"/>
              <w:spacing w:after="0"/>
              <w:rPr>
                <w:sz w:val="20"/>
                <w:szCs w:val="20"/>
                <w:color w:val="auto"/>
              </w:rPr>
            </w:pPr>
            <w:r>
              <w:rPr>
                <w:rFonts w:ascii="Arial" w:cs="Arial" w:eastAsia="Arial" w:hAnsi="Arial"/>
                <w:sz w:val="16"/>
                <w:szCs w:val="16"/>
                <w:color w:val="auto"/>
              </w:rPr>
              <w:t>30,249,108</w:t>
            </w:r>
            <w:r>
              <w:rPr>
                <w:rFonts w:ascii="Arial" w:cs="Arial" w:eastAsia="Arial" w:hAnsi="Arial"/>
                <w:sz w:val="26"/>
                <w:szCs w:val="26"/>
                <w:color w:val="auto"/>
                <w:vertAlign w:val="superscript"/>
              </w:rPr>
              <w:t>(4)</w:t>
            </w:r>
          </w:p>
        </w:tc>
        <w:tc>
          <w:tcPr>
            <w:tcW w:w="118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880" w:type="dxa"/>
            <w:vAlign w:val="bottom"/>
            <w:shd w:val="clear" w:color="auto" w:fill="F2F2F2"/>
          </w:tcPr>
          <w:p>
            <w:pPr>
              <w:ind w:left="180"/>
              <w:spacing w:after="0"/>
              <w:rPr>
                <w:sz w:val="20"/>
                <w:szCs w:val="20"/>
                <w:color w:val="auto"/>
              </w:rPr>
            </w:pPr>
            <w:r>
              <w:rPr>
                <w:rFonts w:ascii="Arial" w:cs="Arial" w:eastAsia="Arial" w:hAnsi="Arial"/>
                <w:sz w:val="16"/>
                <w:szCs w:val="16"/>
                <w:color w:val="auto"/>
              </w:rPr>
              <w:t>17,515</w:t>
            </w:r>
          </w:p>
        </w:tc>
        <w:tc>
          <w:tcPr>
            <w:tcW w:w="1100" w:type="dxa"/>
            <w:vAlign w:val="bottom"/>
            <w:shd w:val="clear" w:color="auto" w:fill="F2F2F2"/>
          </w:tcPr>
          <w:p>
            <w:pPr>
              <w:jc w:val="right"/>
              <w:ind w:right="41"/>
              <w:spacing w:after="0"/>
              <w:rPr>
                <w:sz w:val="20"/>
                <w:szCs w:val="20"/>
                <w:color w:val="auto"/>
              </w:rPr>
            </w:pPr>
            <w:r>
              <w:rPr>
                <w:rFonts w:ascii="Arial" w:cs="Arial" w:eastAsia="Arial" w:hAnsi="Arial"/>
                <w:sz w:val="16"/>
                <w:szCs w:val="16"/>
                <w:color w:val="auto"/>
              </w:rPr>
              <w:t>31,466,623</w:t>
            </w:r>
          </w:p>
        </w:tc>
        <w:tc>
          <w:tcPr>
            <w:tcW w:w="0" w:type="dxa"/>
            <w:vAlign w:val="bottom"/>
          </w:tcPr>
          <w:p>
            <w:pPr>
              <w:spacing w:after="0"/>
              <w:rPr>
                <w:sz w:val="1"/>
                <w:szCs w:val="1"/>
                <w:color w:val="auto"/>
              </w:rPr>
            </w:pPr>
          </w:p>
        </w:tc>
      </w:tr>
      <w:tr>
        <w:trPr>
          <w:trHeight w:val="282"/>
        </w:trPr>
        <w:tc>
          <w:tcPr>
            <w:tcW w:w="2160" w:type="dxa"/>
            <w:vAlign w:val="bottom"/>
          </w:tcPr>
          <w:p>
            <w:pPr>
              <w:ind w:left="60"/>
              <w:spacing w:after="0"/>
              <w:rPr>
                <w:sz w:val="20"/>
                <w:szCs w:val="20"/>
                <w:color w:val="auto"/>
              </w:rPr>
            </w:pPr>
            <w:r>
              <w:rPr>
                <w:rFonts w:ascii="Arial" w:cs="Arial" w:eastAsia="Arial" w:hAnsi="Arial"/>
                <w:sz w:val="16"/>
                <w:szCs w:val="16"/>
                <w:color w:val="auto"/>
              </w:rPr>
              <w:t>Bart E. Volkmer</w:t>
            </w:r>
          </w:p>
        </w:tc>
        <w:tc>
          <w:tcPr>
            <w:tcW w:w="1660" w:type="dxa"/>
            <w:vAlign w:val="bottom"/>
          </w:tcPr>
          <w:p>
            <w:pPr>
              <w:jc w:val="center"/>
              <w:ind w:left="423"/>
              <w:spacing w:after="0"/>
              <w:rPr>
                <w:sz w:val="20"/>
                <w:szCs w:val="20"/>
                <w:color w:val="auto"/>
              </w:rPr>
            </w:pPr>
            <w:r>
              <w:rPr>
                <w:rFonts w:ascii="Arial" w:cs="Arial" w:eastAsia="Arial" w:hAnsi="Arial"/>
                <w:sz w:val="16"/>
                <w:szCs w:val="16"/>
                <w:color w:val="auto"/>
              </w:rPr>
              <w:t>475,000</w:t>
            </w:r>
          </w:p>
        </w:tc>
        <w:tc>
          <w:tcPr>
            <w:tcW w:w="1200" w:type="dxa"/>
            <w:vAlign w:val="bottom"/>
          </w:tcPr>
          <w:p>
            <w:pPr>
              <w:jc w:val="center"/>
              <w:spacing w:after="0"/>
              <w:rPr>
                <w:sz w:val="20"/>
                <w:szCs w:val="20"/>
                <w:color w:val="auto"/>
              </w:rPr>
            </w:pPr>
            <w:r>
              <w:rPr>
                <w:rFonts w:ascii="Arial" w:cs="Arial" w:eastAsia="Arial" w:hAnsi="Arial"/>
                <w:sz w:val="16"/>
                <w:szCs w:val="16"/>
                <w:color w:val="auto"/>
              </w:rPr>
              <w:t>308,750</w:t>
            </w:r>
          </w:p>
        </w:tc>
        <w:tc>
          <w:tcPr>
            <w:tcW w:w="1380" w:type="dxa"/>
            <w:vAlign w:val="bottom"/>
          </w:tcPr>
          <w:p>
            <w:pPr>
              <w:jc w:val="right"/>
              <w:ind w:right="247"/>
              <w:spacing w:after="0"/>
              <w:rPr>
                <w:sz w:val="20"/>
                <w:szCs w:val="20"/>
                <w:color w:val="auto"/>
              </w:rPr>
            </w:pPr>
            <w:r>
              <w:rPr>
                <w:rFonts w:ascii="Arial" w:cs="Arial" w:eastAsia="Arial" w:hAnsi="Arial"/>
                <w:sz w:val="16"/>
                <w:szCs w:val="16"/>
                <w:color w:val="auto"/>
              </w:rPr>
              <w:t>4,997,277</w:t>
            </w:r>
          </w:p>
        </w:tc>
        <w:tc>
          <w:tcPr>
            <w:tcW w:w="118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880" w:type="dxa"/>
            <w:vAlign w:val="bottom"/>
          </w:tcPr>
          <w:p>
            <w:pPr>
              <w:ind w:left="180"/>
              <w:spacing w:after="0"/>
              <w:rPr>
                <w:sz w:val="20"/>
                <w:szCs w:val="20"/>
                <w:color w:val="auto"/>
              </w:rPr>
            </w:pPr>
            <w:r>
              <w:rPr>
                <w:rFonts w:ascii="Arial" w:cs="Arial" w:eastAsia="Arial" w:hAnsi="Arial"/>
                <w:sz w:val="16"/>
                <w:szCs w:val="16"/>
                <w:color w:val="auto"/>
              </w:rPr>
              <w:t>29,533</w:t>
            </w:r>
          </w:p>
        </w:tc>
        <w:tc>
          <w:tcPr>
            <w:tcW w:w="1100" w:type="dxa"/>
            <w:vAlign w:val="bottom"/>
          </w:tcPr>
          <w:p>
            <w:pPr>
              <w:jc w:val="right"/>
              <w:ind w:right="41"/>
              <w:spacing w:after="0"/>
              <w:rPr>
                <w:sz w:val="20"/>
                <w:szCs w:val="20"/>
                <w:color w:val="auto"/>
              </w:rPr>
            </w:pPr>
            <w:r>
              <w:rPr>
                <w:rFonts w:ascii="Arial" w:cs="Arial" w:eastAsia="Arial" w:hAnsi="Arial"/>
                <w:sz w:val="16"/>
                <w:szCs w:val="16"/>
                <w:color w:val="auto"/>
              </w:rPr>
              <w:t>5,810,560</w:t>
            </w:r>
          </w:p>
        </w:tc>
        <w:tc>
          <w:tcPr>
            <w:tcW w:w="0" w:type="dxa"/>
            <w:vAlign w:val="bottom"/>
          </w:tcPr>
          <w:p>
            <w:pPr>
              <w:spacing w:after="0"/>
              <w:rPr>
                <w:sz w:val="1"/>
                <w:szCs w:val="1"/>
                <w:color w:val="auto"/>
              </w:rPr>
            </w:pPr>
          </w:p>
        </w:tc>
      </w:tr>
    </w:tbl>
    <w:p>
      <w:pPr>
        <w:spacing w:after="0" w:line="155" w:lineRule="exact"/>
        <w:rPr>
          <w:sz w:val="20"/>
          <w:szCs w:val="20"/>
          <w:color w:val="auto"/>
        </w:rPr>
      </w:pPr>
    </w:p>
    <w:p>
      <w:pPr>
        <w:ind w:left="244" w:hanging="244"/>
        <w:spacing w:after="0" w:line="214" w:lineRule="auto"/>
        <w:tabs>
          <w:tab w:leader="none" w:pos="244" w:val="left"/>
        </w:tabs>
        <w:numPr>
          <w:ilvl w:val="0"/>
          <w:numId w:val="81"/>
        </w:numPr>
        <w:rPr>
          <w:rFonts w:ascii="Arial" w:cs="Arial" w:eastAsia="Arial" w:hAnsi="Arial"/>
          <w:sz w:val="22"/>
          <w:szCs w:val="22"/>
          <w:color w:val="auto"/>
          <w:vertAlign w:val="superscript"/>
        </w:rPr>
      </w:pPr>
      <w:r>
        <w:rPr>
          <w:rFonts w:ascii="Arial" w:cs="Arial" w:eastAsia="Arial" w:hAnsi="Arial"/>
          <w:sz w:val="14"/>
          <w:szCs w:val="14"/>
          <w:color w:val="auto"/>
        </w:rPr>
        <w:t>All of our named executive officers are subject to a better-after-tax provision whereby Dropbox would either pay such person (i) the full amount of their severance benefits or, alternatively (ii) an amount of certain severance benefits otherwise payable to them such that the severance benefits will not be subject to the tax imposed by Section 4999 of the Code, whichever produces the better after-tax result for such named executive officer.</w:t>
      </w:r>
    </w:p>
    <w:p>
      <w:pPr>
        <w:ind w:left="244" w:right="40" w:hanging="244"/>
        <w:spacing w:after="0" w:line="196" w:lineRule="auto"/>
        <w:tabs>
          <w:tab w:leader="none" w:pos="244" w:val="left"/>
        </w:tabs>
        <w:numPr>
          <w:ilvl w:val="0"/>
          <w:numId w:val="81"/>
        </w:numPr>
        <w:rPr>
          <w:rFonts w:ascii="Arial" w:cs="Arial" w:eastAsia="Arial" w:hAnsi="Arial"/>
          <w:sz w:val="22"/>
          <w:szCs w:val="22"/>
          <w:color w:val="auto"/>
          <w:vertAlign w:val="superscript"/>
        </w:rPr>
      </w:pPr>
      <w:r>
        <w:rPr>
          <w:rFonts w:ascii="Arial" w:cs="Arial" w:eastAsia="Arial" w:hAnsi="Arial"/>
          <w:sz w:val="14"/>
          <w:szCs w:val="14"/>
          <w:color w:val="auto"/>
        </w:rPr>
        <w:t>Unless otherwise noted, the value is based on a per share price of $24.54, which was the closing price of a share of our Class A common stock as reported on December 31, 2021.</w:t>
      </w:r>
    </w:p>
    <w:p>
      <w:pPr>
        <w:ind w:left="244" w:right="180" w:hanging="244"/>
        <w:spacing w:after="0" w:line="213" w:lineRule="auto"/>
        <w:tabs>
          <w:tab w:leader="none" w:pos="244" w:val="left"/>
        </w:tabs>
        <w:numPr>
          <w:ilvl w:val="0"/>
          <w:numId w:val="81"/>
        </w:numPr>
        <w:rPr>
          <w:rFonts w:ascii="Arial" w:cs="Arial" w:eastAsia="Arial" w:hAnsi="Arial"/>
          <w:sz w:val="22"/>
          <w:szCs w:val="22"/>
          <w:color w:val="auto"/>
          <w:vertAlign w:val="superscript"/>
        </w:rPr>
      </w:pPr>
      <w:r>
        <w:rPr>
          <w:rFonts w:ascii="Arial" w:cs="Arial" w:eastAsia="Arial" w:hAnsi="Arial"/>
          <w:sz w:val="14"/>
          <w:szCs w:val="14"/>
          <w:color w:val="auto"/>
        </w:rPr>
        <w:t>Excludes 8,266,666 shares of Class A common stock underlying RSAs subject to Mr. Houston’s Co-Founder Grant. See “</w:t>
      </w:r>
      <w:r>
        <w:rPr>
          <w:rFonts w:ascii="Arial" w:cs="Arial" w:eastAsia="Arial" w:hAnsi="Arial"/>
          <w:sz w:val="14"/>
          <w:szCs w:val="14"/>
          <w:i w:val="1"/>
          <w:iCs w:val="1"/>
          <w:color w:val="auto"/>
        </w:rPr>
        <w:t>Potential Payments on</w:t>
      </w:r>
      <w:r>
        <w:rPr>
          <w:rFonts w:ascii="Arial" w:cs="Arial" w:eastAsia="Arial" w:hAnsi="Arial"/>
          <w:sz w:val="14"/>
          <w:szCs w:val="14"/>
          <w:color w:val="auto"/>
        </w:rPr>
        <w:t xml:space="preserve"> </w:t>
      </w:r>
      <w:r>
        <w:rPr>
          <w:rFonts w:ascii="Arial" w:cs="Arial" w:eastAsia="Arial" w:hAnsi="Arial"/>
          <w:sz w:val="14"/>
          <w:szCs w:val="14"/>
          <w:i w:val="1"/>
          <w:iCs w:val="1"/>
          <w:color w:val="auto"/>
        </w:rPr>
        <w:t>Termination or Change in Control—Certain Equity Awards</w:t>
      </w:r>
      <w:r>
        <w:rPr>
          <w:rFonts w:ascii="Arial" w:cs="Arial" w:eastAsia="Arial" w:hAnsi="Arial"/>
          <w:sz w:val="14"/>
          <w:szCs w:val="14"/>
          <w:color w:val="auto"/>
        </w:rPr>
        <w:t>” above for additional information regarding the terms of Mr. Houston’s Co-Founder</w:t>
      </w:r>
      <w:r>
        <w:rPr>
          <w:rFonts w:ascii="Arial" w:cs="Arial" w:eastAsia="Arial" w:hAnsi="Arial"/>
          <w:sz w:val="14"/>
          <w:szCs w:val="14"/>
          <w:i w:val="1"/>
          <w:iCs w:val="1"/>
          <w:color w:val="auto"/>
        </w:rPr>
        <w:t xml:space="preserve"> </w:t>
      </w:r>
      <w:r>
        <w:rPr>
          <w:rFonts w:ascii="Arial" w:cs="Arial" w:eastAsia="Arial" w:hAnsi="Arial"/>
          <w:sz w:val="14"/>
          <w:szCs w:val="14"/>
          <w:color w:val="auto"/>
        </w:rPr>
        <w:t>Grant in connection with a change in control.</w:t>
      </w:r>
    </w:p>
    <w:p>
      <w:pPr>
        <w:spacing w:after="0" w:line="1" w:lineRule="exact"/>
        <w:rPr>
          <w:rFonts w:ascii="Arial" w:cs="Arial" w:eastAsia="Arial" w:hAnsi="Arial"/>
          <w:sz w:val="22"/>
          <w:szCs w:val="22"/>
          <w:color w:val="auto"/>
          <w:vertAlign w:val="superscript"/>
        </w:rPr>
      </w:pPr>
    </w:p>
    <w:p>
      <w:pPr>
        <w:ind w:left="244" w:right="60" w:hanging="244"/>
        <w:spacing w:after="0" w:line="215" w:lineRule="auto"/>
        <w:tabs>
          <w:tab w:leader="none" w:pos="244" w:val="left"/>
        </w:tabs>
        <w:numPr>
          <w:ilvl w:val="0"/>
          <w:numId w:val="81"/>
        </w:numPr>
        <w:rPr>
          <w:rFonts w:ascii="Arial" w:cs="Arial" w:eastAsia="Arial" w:hAnsi="Arial"/>
          <w:sz w:val="22"/>
          <w:szCs w:val="22"/>
          <w:color w:val="auto"/>
          <w:vertAlign w:val="superscript"/>
        </w:rPr>
      </w:pPr>
      <w:r>
        <w:rPr>
          <w:rFonts w:ascii="Arial" w:cs="Arial" w:eastAsia="Arial" w:hAnsi="Arial"/>
          <w:sz w:val="14"/>
          <w:szCs w:val="14"/>
          <w:color w:val="auto"/>
        </w:rPr>
        <w:t>The amount reported represents the value of (i) the shares of Class A common stock subject to Mr. Young’s time-based RSA that are accelerated, plus (ii) the shares of Class A common stock subject to Mr. Young’s performance-based RSA that would have vested if a change in control occurred on December 31, 2021 with a per share consideration of $24.54 which was the closing price of a share of our Class A common stock as reported on December 31, 2021.</w:t>
      </w:r>
    </w:p>
    <w:p>
      <w:pPr>
        <w:spacing w:after="0" w:line="191" w:lineRule="exact"/>
        <w:rPr>
          <w:sz w:val="20"/>
          <w:szCs w:val="20"/>
          <w:color w:val="auto"/>
        </w:rPr>
      </w:pPr>
    </w:p>
    <w:p>
      <w:pPr>
        <w:ind w:left="524" w:hanging="524"/>
        <w:spacing w:after="0"/>
        <w:tabs>
          <w:tab w:leader="none" w:pos="524" w:val="left"/>
        </w:tabs>
        <w:numPr>
          <w:ilvl w:val="0"/>
          <w:numId w:val="82"/>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58" w:name="page59"/>
    <w:bookmarkEnd w:id="58"/>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EXECUTIVE COMPENSATION (continued)</w:t>
      </w:r>
    </w:p>
    <w:p>
      <w:pPr>
        <w:spacing w:after="0" w:line="384"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CEO Pay Ratio</w:t>
      </w:r>
    </w:p>
    <w:p>
      <w:pPr>
        <w:spacing w:after="0" w:line="179" w:lineRule="exact"/>
        <w:rPr>
          <w:sz w:val="20"/>
          <w:szCs w:val="20"/>
          <w:color w:val="auto"/>
        </w:rPr>
      </w:pPr>
    </w:p>
    <w:p>
      <w:pPr>
        <w:ind w:left="720" w:right="940"/>
        <w:spacing w:after="0" w:line="296" w:lineRule="auto"/>
        <w:rPr>
          <w:sz w:val="20"/>
          <w:szCs w:val="20"/>
          <w:color w:val="auto"/>
        </w:rPr>
      </w:pPr>
      <w:r>
        <w:rPr>
          <w:rFonts w:ascii="Arial" w:cs="Arial" w:eastAsia="Arial" w:hAnsi="Arial"/>
          <w:sz w:val="16"/>
          <w:szCs w:val="16"/>
          <w:color w:val="auto"/>
        </w:rPr>
        <w:t>In accordance with Item 402 of Regulation S-K under the Securities Act (“</w:t>
      </w:r>
      <w:r>
        <w:rPr>
          <w:rFonts w:ascii="Arial" w:cs="Arial" w:eastAsia="Arial" w:hAnsi="Arial"/>
          <w:sz w:val="16"/>
          <w:szCs w:val="16"/>
          <w:b w:val="1"/>
          <w:bCs w:val="1"/>
          <w:i w:val="1"/>
          <w:iCs w:val="1"/>
          <w:color w:val="auto"/>
        </w:rPr>
        <w:t>Item 402</w:t>
      </w:r>
      <w:r>
        <w:rPr>
          <w:rFonts w:ascii="Arial" w:cs="Arial" w:eastAsia="Arial" w:hAnsi="Arial"/>
          <w:sz w:val="16"/>
          <w:szCs w:val="16"/>
          <w:color w:val="auto"/>
        </w:rPr>
        <w:t>”), below is the ratio of the total compensation of the median employee of the company to the annual total compensation of the CEO (the “</w:t>
      </w:r>
      <w:r>
        <w:rPr>
          <w:rFonts w:ascii="Arial" w:cs="Arial" w:eastAsia="Arial" w:hAnsi="Arial"/>
          <w:sz w:val="16"/>
          <w:szCs w:val="16"/>
          <w:b w:val="1"/>
          <w:bCs w:val="1"/>
          <w:i w:val="1"/>
          <w:iCs w:val="1"/>
          <w:color w:val="auto"/>
        </w:rPr>
        <w:t>Pay Ratio Disclosure</w:t>
      </w:r>
      <w:r>
        <w:rPr>
          <w:rFonts w:ascii="Arial" w:cs="Arial" w:eastAsia="Arial" w:hAnsi="Arial"/>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1026160</wp:posOffset>
            </wp:positionH>
            <wp:positionV relativeFrom="paragraph">
              <wp:posOffset>166370</wp:posOffset>
            </wp:positionV>
            <wp:extent cx="4937760" cy="7886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4937760" cy="788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720" w:right="760"/>
        <w:spacing w:after="0" w:line="254" w:lineRule="auto"/>
        <w:rPr>
          <w:sz w:val="20"/>
          <w:szCs w:val="20"/>
          <w:color w:val="auto"/>
        </w:rPr>
      </w:pPr>
      <w:r>
        <w:rPr>
          <w:rFonts w:ascii="Arial" w:cs="Arial" w:eastAsia="Arial" w:hAnsi="Arial"/>
          <w:sz w:val="16"/>
          <w:szCs w:val="16"/>
          <w:color w:val="auto"/>
        </w:rPr>
        <w:t>In order to identify our median employee, we examined the total compensation in 2021 of all employees globally, including those employed on a full-time, part-time, seasonal or temporary basis by the company as of December 31, 2021, and then such compensation is converted into U.S. dollars. We did not annualize compensation for employees who were not employed for the entire 2021 fiscal year. We chose total compensation to use as our consistently applied compensation measure. Total compensation includes each employee’s base salary, bonuses, sales commissions paid and the grant date fair market value of equity awards granted during the 12-month period from January 1, 2021 through December 31, 2021.</w:t>
      </w:r>
    </w:p>
    <w:p>
      <w:pPr>
        <w:spacing w:after="0" w:line="128" w:lineRule="exact"/>
        <w:rPr>
          <w:sz w:val="20"/>
          <w:szCs w:val="20"/>
          <w:color w:val="auto"/>
        </w:rPr>
      </w:pPr>
    </w:p>
    <w:p>
      <w:pPr>
        <w:ind w:left="720" w:right="900"/>
        <w:spacing w:after="0" w:line="254" w:lineRule="auto"/>
        <w:rPr>
          <w:sz w:val="20"/>
          <w:szCs w:val="20"/>
          <w:color w:val="auto"/>
        </w:rPr>
      </w:pPr>
      <w:r>
        <w:rPr>
          <w:rFonts w:ascii="Arial" w:cs="Arial" w:eastAsia="Arial" w:hAnsi="Arial"/>
          <w:sz w:val="16"/>
          <w:szCs w:val="16"/>
          <w:color w:val="auto"/>
        </w:rPr>
        <w:t>Our CEO had annual total compensation for 2021, calculated using the requirements of Item 402 for purposes of the Pay Ratio Disclosure, of $1,514,896. The annual total compensation of the median employee of the company for 2021, calculated using the same requirements under Item 402 for purposes of the Pay Ratio Disclosure, which included base pay, incentive compensation, the grant date fair value of equity grants and the company’s matching contribution to that employee’s 401(k) plan, was $257,164. Accordingly, the ratio of the annual total compensation of the CEO to the annual total compensation of the median employee of the company was 6 to 1.</w:t>
      </w:r>
    </w:p>
    <w:p>
      <w:pPr>
        <w:spacing w:after="0" w:line="128" w:lineRule="exact"/>
        <w:rPr>
          <w:sz w:val="20"/>
          <w:szCs w:val="20"/>
          <w:color w:val="auto"/>
        </w:rPr>
      </w:pPr>
    </w:p>
    <w:p>
      <w:pPr>
        <w:ind w:left="720" w:right="900"/>
        <w:spacing w:after="0" w:line="259" w:lineRule="auto"/>
        <w:rPr>
          <w:sz w:val="20"/>
          <w:szCs w:val="20"/>
          <w:color w:val="auto"/>
        </w:rPr>
      </w:pPr>
      <w:r>
        <w:rPr>
          <w:rFonts w:ascii="Arial" w:cs="Arial" w:eastAsia="Arial" w:hAnsi="Arial"/>
          <w:sz w:val="16"/>
          <w:szCs w:val="16"/>
          <w:color w:val="auto"/>
        </w:rPr>
        <w:t>The Pay Ratio Disclosure presented above is a reasonable estimate calculated in a manner consistent with Item 402. Because the SEC’s final regulations for identifying the median employee, calculating annual total compensation and determining the pay ratio allow companies to use different methodologies, exemptions, estimates and assumptions, the company’s Pay Ratio Disclosure may not be comparable to that reported by other companies.</w:t>
      </w:r>
    </w:p>
    <w:p>
      <w:pPr>
        <w:spacing w:after="0" w:line="183"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55</w:t>
            </w:r>
          </w:p>
        </w:tc>
      </w:tr>
      <w:tr>
        <w:trPr>
          <w:trHeight w:val="171"/>
        </w:trPr>
        <w:tc>
          <w:tcPr>
            <w:tcW w:w="99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59" w:name="page60"/>
    <w:bookmarkEnd w:id="59"/>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EQUITY COMPENSATION PLAN INFORMATION</w:t>
      </w:r>
    </w:p>
    <w:p>
      <w:pPr>
        <w:spacing w:after="0" w:line="186" w:lineRule="exact"/>
        <w:rPr>
          <w:sz w:val="20"/>
          <w:szCs w:val="20"/>
          <w:color w:val="auto"/>
        </w:rPr>
      </w:pPr>
    </w:p>
    <w:p>
      <w:pPr>
        <w:ind w:left="4"/>
        <w:spacing w:after="0" w:line="253" w:lineRule="auto"/>
        <w:rPr>
          <w:sz w:val="20"/>
          <w:szCs w:val="20"/>
          <w:color w:val="auto"/>
        </w:rPr>
      </w:pPr>
      <w:r>
        <w:rPr>
          <w:rFonts w:ascii="Arial" w:cs="Arial" w:eastAsia="Arial" w:hAnsi="Arial"/>
          <w:sz w:val="16"/>
          <w:szCs w:val="16"/>
          <w:color w:val="auto"/>
        </w:rPr>
        <w:t>The following table summarizes our equity compensation plan information as of December 31, 2021. Information is included for equity compensation plans approved by our stockholders. We do not have any equity compensation plans not approved by our stockholders. The table does not include information with respect to shares subject to outstanding awards assumed by Dropbox in connection with acquisitions of the companies that originally granted those awards. As of December 31, 2021, 458,494 shares of Class A common stock were issuable upon exercise of outstanding options and release of restricted stock units assumed in connection with acquisitions. The weighted average exercise price of such outstanding options was $4.55 per share. No additional equity awards may be granted under any assumed arrangement.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29845</wp:posOffset>
            </wp:positionV>
            <wp:extent cx="6077585" cy="97726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6077585" cy="977265"/>
                    </a:xfrm>
                    <a:prstGeom prst="rect">
                      <a:avLst/>
                    </a:prstGeom>
                    <a:noFill/>
                  </pic:spPr>
                </pic:pic>
              </a:graphicData>
            </a:graphic>
          </wp:anchor>
        </w:drawing>
      </w:r>
    </w:p>
    <w:p>
      <w:pPr>
        <w:spacing w:after="0" w:line="27" w:lineRule="exact"/>
        <w:rPr>
          <w:sz w:val="20"/>
          <w:szCs w:val="20"/>
          <w:color w:val="auto"/>
        </w:rPr>
      </w:pPr>
    </w:p>
    <w:tbl>
      <w:tblPr>
        <w:tblLayout w:type="fixed"/>
        <w:tblInd w:w="4" w:type="dxa"/>
        <w:tblCellMar>
          <w:top w:w="0" w:type="dxa"/>
          <w:left w:w="0" w:type="dxa"/>
          <w:bottom w:w="0" w:type="dxa"/>
          <w:right w:w="0" w:type="dxa"/>
        </w:tblCellMar>
      </w:tblPr>
      <w:tr>
        <w:trPr>
          <w:trHeight w:val="261"/>
        </w:trPr>
        <w:tc>
          <w:tcPr>
            <w:tcW w:w="3140" w:type="dxa"/>
            <w:vAlign w:val="bottom"/>
            <w:shd w:val="clear" w:color="auto" w:fill="0063A6"/>
          </w:tcPr>
          <w:p>
            <w:pPr>
              <w:spacing w:after="0"/>
              <w:rPr>
                <w:sz w:val="22"/>
                <w:szCs w:val="22"/>
                <w:color w:val="auto"/>
              </w:rPr>
            </w:pPr>
          </w:p>
        </w:tc>
        <w:tc>
          <w:tcPr>
            <w:tcW w:w="19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Number of Securities</w:t>
            </w:r>
          </w:p>
        </w:tc>
        <w:tc>
          <w:tcPr>
            <w:tcW w:w="1920" w:type="dxa"/>
            <w:vAlign w:val="bottom"/>
            <w:shd w:val="clear" w:color="auto" w:fill="0063A6"/>
          </w:tcPr>
          <w:p>
            <w:pPr>
              <w:spacing w:after="0"/>
              <w:rPr>
                <w:sz w:val="22"/>
                <w:szCs w:val="22"/>
                <w:color w:val="auto"/>
              </w:rPr>
            </w:pPr>
          </w:p>
        </w:tc>
        <w:tc>
          <w:tcPr>
            <w:tcW w:w="2580" w:type="dxa"/>
            <w:vAlign w:val="bottom"/>
            <w:shd w:val="clear" w:color="auto" w:fill="0063A6"/>
          </w:tcPr>
          <w:p>
            <w:pPr>
              <w:jc w:val="center"/>
              <w:ind w:left="7"/>
              <w:spacing w:after="0"/>
              <w:rPr>
                <w:sz w:val="20"/>
                <w:szCs w:val="20"/>
                <w:color w:val="auto"/>
              </w:rPr>
            </w:pPr>
            <w:r>
              <w:rPr>
                <w:rFonts w:ascii="Arial" w:cs="Arial" w:eastAsia="Arial" w:hAnsi="Arial"/>
                <w:sz w:val="14"/>
                <w:szCs w:val="14"/>
                <w:b w:val="1"/>
                <w:bCs w:val="1"/>
                <w:color w:val="FFFFFF"/>
              </w:rPr>
              <w:t>Number of Securities Remaining</w:t>
            </w:r>
          </w:p>
        </w:tc>
      </w:tr>
      <w:tr>
        <w:trPr>
          <w:trHeight w:val="162"/>
        </w:trPr>
        <w:tc>
          <w:tcPr>
            <w:tcW w:w="3140" w:type="dxa"/>
            <w:vAlign w:val="bottom"/>
            <w:shd w:val="clear" w:color="auto" w:fill="0063A6"/>
          </w:tcPr>
          <w:p>
            <w:pPr>
              <w:spacing w:after="0"/>
              <w:rPr>
                <w:sz w:val="14"/>
                <w:szCs w:val="14"/>
                <w:color w:val="auto"/>
              </w:rPr>
            </w:pPr>
          </w:p>
        </w:tc>
        <w:tc>
          <w:tcPr>
            <w:tcW w:w="19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to be Issued Upon</w:t>
            </w:r>
          </w:p>
        </w:tc>
        <w:tc>
          <w:tcPr>
            <w:tcW w:w="19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Weighted-Average</w:t>
            </w:r>
          </w:p>
        </w:tc>
        <w:tc>
          <w:tcPr>
            <w:tcW w:w="258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Available for Future Issuance</w:t>
            </w:r>
          </w:p>
        </w:tc>
      </w:tr>
      <w:tr>
        <w:trPr>
          <w:trHeight w:val="162"/>
        </w:trPr>
        <w:tc>
          <w:tcPr>
            <w:tcW w:w="3140" w:type="dxa"/>
            <w:vAlign w:val="bottom"/>
            <w:shd w:val="clear" w:color="auto" w:fill="0063A6"/>
          </w:tcPr>
          <w:p>
            <w:pPr>
              <w:spacing w:after="0"/>
              <w:rPr>
                <w:sz w:val="14"/>
                <w:szCs w:val="14"/>
                <w:color w:val="auto"/>
              </w:rPr>
            </w:pPr>
          </w:p>
        </w:tc>
        <w:tc>
          <w:tcPr>
            <w:tcW w:w="19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Exercise of</w:t>
            </w:r>
          </w:p>
        </w:tc>
        <w:tc>
          <w:tcPr>
            <w:tcW w:w="19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Exercise Price of</w:t>
            </w:r>
          </w:p>
        </w:tc>
        <w:tc>
          <w:tcPr>
            <w:tcW w:w="2580" w:type="dxa"/>
            <w:vAlign w:val="bottom"/>
            <w:shd w:val="clear" w:color="auto" w:fill="0063A6"/>
          </w:tcPr>
          <w:p>
            <w:pPr>
              <w:jc w:val="center"/>
              <w:ind w:left="7"/>
              <w:spacing w:after="0"/>
              <w:rPr>
                <w:sz w:val="20"/>
                <w:szCs w:val="20"/>
                <w:color w:val="auto"/>
              </w:rPr>
            </w:pPr>
            <w:r>
              <w:rPr>
                <w:rFonts w:ascii="Arial" w:cs="Arial" w:eastAsia="Arial" w:hAnsi="Arial"/>
                <w:sz w:val="14"/>
                <w:szCs w:val="14"/>
                <w:b w:val="1"/>
                <w:bCs w:val="1"/>
                <w:color w:val="FFFFFF"/>
              </w:rPr>
              <w:t>Under Equity Compensation</w:t>
            </w:r>
          </w:p>
        </w:tc>
      </w:tr>
      <w:tr>
        <w:trPr>
          <w:trHeight w:val="162"/>
        </w:trPr>
        <w:tc>
          <w:tcPr>
            <w:tcW w:w="3140" w:type="dxa"/>
            <w:vAlign w:val="bottom"/>
            <w:shd w:val="clear" w:color="auto" w:fill="0063A6"/>
          </w:tcPr>
          <w:p>
            <w:pPr>
              <w:spacing w:after="0"/>
              <w:rPr>
                <w:sz w:val="14"/>
                <w:szCs w:val="14"/>
                <w:color w:val="auto"/>
              </w:rPr>
            </w:pPr>
          </w:p>
        </w:tc>
        <w:tc>
          <w:tcPr>
            <w:tcW w:w="19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Outstanding Options,</w:t>
            </w:r>
          </w:p>
        </w:tc>
        <w:tc>
          <w:tcPr>
            <w:tcW w:w="19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Outstanding Options,</w:t>
            </w:r>
          </w:p>
        </w:tc>
        <w:tc>
          <w:tcPr>
            <w:tcW w:w="2580" w:type="dxa"/>
            <w:vAlign w:val="bottom"/>
            <w:shd w:val="clear" w:color="auto" w:fill="0063A6"/>
          </w:tcPr>
          <w:p>
            <w:pPr>
              <w:jc w:val="center"/>
              <w:ind w:left="7"/>
              <w:spacing w:after="0"/>
              <w:rPr>
                <w:sz w:val="20"/>
                <w:szCs w:val="20"/>
                <w:color w:val="auto"/>
              </w:rPr>
            </w:pPr>
            <w:r>
              <w:rPr>
                <w:rFonts w:ascii="Arial" w:cs="Arial" w:eastAsia="Arial" w:hAnsi="Arial"/>
                <w:sz w:val="14"/>
                <w:szCs w:val="14"/>
                <w:b w:val="1"/>
                <w:bCs w:val="1"/>
                <w:color w:val="FFFFFF"/>
              </w:rPr>
              <w:t>Plans (Excluding Securities</w:t>
            </w:r>
          </w:p>
        </w:tc>
      </w:tr>
      <w:tr>
        <w:trPr>
          <w:trHeight w:val="196"/>
        </w:trPr>
        <w:tc>
          <w:tcPr>
            <w:tcW w:w="3140" w:type="dxa"/>
            <w:vAlign w:val="bottom"/>
            <w:shd w:val="clear" w:color="auto" w:fill="0063A6"/>
          </w:tcPr>
          <w:p>
            <w:pPr>
              <w:ind w:left="60"/>
              <w:spacing w:after="0"/>
              <w:rPr>
                <w:sz w:val="20"/>
                <w:szCs w:val="20"/>
                <w:color w:val="auto"/>
              </w:rPr>
            </w:pPr>
            <w:r>
              <w:rPr>
                <w:rFonts w:ascii="Arial" w:cs="Arial" w:eastAsia="Arial" w:hAnsi="Arial"/>
                <w:sz w:val="14"/>
                <w:szCs w:val="14"/>
                <w:b w:val="1"/>
                <w:bCs w:val="1"/>
                <w:color w:val="FFFFFF"/>
              </w:rPr>
              <w:t>Plan Category</w:t>
            </w:r>
          </w:p>
        </w:tc>
        <w:tc>
          <w:tcPr>
            <w:tcW w:w="19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Warrants, and Rights</w:t>
            </w:r>
          </w:p>
        </w:tc>
        <w:tc>
          <w:tcPr>
            <w:tcW w:w="19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Warrants, and Rights</w:t>
            </w:r>
          </w:p>
        </w:tc>
        <w:tc>
          <w:tcPr>
            <w:tcW w:w="2580" w:type="dxa"/>
            <w:vAlign w:val="bottom"/>
            <w:shd w:val="clear" w:color="auto" w:fill="0063A6"/>
          </w:tcPr>
          <w:p>
            <w:pPr>
              <w:jc w:val="center"/>
              <w:ind w:left="47"/>
              <w:spacing w:after="0"/>
              <w:rPr>
                <w:sz w:val="20"/>
                <w:szCs w:val="20"/>
                <w:color w:val="auto"/>
              </w:rPr>
            </w:pPr>
            <w:r>
              <w:rPr>
                <w:rFonts w:ascii="Arial" w:cs="Arial" w:eastAsia="Arial" w:hAnsi="Arial"/>
                <w:sz w:val="14"/>
                <w:szCs w:val="14"/>
                <w:b w:val="1"/>
                <w:bCs w:val="1"/>
                <w:color w:val="FFFFFF"/>
              </w:rPr>
              <w:t>Reflected in the First Column)</w:t>
            </w:r>
          </w:p>
        </w:tc>
      </w:tr>
      <w:tr>
        <w:trPr>
          <w:trHeight w:val="70"/>
        </w:trPr>
        <w:tc>
          <w:tcPr>
            <w:tcW w:w="3140" w:type="dxa"/>
            <w:vAlign w:val="bottom"/>
            <w:shd w:val="clear" w:color="auto" w:fill="0063A6"/>
          </w:tcPr>
          <w:p>
            <w:pPr>
              <w:spacing w:after="0"/>
              <w:rPr>
                <w:sz w:val="6"/>
                <w:szCs w:val="6"/>
                <w:color w:val="auto"/>
              </w:rPr>
            </w:pPr>
          </w:p>
        </w:tc>
        <w:tc>
          <w:tcPr>
            <w:tcW w:w="1920" w:type="dxa"/>
            <w:vAlign w:val="bottom"/>
            <w:shd w:val="clear" w:color="auto" w:fill="0063A6"/>
          </w:tcPr>
          <w:p>
            <w:pPr>
              <w:spacing w:after="0"/>
              <w:rPr>
                <w:sz w:val="6"/>
                <w:szCs w:val="6"/>
                <w:color w:val="auto"/>
              </w:rPr>
            </w:pPr>
          </w:p>
        </w:tc>
        <w:tc>
          <w:tcPr>
            <w:tcW w:w="1920" w:type="dxa"/>
            <w:vAlign w:val="bottom"/>
            <w:shd w:val="clear" w:color="auto" w:fill="0063A6"/>
          </w:tcPr>
          <w:p>
            <w:pPr>
              <w:spacing w:after="0"/>
              <w:rPr>
                <w:sz w:val="6"/>
                <w:szCs w:val="6"/>
                <w:color w:val="auto"/>
              </w:rPr>
            </w:pPr>
          </w:p>
        </w:tc>
        <w:tc>
          <w:tcPr>
            <w:tcW w:w="2580" w:type="dxa"/>
            <w:vAlign w:val="bottom"/>
            <w:shd w:val="clear" w:color="auto" w:fill="0063A6"/>
          </w:tcPr>
          <w:p>
            <w:pPr>
              <w:spacing w:after="0"/>
              <w:rPr>
                <w:sz w:val="6"/>
                <w:szCs w:val="6"/>
                <w:color w:val="auto"/>
              </w:rPr>
            </w:pPr>
          </w:p>
        </w:tc>
      </w:tr>
      <w:tr>
        <w:trPr>
          <w:trHeight w:val="257"/>
        </w:trPr>
        <w:tc>
          <w:tcPr>
            <w:tcW w:w="3140" w:type="dxa"/>
            <w:vAlign w:val="bottom"/>
            <w:shd w:val="clear" w:color="auto" w:fill="F2F2F2"/>
          </w:tcPr>
          <w:p>
            <w:pPr>
              <w:ind w:left="60"/>
              <w:spacing w:after="0"/>
              <w:rPr>
                <w:sz w:val="20"/>
                <w:szCs w:val="20"/>
                <w:color w:val="auto"/>
              </w:rPr>
            </w:pPr>
            <w:r>
              <w:rPr>
                <w:rFonts w:ascii="Arial" w:cs="Arial" w:eastAsia="Arial" w:hAnsi="Arial"/>
                <w:sz w:val="16"/>
                <w:szCs w:val="16"/>
                <w:color w:val="auto"/>
              </w:rPr>
              <w:t>Equity compensation plans approved by</w:t>
            </w:r>
          </w:p>
        </w:tc>
        <w:tc>
          <w:tcPr>
            <w:tcW w:w="1920" w:type="dxa"/>
            <w:vAlign w:val="bottom"/>
            <w:shd w:val="clear" w:color="auto" w:fill="F2F2F2"/>
          </w:tcPr>
          <w:p>
            <w:pPr>
              <w:spacing w:after="0"/>
              <w:rPr>
                <w:sz w:val="22"/>
                <w:szCs w:val="22"/>
                <w:color w:val="auto"/>
              </w:rPr>
            </w:pPr>
          </w:p>
        </w:tc>
        <w:tc>
          <w:tcPr>
            <w:tcW w:w="1920" w:type="dxa"/>
            <w:vAlign w:val="bottom"/>
            <w:shd w:val="clear" w:color="auto" w:fill="F2F2F2"/>
          </w:tcPr>
          <w:p>
            <w:pPr>
              <w:spacing w:after="0"/>
              <w:rPr>
                <w:sz w:val="22"/>
                <w:szCs w:val="22"/>
                <w:color w:val="auto"/>
              </w:rPr>
            </w:pPr>
          </w:p>
        </w:tc>
        <w:tc>
          <w:tcPr>
            <w:tcW w:w="2580" w:type="dxa"/>
            <w:vAlign w:val="bottom"/>
            <w:shd w:val="clear" w:color="auto" w:fill="F2F2F2"/>
          </w:tcPr>
          <w:p>
            <w:pPr>
              <w:spacing w:after="0"/>
              <w:rPr>
                <w:sz w:val="22"/>
                <w:szCs w:val="22"/>
                <w:color w:val="auto"/>
              </w:rPr>
            </w:pPr>
          </w:p>
        </w:tc>
      </w:tr>
      <w:tr>
        <w:trPr>
          <w:trHeight w:val="269"/>
        </w:trPr>
        <w:tc>
          <w:tcPr>
            <w:tcW w:w="3140" w:type="dxa"/>
            <w:vAlign w:val="bottom"/>
            <w:shd w:val="clear" w:color="auto" w:fill="F2F2F2"/>
          </w:tcPr>
          <w:p>
            <w:pPr>
              <w:ind w:left="60"/>
              <w:spacing w:after="0" w:line="270" w:lineRule="exact"/>
              <w:rPr>
                <w:sz w:val="20"/>
                <w:szCs w:val="20"/>
                <w:color w:val="auto"/>
              </w:rPr>
            </w:pPr>
            <w:r>
              <w:rPr>
                <w:rFonts w:ascii="Arial" w:cs="Arial" w:eastAsia="Arial" w:hAnsi="Arial"/>
                <w:sz w:val="16"/>
                <w:szCs w:val="16"/>
                <w:color w:val="auto"/>
              </w:rPr>
              <w:t>security holders</w:t>
            </w:r>
            <w:r>
              <w:rPr>
                <w:rFonts w:ascii="Arial" w:cs="Arial" w:eastAsia="Arial" w:hAnsi="Arial"/>
                <w:sz w:val="26"/>
                <w:szCs w:val="26"/>
                <w:color w:val="auto"/>
                <w:vertAlign w:val="superscript"/>
              </w:rPr>
              <w:t>(1)</w:t>
            </w:r>
          </w:p>
        </w:tc>
        <w:tc>
          <w:tcPr>
            <w:tcW w:w="1920" w:type="dxa"/>
            <w:vAlign w:val="bottom"/>
            <w:shd w:val="clear" w:color="auto" w:fill="F2F2F2"/>
          </w:tcPr>
          <w:p>
            <w:pPr>
              <w:jc w:val="right"/>
              <w:ind w:right="387"/>
              <w:spacing w:after="0" w:line="270" w:lineRule="exact"/>
              <w:rPr>
                <w:sz w:val="20"/>
                <w:szCs w:val="20"/>
                <w:color w:val="auto"/>
              </w:rPr>
            </w:pPr>
            <w:r>
              <w:rPr>
                <w:rFonts w:ascii="Arial" w:cs="Arial" w:eastAsia="Arial" w:hAnsi="Arial"/>
                <w:sz w:val="16"/>
                <w:szCs w:val="16"/>
                <w:color w:val="auto"/>
              </w:rPr>
              <w:t>27,797,433</w:t>
            </w:r>
            <w:r>
              <w:rPr>
                <w:rFonts w:ascii="Arial" w:cs="Arial" w:eastAsia="Arial" w:hAnsi="Arial"/>
                <w:sz w:val="26"/>
                <w:szCs w:val="26"/>
                <w:color w:val="auto"/>
                <w:vertAlign w:val="superscript"/>
              </w:rPr>
              <w:t>(2)</w:t>
            </w:r>
          </w:p>
        </w:tc>
        <w:tc>
          <w:tcPr>
            <w:tcW w:w="1920" w:type="dxa"/>
            <w:vAlign w:val="bottom"/>
            <w:shd w:val="clear" w:color="auto" w:fill="F2F2F2"/>
          </w:tcPr>
          <w:p>
            <w:pPr>
              <w:jc w:val="right"/>
              <w:ind w:right="586"/>
              <w:spacing w:after="0" w:line="270" w:lineRule="exact"/>
              <w:rPr>
                <w:sz w:val="20"/>
                <w:szCs w:val="20"/>
                <w:color w:val="auto"/>
              </w:rPr>
            </w:pPr>
            <w:r>
              <w:rPr>
                <w:rFonts w:ascii="Arial" w:cs="Arial" w:eastAsia="Arial" w:hAnsi="Arial"/>
                <w:sz w:val="16"/>
                <w:szCs w:val="16"/>
                <w:color w:val="auto"/>
              </w:rPr>
              <w:t>12.09</w:t>
            </w:r>
            <w:r>
              <w:rPr>
                <w:rFonts w:ascii="Arial" w:cs="Arial" w:eastAsia="Arial" w:hAnsi="Arial"/>
                <w:sz w:val="26"/>
                <w:szCs w:val="26"/>
                <w:color w:val="auto"/>
                <w:vertAlign w:val="superscript"/>
              </w:rPr>
              <w:t>(3)</w:t>
            </w:r>
          </w:p>
        </w:tc>
        <w:tc>
          <w:tcPr>
            <w:tcW w:w="2580" w:type="dxa"/>
            <w:vAlign w:val="bottom"/>
            <w:shd w:val="clear" w:color="auto" w:fill="F2F2F2"/>
          </w:tcPr>
          <w:p>
            <w:pPr>
              <w:jc w:val="right"/>
              <w:ind w:right="687"/>
              <w:spacing w:after="0" w:line="270" w:lineRule="exact"/>
              <w:rPr>
                <w:sz w:val="20"/>
                <w:szCs w:val="20"/>
                <w:color w:val="auto"/>
              </w:rPr>
            </w:pPr>
            <w:r>
              <w:rPr>
                <w:rFonts w:ascii="Arial" w:cs="Arial" w:eastAsia="Arial" w:hAnsi="Arial"/>
                <w:sz w:val="16"/>
                <w:szCs w:val="16"/>
                <w:color w:val="auto"/>
              </w:rPr>
              <w:t>66,468,111</w:t>
            </w:r>
            <w:r>
              <w:rPr>
                <w:rFonts w:ascii="Arial" w:cs="Arial" w:eastAsia="Arial" w:hAnsi="Arial"/>
                <w:sz w:val="26"/>
                <w:szCs w:val="26"/>
                <w:color w:val="auto"/>
                <w:vertAlign w:val="superscript"/>
              </w:rPr>
              <w:t>(4)</w:t>
            </w:r>
          </w:p>
        </w:tc>
      </w:tr>
    </w:tbl>
    <w:p>
      <w:pPr>
        <w:spacing w:after="0" w:line="85" w:lineRule="exact"/>
        <w:rPr>
          <w:sz w:val="20"/>
          <w:szCs w:val="20"/>
          <w:color w:val="auto"/>
        </w:rPr>
      </w:pPr>
    </w:p>
    <w:p>
      <w:pPr>
        <w:ind w:left="244" w:right="260" w:hanging="244"/>
        <w:spacing w:after="0" w:line="203" w:lineRule="auto"/>
        <w:tabs>
          <w:tab w:leader="none" w:pos="244" w:val="left"/>
        </w:tabs>
        <w:numPr>
          <w:ilvl w:val="0"/>
          <w:numId w:val="83"/>
        </w:numPr>
        <w:rPr>
          <w:rFonts w:ascii="Arial" w:cs="Arial" w:eastAsia="Arial" w:hAnsi="Arial"/>
          <w:sz w:val="22"/>
          <w:szCs w:val="22"/>
          <w:color w:val="auto"/>
          <w:vertAlign w:val="superscript"/>
        </w:rPr>
      </w:pPr>
      <w:r>
        <w:rPr>
          <w:rFonts w:ascii="Arial" w:cs="Arial" w:eastAsia="Arial" w:hAnsi="Arial"/>
          <w:sz w:val="14"/>
          <w:szCs w:val="14"/>
          <w:color w:val="auto"/>
        </w:rPr>
        <w:t>Includes our 2008 Equity Incentive Plan (“</w:t>
      </w:r>
      <w:r>
        <w:rPr>
          <w:rFonts w:ascii="Arial" w:cs="Arial" w:eastAsia="Arial" w:hAnsi="Arial"/>
          <w:sz w:val="14"/>
          <w:szCs w:val="14"/>
          <w:b w:val="1"/>
          <w:bCs w:val="1"/>
          <w:i w:val="1"/>
          <w:iCs w:val="1"/>
          <w:color w:val="auto"/>
        </w:rPr>
        <w:t>2008 Plan</w:t>
      </w:r>
      <w:r>
        <w:rPr>
          <w:rFonts w:ascii="Arial" w:cs="Arial" w:eastAsia="Arial" w:hAnsi="Arial"/>
          <w:sz w:val="14"/>
          <w:szCs w:val="14"/>
          <w:color w:val="auto"/>
        </w:rPr>
        <w:t>”), 2017 Equity Incentive Plan (“</w:t>
      </w:r>
      <w:r>
        <w:rPr>
          <w:rFonts w:ascii="Arial" w:cs="Arial" w:eastAsia="Arial" w:hAnsi="Arial"/>
          <w:sz w:val="14"/>
          <w:szCs w:val="14"/>
          <w:b w:val="1"/>
          <w:bCs w:val="1"/>
          <w:i w:val="1"/>
          <w:iCs w:val="1"/>
          <w:color w:val="auto"/>
        </w:rPr>
        <w:t>2017 Plan</w:t>
      </w:r>
      <w:r>
        <w:rPr>
          <w:rFonts w:ascii="Arial" w:cs="Arial" w:eastAsia="Arial" w:hAnsi="Arial"/>
          <w:sz w:val="14"/>
          <w:szCs w:val="14"/>
          <w:color w:val="auto"/>
        </w:rPr>
        <w:t>”) and 2018 Equity Incentive Plan (“</w:t>
      </w:r>
      <w:r>
        <w:rPr>
          <w:rFonts w:ascii="Arial" w:cs="Arial" w:eastAsia="Arial" w:hAnsi="Arial"/>
          <w:sz w:val="14"/>
          <w:szCs w:val="14"/>
          <w:b w:val="1"/>
          <w:bCs w:val="1"/>
          <w:i w:val="1"/>
          <w:iCs w:val="1"/>
          <w:color w:val="auto"/>
        </w:rPr>
        <w:t>2018 Plan</w:t>
      </w:r>
      <w:r>
        <w:rPr>
          <w:rFonts w:ascii="Arial" w:cs="Arial" w:eastAsia="Arial" w:hAnsi="Arial"/>
          <w:sz w:val="14"/>
          <w:szCs w:val="14"/>
          <w:color w:val="auto"/>
        </w:rPr>
        <w:t>”). Our 2008 Plan was terminated effective March 7, 2017 and our 2017 Plan was terminated effective March 20, 2018.</w:t>
      </w:r>
    </w:p>
    <w:p>
      <w:pPr>
        <w:spacing w:after="0" w:line="1" w:lineRule="exact"/>
        <w:rPr>
          <w:rFonts w:ascii="Arial" w:cs="Arial" w:eastAsia="Arial" w:hAnsi="Arial"/>
          <w:sz w:val="22"/>
          <w:szCs w:val="22"/>
          <w:color w:val="auto"/>
          <w:vertAlign w:val="superscript"/>
        </w:rPr>
      </w:pPr>
    </w:p>
    <w:p>
      <w:pPr>
        <w:ind w:left="244" w:right="60" w:hanging="244"/>
        <w:spacing w:after="0" w:line="195" w:lineRule="auto"/>
        <w:tabs>
          <w:tab w:leader="none" w:pos="244" w:val="left"/>
        </w:tabs>
        <w:numPr>
          <w:ilvl w:val="0"/>
          <w:numId w:val="83"/>
        </w:numPr>
        <w:rPr>
          <w:rFonts w:ascii="Arial" w:cs="Arial" w:eastAsia="Arial" w:hAnsi="Arial"/>
          <w:sz w:val="22"/>
          <w:szCs w:val="22"/>
          <w:color w:val="auto"/>
          <w:vertAlign w:val="superscript"/>
        </w:rPr>
      </w:pPr>
      <w:r>
        <w:rPr>
          <w:rFonts w:ascii="Arial" w:cs="Arial" w:eastAsia="Arial" w:hAnsi="Arial"/>
          <w:sz w:val="14"/>
          <w:szCs w:val="14"/>
          <w:color w:val="auto"/>
        </w:rPr>
        <w:t>Includes 27,797,433 shares subject to options and RSUs outstanding as of December 31, 2021 that were issued under the 2008 Plan, 2017 Plan, and 2018 Plan.</w:t>
      </w:r>
    </w:p>
    <w:p>
      <w:pPr>
        <w:spacing w:after="0" w:line="1" w:lineRule="exact"/>
        <w:rPr>
          <w:rFonts w:ascii="Arial" w:cs="Arial" w:eastAsia="Arial" w:hAnsi="Arial"/>
          <w:sz w:val="22"/>
          <w:szCs w:val="22"/>
          <w:color w:val="auto"/>
          <w:vertAlign w:val="superscript"/>
        </w:rPr>
      </w:pPr>
    </w:p>
    <w:p>
      <w:pPr>
        <w:ind w:left="244" w:hanging="244"/>
        <w:spacing w:after="0" w:line="183" w:lineRule="auto"/>
        <w:tabs>
          <w:tab w:leader="none" w:pos="244" w:val="left"/>
        </w:tabs>
        <w:numPr>
          <w:ilvl w:val="0"/>
          <w:numId w:val="83"/>
        </w:numPr>
        <w:rPr>
          <w:rFonts w:ascii="Arial" w:cs="Arial" w:eastAsia="Arial" w:hAnsi="Arial"/>
          <w:sz w:val="20"/>
          <w:szCs w:val="20"/>
          <w:color w:val="auto"/>
          <w:vertAlign w:val="superscript"/>
        </w:rPr>
      </w:pPr>
      <w:r>
        <w:rPr>
          <w:rFonts w:ascii="Arial" w:cs="Arial" w:eastAsia="Arial" w:hAnsi="Arial"/>
          <w:sz w:val="14"/>
          <w:szCs w:val="14"/>
          <w:color w:val="auto"/>
        </w:rPr>
        <w:t>RSUs, which do not have an exercise price, are excluded in the calculation of weighted-average exercise price.</w:t>
      </w:r>
    </w:p>
    <w:p>
      <w:pPr>
        <w:spacing w:after="0" w:line="13" w:lineRule="exact"/>
        <w:rPr>
          <w:rFonts w:ascii="Arial" w:cs="Arial" w:eastAsia="Arial" w:hAnsi="Arial"/>
          <w:sz w:val="20"/>
          <w:szCs w:val="20"/>
          <w:color w:val="auto"/>
          <w:vertAlign w:val="superscript"/>
        </w:rPr>
      </w:pPr>
    </w:p>
    <w:p>
      <w:pPr>
        <w:ind w:left="244" w:hanging="244"/>
        <w:spacing w:after="0" w:line="183" w:lineRule="auto"/>
        <w:tabs>
          <w:tab w:leader="none" w:pos="244" w:val="left"/>
        </w:tabs>
        <w:numPr>
          <w:ilvl w:val="0"/>
          <w:numId w:val="83"/>
        </w:numPr>
        <w:rPr>
          <w:rFonts w:ascii="Arial" w:cs="Arial" w:eastAsia="Arial" w:hAnsi="Arial"/>
          <w:sz w:val="20"/>
          <w:szCs w:val="20"/>
          <w:color w:val="auto"/>
          <w:vertAlign w:val="superscript"/>
        </w:rPr>
      </w:pPr>
      <w:r>
        <w:rPr>
          <w:rFonts w:ascii="Arial" w:cs="Arial" w:eastAsia="Arial" w:hAnsi="Arial"/>
          <w:sz w:val="14"/>
          <w:szCs w:val="14"/>
          <w:color w:val="auto"/>
        </w:rPr>
        <w:t>As of December 31, 2021, an aggregate of 94,265,544 shares of Class A common stock were available for issuance under our 2018 Plan.</w:t>
      </w:r>
    </w:p>
    <w:p>
      <w:pPr>
        <w:spacing w:after="0" w:line="189" w:lineRule="exact"/>
        <w:rPr>
          <w:sz w:val="20"/>
          <w:szCs w:val="20"/>
          <w:color w:val="auto"/>
        </w:rPr>
      </w:pPr>
    </w:p>
    <w:p>
      <w:pPr>
        <w:ind w:left="524" w:hanging="524"/>
        <w:spacing w:after="0"/>
        <w:tabs>
          <w:tab w:leader="none" w:pos="524" w:val="left"/>
        </w:tabs>
        <w:numPr>
          <w:ilvl w:val="0"/>
          <w:numId w:val="84"/>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64"/>
          </w:cols>
          <w:pgMar w:left="1156" w:top="263" w:right="1179" w:bottom="1440" w:gutter="0" w:footer="0" w:header="0"/>
        </w:sectPr>
      </w:pPr>
    </w:p>
    <w:bookmarkStart w:id="60" w:name="page61"/>
    <w:bookmarkEnd w:id="60"/>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020"/>
        <w:spacing w:after="0" w:line="286" w:lineRule="auto"/>
        <w:rPr>
          <w:sz w:val="20"/>
          <w:szCs w:val="20"/>
          <w:color w:val="auto"/>
        </w:rPr>
      </w:pPr>
      <w:r>
        <w:rPr>
          <w:rFonts w:ascii="Arial" w:cs="Arial" w:eastAsia="Arial" w:hAnsi="Arial"/>
          <w:sz w:val="32"/>
          <w:szCs w:val="32"/>
          <w:color w:val="0063A6"/>
        </w:rPr>
        <w:t>SECURITY OWNERSHIP OF CERTAIN BENEFICIAL OWNERS AND MANAGEMENT</w:t>
      </w:r>
    </w:p>
    <w:p>
      <w:pPr>
        <w:spacing w:after="0" w:line="55" w:lineRule="exact"/>
        <w:rPr>
          <w:sz w:val="20"/>
          <w:szCs w:val="20"/>
          <w:color w:val="auto"/>
        </w:rPr>
      </w:pPr>
    </w:p>
    <w:p>
      <w:pPr>
        <w:ind w:left="720" w:right="880"/>
        <w:spacing w:after="0" w:line="286" w:lineRule="auto"/>
        <w:rPr>
          <w:sz w:val="20"/>
          <w:szCs w:val="20"/>
          <w:color w:val="auto"/>
        </w:rPr>
      </w:pPr>
      <w:r>
        <w:rPr>
          <w:rFonts w:ascii="Arial" w:cs="Arial" w:eastAsia="Arial" w:hAnsi="Arial"/>
          <w:sz w:val="16"/>
          <w:szCs w:val="16"/>
          <w:color w:val="auto"/>
        </w:rPr>
        <w:t>The following table sets forth certain information with respect to the beneficial ownership of our common stock as of March 25, 2022 for:</w:t>
      </w:r>
    </w:p>
    <w:p>
      <w:pPr>
        <w:spacing w:after="0" w:line="102" w:lineRule="exact"/>
        <w:rPr>
          <w:sz w:val="20"/>
          <w:szCs w:val="20"/>
          <w:color w:val="auto"/>
        </w:rPr>
      </w:pPr>
    </w:p>
    <w:p>
      <w:pPr>
        <w:ind w:left="1000" w:hanging="284"/>
        <w:spacing w:after="0"/>
        <w:tabs>
          <w:tab w:leader="none" w:pos="1000" w:val="left"/>
        </w:tabs>
        <w:numPr>
          <w:ilvl w:val="0"/>
          <w:numId w:val="85"/>
        </w:numPr>
        <w:rPr>
          <w:rFonts w:ascii="Arial" w:cs="Arial" w:eastAsia="Arial" w:hAnsi="Arial"/>
          <w:sz w:val="16"/>
          <w:szCs w:val="16"/>
          <w:color w:val="0063A6"/>
        </w:rPr>
      </w:pPr>
      <w:r>
        <w:rPr>
          <w:rFonts w:ascii="Arial" w:cs="Arial" w:eastAsia="Arial" w:hAnsi="Arial"/>
          <w:sz w:val="16"/>
          <w:szCs w:val="16"/>
          <w:color w:val="auto"/>
        </w:rPr>
        <w:t>each of our directors;</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85"/>
        </w:numPr>
        <w:rPr>
          <w:rFonts w:ascii="Arial" w:cs="Arial" w:eastAsia="Arial" w:hAnsi="Arial"/>
          <w:sz w:val="16"/>
          <w:szCs w:val="16"/>
          <w:color w:val="0063A6"/>
        </w:rPr>
      </w:pPr>
      <w:r>
        <w:rPr>
          <w:rFonts w:ascii="Arial" w:cs="Arial" w:eastAsia="Arial" w:hAnsi="Arial"/>
          <w:sz w:val="16"/>
          <w:szCs w:val="16"/>
          <w:color w:val="auto"/>
        </w:rPr>
        <w:t>each of our named executive officers;</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85"/>
        </w:numPr>
        <w:rPr>
          <w:rFonts w:ascii="Arial" w:cs="Arial" w:eastAsia="Arial" w:hAnsi="Arial"/>
          <w:sz w:val="16"/>
          <w:szCs w:val="16"/>
          <w:color w:val="0063A6"/>
        </w:rPr>
      </w:pPr>
      <w:r>
        <w:rPr>
          <w:rFonts w:ascii="Arial" w:cs="Arial" w:eastAsia="Arial" w:hAnsi="Arial"/>
          <w:sz w:val="16"/>
          <w:szCs w:val="16"/>
          <w:color w:val="auto"/>
        </w:rPr>
        <w:t>all of our current directors, named executive officers and executive officers as a group; and</w:t>
      </w:r>
    </w:p>
    <w:p>
      <w:pPr>
        <w:spacing w:after="0" w:line="167" w:lineRule="exact"/>
        <w:rPr>
          <w:rFonts w:ascii="Arial" w:cs="Arial" w:eastAsia="Arial" w:hAnsi="Arial"/>
          <w:sz w:val="16"/>
          <w:szCs w:val="16"/>
          <w:color w:val="0063A6"/>
        </w:rPr>
      </w:pPr>
    </w:p>
    <w:p>
      <w:pPr>
        <w:ind w:left="1000" w:hanging="284"/>
        <w:spacing w:after="0"/>
        <w:tabs>
          <w:tab w:leader="none" w:pos="1000" w:val="left"/>
        </w:tabs>
        <w:numPr>
          <w:ilvl w:val="0"/>
          <w:numId w:val="85"/>
        </w:numPr>
        <w:rPr>
          <w:rFonts w:ascii="Arial" w:cs="Arial" w:eastAsia="Arial" w:hAnsi="Arial"/>
          <w:sz w:val="16"/>
          <w:szCs w:val="16"/>
          <w:color w:val="0063A6"/>
        </w:rPr>
      </w:pPr>
      <w:r>
        <w:rPr>
          <w:rFonts w:ascii="Arial" w:cs="Arial" w:eastAsia="Arial" w:hAnsi="Arial"/>
          <w:sz w:val="16"/>
          <w:szCs w:val="16"/>
          <w:color w:val="auto"/>
        </w:rPr>
        <w:t>each person or group known by us to be the beneficial owner of more than 5% of our Class A or Class B common stock.</w:t>
      </w:r>
    </w:p>
    <w:p>
      <w:pPr>
        <w:spacing w:after="0" w:line="167" w:lineRule="exact"/>
        <w:rPr>
          <w:sz w:val="20"/>
          <w:szCs w:val="20"/>
          <w:color w:val="auto"/>
        </w:rPr>
      </w:pPr>
    </w:p>
    <w:p>
      <w:pPr>
        <w:ind w:left="720" w:right="780"/>
        <w:spacing w:after="0" w:line="259" w:lineRule="auto"/>
        <w:rPr>
          <w:sz w:val="20"/>
          <w:szCs w:val="20"/>
          <w:color w:val="auto"/>
        </w:rPr>
      </w:pPr>
      <w:r>
        <w:rPr>
          <w:rFonts w:ascii="Arial" w:cs="Arial" w:eastAsia="Arial" w:hAnsi="Arial"/>
          <w:sz w:val="16"/>
          <w:szCs w:val="16"/>
          <w:color w:val="auto"/>
        </w:rPr>
        <w:t>We have determined beneficial ownership in accordance with the rules of the SEC, and thus it represents sole or shared voting or investment power with respect to our securities. Unless otherwise indicated below, to our knowledge, the persons and entities named in the table have sole voting and sole investment power with respect to all shares that they beneficially owned, subject to community property laws where applicable.</w:t>
      </w:r>
    </w:p>
    <w:p>
      <w:pPr>
        <w:spacing w:after="0" w:line="124" w:lineRule="exact"/>
        <w:rPr>
          <w:sz w:val="20"/>
          <w:szCs w:val="20"/>
          <w:color w:val="auto"/>
        </w:rPr>
      </w:pPr>
    </w:p>
    <w:p>
      <w:pPr>
        <w:ind w:left="720" w:right="760"/>
        <w:spacing w:after="0" w:line="251" w:lineRule="auto"/>
        <w:rPr>
          <w:sz w:val="20"/>
          <w:szCs w:val="20"/>
          <w:color w:val="auto"/>
        </w:rPr>
      </w:pPr>
      <w:r>
        <w:rPr>
          <w:rFonts w:ascii="Arial" w:cs="Arial" w:eastAsia="Arial" w:hAnsi="Arial"/>
          <w:sz w:val="16"/>
          <w:szCs w:val="16"/>
          <w:color w:val="auto"/>
        </w:rPr>
        <w:t>We have based our calculation of the percentage of beneficial ownership on 295,342,482 shares of our Class A common stock, 82,609,421 shares of our Class B common stock, and no shares of our Class C common stock outstanding as of March 25, 2022. We have deemed shares of our common stock subject to stock options that are currently exercisable or exercisable within 60 days of March 25, 2022 or issuable pursuant to RSUs which are subject to vesting and settlement conditions expected to occur within</w:t>
      </w:r>
    </w:p>
    <w:p>
      <w:pPr>
        <w:spacing w:after="0" w:line="2" w:lineRule="exact"/>
        <w:rPr>
          <w:sz w:val="20"/>
          <w:szCs w:val="20"/>
          <w:color w:val="auto"/>
        </w:rPr>
      </w:pPr>
    </w:p>
    <w:p>
      <w:pPr>
        <w:ind w:left="720" w:right="760"/>
        <w:spacing w:after="0" w:line="256" w:lineRule="auto"/>
        <w:rPr>
          <w:sz w:val="20"/>
          <w:szCs w:val="20"/>
          <w:color w:val="auto"/>
        </w:rPr>
      </w:pPr>
      <w:r>
        <w:rPr>
          <w:rFonts w:ascii="Arial" w:cs="Arial" w:eastAsia="Arial" w:hAnsi="Arial"/>
          <w:sz w:val="16"/>
          <w:szCs w:val="16"/>
          <w:color w:val="auto"/>
        </w:rPr>
        <w:t>60 days of March 25, 2022, to be outstanding and to be beneficially owned by the person holding the stock option or RSU for the purpose of computing the percentage ownership of that person. We did not deem these shares outstanding, however, for the purpose of computing the percentage ownership of any other person.</w:t>
      </w:r>
    </w:p>
    <w:p>
      <w:pPr>
        <w:spacing w:after="0" w:line="124" w:lineRule="exact"/>
        <w:rPr>
          <w:sz w:val="20"/>
          <w:szCs w:val="20"/>
          <w:color w:val="auto"/>
        </w:rPr>
      </w:pPr>
    </w:p>
    <w:p>
      <w:pPr>
        <w:jc w:val="both"/>
        <w:ind w:left="720" w:right="1020"/>
        <w:spacing w:after="0" w:line="266" w:lineRule="auto"/>
        <w:rPr>
          <w:sz w:val="20"/>
          <w:szCs w:val="20"/>
          <w:color w:val="auto"/>
        </w:rPr>
      </w:pPr>
      <w:r>
        <w:rPr>
          <w:rFonts w:ascii="Arial" w:cs="Arial" w:eastAsia="Arial" w:hAnsi="Arial"/>
          <w:sz w:val="16"/>
          <w:szCs w:val="16"/>
          <w:color w:val="auto"/>
        </w:rPr>
        <w:t>Unless otherwise indicated, the address of each beneficial owner listed in the table below is c/o Dropbox, Inc., 1800 Owens Street San Francisco, California 94158. The information provided in the table is based on our records, information filed with the SEC and information provided to us, except where otherwise noted.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23495</wp:posOffset>
            </wp:positionV>
            <wp:extent cx="6077585" cy="41490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6077585" cy="4149090"/>
                    </a:xfrm>
                    <a:prstGeom prst="rect">
                      <a:avLst/>
                    </a:prstGeom>
                    <a:noFill/>
                  </pic:spPr>
                </pic:pic>
              </a:graphicData>
            </a:graphic>
          </wp:anchor>
        </w:drawing>
      </w:r>
    </w:p>
    <w:p>
      <w:pPr>
        <w:spacing w:after="0" w:line="17" w:lineRule="exact"/>
        <w:rPr>
          <w:sz w:val="20"/>
          <w:szCs w:val="20"/>
          <w:color w:val="auto"/>
        </w:rPr>
      </w:pPr>
    </w:p>
    <w:tbl>
      <w:tblPr>
        <w:tblLayout w:type="fixed"/>
        <w:tblInd w:w="0" w:type="dxa"/>
        <w:tblCellMar>
          <w:top w:w="0" w:type="dxa"/>
          <w:left w:w="0" w:type="dxa"/>
          <w:bottom w:w="0" w:type="dxa"/>
          <w:right w:w="0" w:type="dxa"/>
        </w:tblCellMar>
      </w:tblPr>
      <w:tr>
        <w:trPr>
          <w:trHeight w:val="295"/>
        </w:trPr>
        <w:tc>
          <w:tcPr>
            <w:tcW w:w="720" w:type="dxa"/>
            <w:vAlign w:val="bottom"/>
          </w:tcPr>
          <w:p>
            <w:pPr>
              <w:spacing w:after="0"/>
              <w:rPr>
                <w:sz w:val="24"/>
                <w:szCs w:val="24"/>
                <w:color w:val="auto"/>
              </w:rPr>
            </w:pPr>
          </w:p>
        </w:tc>
        <w:tc>
          <w:tcPr>
            <w:tcW w:w="3400" w:type="dxa"/>
            <w:vAlign w:val="bottom"/>
            <w:shd w:val="clear" w:color="auto" w:fill="0063A6"/>
          </w:tcPr>
          <w:p>
            <w:pPr>
              <w:spacing w:after="0"/>
              <w:rPr>
                <w:sz w:val="24"/>
                <w:szCs w:val="24"/>
                <w:color w:val="auto"/>
              </w:rPr>
            </w:pPr>
          </w:p>
        </w:tc>
        <w:tc>
          <w:tcPr>
            <w:tcW w:w="4100" w:type="dxa"/>
            <w:vAlign w:val="bottom"/>
            <w:gridSpan w:val="3"/>
            <w:shd w:val="clear" w:color="auto" w:fill="0063A6"/>
          </w:tcPr>
          <w:p>
            <w:pPr>
              <w:jc w:val="right"/>
              <w:ind w:right="80"/>
              <w:spacing w:after="0"/>
              <w:rPr>
                <w:sz w:val="20"/>
                <w:szCs w:val="20"/>
                <w:color w:val="auto"/>
              </w:rPr>
            </w:pPr>
            <w:r>
              <w:rPr>
                <w:rFonts w:ascii="Arial" w:cs="Arial" w:eastAsia="Arial" w:hAnsi="Arial"/>
                <w:sz w:val="14"/>
                <w:szCs w:val="14"/>
                <w:b w:val="1"/>
                <w:bCs w:val="1"/>
                <w:color w:val="FFFFFF"/>
              </w:rPr>
              <w:t>Amount and nature of beneficial ownership</w:t>
            </w:r>
          </w:p>
        </w:tc>
        <w:tc>
          <w:tcPr>
            <w:tcW w:w="760" w:type="dxa"/>
            <w:vAlign w:val="bottom"/>
            <w:shd w:val="clear" w:color="auto" w:fill="0063A6"/>
          </w:tcPr>
          <w:p>
            <w:pPr>
              <w:spacing w:after="0"/>
              <w:rPr>
                <w:sz w:val="24"/>
                <w:szCs w:val="24"/>
                <w:color w:val="auto"/>
              </w:rPr>
            </w:pPr>
          </w:p>
        </w:tc>
        <w:tc>
          <w:tcPr>
            <w:tcW w:w="1080" w:type="dxa"/>
            <w:vAlign w:val="bottom"/>
            <w:shd w:val="clear" w:color="auto" w:fill="0063A6"/>
          </w:tcPr>
          <w:p>
            <w:pPr>
              <w:spacing w:after="0"/>
              <w:rPr>
                <w:sz w:val="24"/>
                <w:szCs w:val="24"/>
                <w:color w:val="auto"/>
              </w:rPr>
            </w:pPr>
          </w:p>
        </w:tc>
        <w:tc>
          <w:tcPr>
            <w:tcW w:w="220" w:type="dxa"/>
            <w:vAlign w:val="bottom"/>
            <w:shd w:val="clear" w:color="auto" w:fill="0063A6"/>
          </w:tcPr>
          <w:p>
            <w:pPr>
              <w:spacing w:after="0"/>
              <w:rPr>
                <w:sz w:val="24"/>
                <w:szCs w:val="24"/>
                <w:color w:val="auto"/>
              </w:rPr>
            </w:pPr>
          </w:p>
        </w:tc>
        <w:tc>
          <w:tcPr>
            <w:tcW w:w="740" w:type="dxa"/>
            <w:vAlign w:val="bottom"/>
          </w:tcPr>
          <w:p>
            <w:pPr>
              <w:spacing w:after="0"/>
              <w:rPr>
                <w:sz w:val="24"/>
                <w:szCs w:val="24"/>
                <w:color w:val="auto"/>
              </w:rPr>
            </w:pPr>
          </w:p>
        </w:tc>
      </w:tr>
      <w:tr>
        <w:trPr>
          <w:trHeight w:val="300"/>
        </w:trPr>
        <w:tc>
          <w:tcPr>
            <w:tcW w:w="720" w:type="dxa"/>
            <w:vAlign w:val="bottom"/>
          </w:tcPr>
          <w:p>
            <w:pPr>
              <w:spacing w:after="0"/>
              <w:rPr>
                <w:sz w:val="24"/>
                <w:szCs w:val="24"/>
                <w:color w:val="auto"/>
              </w:rPr>
            </w:pPr>
          </w:p>
        </w:tc>
        <w:tc>
          <w:tcPr>
            <w:tcW w:w="3400" w:type="dxa"/>
            <w:vAlign w:val="bottom"/>
            <w:shd w:val="clear" w:color="auto" w:fill="0063A6"/>
          </w:tcPr>
          <w:p>
            <w:pPr>
              <w:spacing w:after="0"/>
              <w:rPr>
                <w:sz w:val="24"/>
                <w:szCs w:val="24"/>
                <w:color w:val="auto"/>
              </w:rPr>
            </w:pPr>
          </w:p>
        </w:tc>
        <w:tc>
          <w:tcPr>
            <w:tcW w:w="16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Class A</w:t>
            </w:r>
          </w:p>
        </w:tc>
        <w:tc>
          <w:tcPr>
            <w:tcW w:w="760" w:type="dxa"/>
            <w:vAlign w:val="bottom"/>
            <w:shd w:val="clear" w:color="auto" w:fill="0063A6"/>
          </w:tcPr>
          <w:p>
            <w:pPr>
              <w:spacing w:after="0"/>
              <w:rPr>
                <w:sz w:val="24"/>
                <w:szCs w:val="24"/>
                <w:color w:val="auto"/>
              </w:rPr>
            </w:pPr>
          </w:p>
        </w:tc>
        <w:tc>
          <w:tcPr>
            <w:tcW w:w="1720" w:type="dxa"/>
            <w:vAlign w:val="bottom"/>
            <w:shd w:val="clear" w:color="auto" w:fill="0063A6"/>
          </w:tcPr>
          <w:p>
            <w:pPr>
              <w:jc w:val="center"/>
              <w:ind w:right="40"/>
              <w:spacing w:after="0"/>
              <w:rPr>
                <w:sz w:val="20"/>
                <w:szCs w:val="20"/>
                <w:color w:val="auto"/>
              </w:rPr>
            </w:pPr>
            <w:r>
              <w:rPr>
                <w:rFonts w:ascii="Arial" w:cs="Arial" w:eastAsia="Arial" w:hAnsi="Arial"/>
                <w:sz w:val="14"/>
                <w:szCs w:val="14"/>
                <w:b w:val="1"/>
                <w:bCs w:val="1"/>
                <w:color w:val="FFFFFF"/>
              </w:rPr>
              <w:t>Class B</w:t>
            </w:r>
          </w:p>
        </w:tc>
        <w:tc>
          <w:tcPr>
            <w:tcW w:w="760" w:type="dxa"/>
            <w:vAlign w:val="bottom"/>
            <w:shd w:val="clear" w:color="auto" w:fill="0063A6"/>
          </w:tcPr>
          <w:p>
            <w:pPr>
              <w:spacing w:after="0"/>
              <w:rPr>
                <w:sz w:val="24"/>
                <w:szCs w:val="24"/>
                <w:color w:val="auto"/>
              </w:rPr>
            </w:pPr>
          </w:p>
        </w:tc>
        <w:tc>
          <w:tcPr>
            <w:tcW w:w="1080" w:type="dxa"/>
            <w:vAlign w:val="bottom"/>
            <w:shd w:val="clear" w:color="auto" w:fill="0063A6"/>
          </w:tcPr>
          <w:p>
            <w:pPr>
              <w:jc w:val="center"/>
              <w:ind w:left="240"/>
              <w:spacing w:after="0"/>
              <w:rPr>
                <w:sz w:val="20"/>
                <w:szCs w:val="20"/>
                <w:color w:val="auto"/>
              </w:rPr>
            </w:pPr>
            <w:r>
              <w:rPr>
                <w:rFonts w:ascii="Arial" w:cs="Arial" w:eastAsia="Arial" w:hAnsi="Arial"/>
                <w:sz w:val="14"/>
                <w:szCs w:val="14"/>
                <w:b w:val="1"/>
                <w:bCs w:val="1"/>
                <w:color w:val="FFFFFF"/>
              </w:rPr>
              <w:t>% of total</w:t>
            </w:r>
          </w:p>
        </w:tc>
        <w:tc>
          <w:tcPr>
            <w:tcW w:w="220" w:type="dxa"/>
            <w:vAlign w:val="bottom"/>
            <w:shd w:val="clear" w:color="auto" w:fill="0063A6"/>
          </w:tcPr>
          <w:p>
            <w:pPr>
              <w:spacing w:after="0"/>
              <w:rPr>
                <w:sz w:val="24"/>
                <w:szCs w:val="24"/>
                <w:color w:val="auto"/>
              </w:rPr>
            </w:pPr>
          </w:p>
        </w:tc>
        <w:tc>
          <w:tcPr>
            <w:tcW w:w="740" w:type="dxa"/>
            <w:vAlign w:val="bottom"/>
          </w:tcPr>
          <w:p>
            <w:pPr>
              <w:spacing w:after="0"/>
              <w:rPr>
                <w:sz w:val="24"/>
                <w:szCs w:val="24"/>
                <w:color w:val="auto"/>
              </w:rPr>
            </w:pPr>
          </w:p>
        </w:tc>
      </w:tr>
      <w:tr>
        <w:trPr>
          <w:trHeight w:val="282"/>
        </w:trPr>
        <w:tc>
          <w:tcPr>
            <w:tcW w:w="720" w:type="dxa"/>
            <w:vAlign w:val="bottom"/>
          </w:tcPr>
          <w:p>
            <w:pPr>
              <w:spacing w:after="0"/>
              <w:rPr>
                <w:sz w:val="24"/>
                <w:szCs w:val="24"/>
                <w:color w:val="auto"/>
              </w:rPr>
            </w:pPr>
          </w:p>
        </w:tc>
        <w:tc>
          <w:tcPr>
            <w:tcW w:w="3400" w:type="dxa"/>
            <w:vAlign w:val="bottom"/>
            <w:shd w:val="clear" w:color="auto" w:fill="0063A6"/>
          </w:tcPr>
          <w:p>
            <w:pPr>
              <w:ind w:left="60"/>
              <w:spacing w:after="0"/>
              <w:rPr>
                <w:sz w:val="20"/>
                <w:szCs w:val="20"/>
                <w:color w:val="auto"/>
              </w:rPr>
            </w:pPr>
            <w:r>
              <w:rPr>
                <w:rFonts w:ascii="Arial" w:cs="Arial" w:eastAsia="Arial" w:hAnsi="Arial"/>
                <w:sz w:val="14"/>
                <w:szCs w:val="14"/>
                <w:b w:val="1"/>
                <w:bCs w:val="1"/>
                <w:color w:val="FFFFFF"/>
              </w:rPr>
              <w:t>Name of beneficial owner</w:t>
            </w:r>
          </w:p>
        </w:tc>
        <w:tc>
          <w:tcPr>
            <w:tcW w:w="16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Common shares</w:t>
            </w:r>
          </w:p>
        </w:tc>
        <w:tc>
          <w:tcPr>
            <w:tcW w:w="76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w w:val="96"/>
              </w:rPr>
              <w:t>%</w:t>
            </w:r>
          </w:p>
        </w:tc>
        <w:tc>
          <w:tcPr>
            <w:tcW w:w="17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Common shares†</w:t>
            </w:r>
          </w:p>
        </w:tc>
        <w:tc>
          <w:tcPr>
            <w:tcW w:w="76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w:t>
            </w:r>
          </w:p>
        </w:tc>
        <w:tc>
          <w:tcPr>
            <w:tcW w:w="1300" w:type="dxa"/>
            <w:vAlign w:val="bottom"/>
            <w:gridSpan w:val="2"/>
            <w:shd w:val="clear" w:color="auto" w:fill="0063A6"/>
          </w:tcPr>
          <w:p>
            <w:pPr>
              <w:jc w:val="center"/>
              <w:ind w:left="60"/>
              <w:spacing w:after="0"/>
              <w:rPr>
                <w:sz w:val="20"/>
                <w:szCs w:val="20"/>
                <w:color w:val="auto"/>
              </w:rPr>
            </w:pPr>
            <w:r>
              <w:rPr>
                <w:rFonts w:ascii="Arial" w:cs="Arial" w:eastAsia="Arial" w:hAnsi="Arial"/>
                <w:sz w:val="14"/>
                <w:szCs w:val="14"/>
                <w:b w:val="1"/>
                <w:bCs w:val="1"/>
                <w:color w:val="FFFFFF"/>
              </w:rPr>
              <w:t>voting power</w:t>
            </w:r>
            <w:r>
              <w:rPr>
                <w:rFonts w:ascii="Arial" w:cs="Arial" w:eastAsia="Arial" w:hAnsi="Arial"/>
                <w:sz w:val="23"/>
                <w:szCs w:val="23"/>
                <w:b w:val="1"/>
                <w:bCs w:val="1"/>
                <w:color w:val="FFFFFF"/>
                <w:vertAlign w:val="superscript"/>
              </w:rPr>
              <w:t>#</w:t>
            </w:r>
          </w:p>
        </w:tc>
        <w:tc>
          <w:tcPr>
            <w:tcW w:w="740" w:type="dxa"/>
            <w:vAlign w:val="bottom"/>
          </w:tcPr>
          <w:p>
            <w:pPr>
              <w:spacing w:after="0"/>
              <w:rPr>
                <w:sz w:val="24"/>
                <w:szCs w:val="24"/>
                <w:color w:val="auto"/>
              </w:rPr>
            </w:pPr>
          </w:p>
        </w:tc>
      </w:tr>
      <w:tr>
        <w:trPr>
          <w:trHeight w:val="303"/>
        </w:trPr>
        <w:tc>
          <w:tcPr>
            <w:tcW w:w="720" w:type="dxa"/>
            <w:vAlign w:val="bottom"/>
          </w:tcPr>
          <w:p>
            <w:pPr>
              <w:spacing w:after="0"/>
              <w:rPr>
                <w:sz w:val="24"/>
                <w:szCs w:val="24"/>
                <w:color w:val="auto"/>
              </w:rPr>
            </w:pPr>
          </w:p>
        </w:tc>
        <w:tc>
          <w:tcPr>
            <w:tcW w:w="3400" w:type="dxa"/>
            <w:vAlign w:val="bottom"/>
            <w:shd w:val="clear" w:color="auto" w:fill="F2F2F2"/>
          </w:tcPr>
          <w:p>
            <w:pPr>
              <w:ind w:left="60"/>
              <w:spacing w:after="0"/>
              <w:rPr>
                <w:sz w:val="20"/>
                <w:szCs w:val="20"/>
                <w:color w:val="auto"/>
              </w:rPr>
            </w:pPr>
            <w:r>
              <w:rPr>
                <w:rFonts w:ascii="Arial" w:cs="Arial" w:eastAsia="Arial" w:hAnsi="Arial"/>
                <w:sz w:val="16"/>
                <w:szCs w:val="16"/>
                <w:b w:val="1"/>
                <w:bCs w:val="1"/>
                <w:color w:val="auto"/>
              </w:rPr>
              <w:t>Named executive officers and directors:</w:t>
            </w:r>
          </w:p>
        </w:tc>
        <w:tc>
          <w:tcPr>
            <w:tcW w:w="1620" w:type="dxa"/>
            <w:vAlign w:val="bottom"/>
            <w:shd w:val="clear" w:color="auto" w:fill="F2F2F2"/>
          </w:tcPr>
          <w:p>
            <w:pPr>
              <w:spacing w:after="0"/>
              <w:rPr>
                <w:sz w:val="24"/>
                <w:szCs w:val="24"/>
                <w:color w:val="auto"/>
              </w:rPr>
            </w:pPr>
          </w:p>
        </w:tc>
        <w:tc>
          <w:tcPr>
            <w:tcW w:w="760" w:type="dxa"/>
            <w:vAlign w:val="bottom"/>
            <w:shd w:val="clear" w:color="auto" w:fill="F2F2F2"/>
          </w:tcPr>
          <w:p>
            <w:pPr>
              <w:spacing w:after="0"/>
              <w:rPr>
                <w:sz w:val="24"/>
                <w:szCs w:val="24"/>
                <w:color w:val="auto"/>
              </w:rPr>
            </w:pPr>
          </w:p>
        </w:tc>
        <w:tc>
          <w:tcPr>
            <w:tcW w:w="1720" w:type="dxa"/>
            <w:vAlign w:val="bottom"/>
            <w:shd w:val="clear" w:color="auto" w:fill="F2F2F2"/>
          </w:tcPr>
          <w:p>
            <w:pPr>
              <w:spacing w:after="0"/>
              <w:rPr>
                <w:sz w:val="24"/>
                <w:szCs w:val="24"/>
                <w:color w:val="auto"/>
              </w:rPr>
            </w:pPr>
          </w:p>
        </w:tc>
        <w:tc>
          <w:tcPr>
            <w:tcW w:w="760" w:type="dxa"/>
            <w:vAlign w:val="bottom"/>
            <w:shd w:val="clear" w:color="auto" w:fill="F2F2F2"/>
          </w:tcPr>
          <w:p>
            <w:pPr>
              <w:spacing w:after="0"/>
              <w:rPr>
                <w:sz w:val="24"/>
                <w:szCs w:val="24"/>
                <w:color w:val="auto"/>
              </w:rPr>
            </w:pPr>
          </w:p>
        </w:tc>
        <w:tc>
          <w:tcPr>
            <w:tcW w:w="1080" w:type="dxa"/>
            <w:vAlign w:val="bottom"/>
            <w:shd w:val="clear" w:color="auto" w:fill="F2F2F2"/>
          </w:tcPr>
          <w:p>
            <w:pPr>
              <w:spacing w:after="0"/>
              <w:rPr>
                <w:sz w:val="24"/>
                <w:szCs w:val="24"/>
                <w:color w:val="auto"/>
              </w:rPr>
            </w:pPr>
          </w:p>
        </w:tc>
        <w:tc>
          <w:tcPr>
            <w:tcW w:w="220" w:type="dxa"/>
            <w:vAlign w:val="bottom"/>
            <w:shd w:val="clear" w:color="auto" w:fill="F2F2F2"/>
          </w:tcPr>
          <w:p>
            <w:pPr>
              <w:spacing w:after="0"/>
              <w:rPr>
                <w:sz w:val="24"/>
                <w:szCs w:val="24"/>
                <w:color w:val="auto"/>
              </w:rPr>
            </w:pPr>
          </w:p>
        </w:tc>
        <w:tc>
          <w:tcPr>
            <w:tcW w:w="740" w:type="dxa"/>
            <w:vAlign w:val="bottom"/>
          </w:tcPr>
          <w:p>
            <w:pPr>
              <w:spacing w:after="0"/>
              <w:rPr>
                <w:sz w:val="24"/>
                <w:szCs w:val="24"/>
                <w:color w:val="auto"/>
              </w:rPr>
            </w:pPr>
          </w:p>
        </w:tc>
      </w:tr>
      <w:tr>
        <w:trPr>
          <w:trHeight w:val="75"/>
        </w:trPr>
        <w:tc>
          <w:tcPr>
            <w:tcW w:w="720" w:type="dxa"/>
            <w:vAlign w:val="bottom"/>
          </w:tcPr>
          <w:p>
            <w:pPr>
              <w:spacing w:after="0"/>
              <w:rPr>
                <w:sz w:val="6"/>
                <w:szCs w:val="6"/>
                <w:color w:val="auto"/>
              </w:rPr>
            </w:pPr>
          </w:p>
        </w:tc>
        <w:tc>
          <w:tcPr>
            <w:tcW w:w="3400" w:type="dxa"/>
            <w:vAlign w:val="bottom"/>
            <w:shd w:val="clear" w:color="auto" w:fill="F2F2F2"/>
          </w:tcPr>
          <w:p>
            <w:pPr>
              <w:spacing w:after="0"/>
              <w:rPr>
                <w:sz w:val="6"/>
                <w:szCs w:val="6"/>
                <w:color w:val="auto"/>
              </w:rPr>
            </w:pPr>
          </w:p>
        </w:tc>
        <w:tc>
          <w:tcPr>
            <w:tcW w:w="1620" w:type="dxa"/>
            <w:vAlign w:val="bottom"/>
            <w:shd w:val="clear" w:color="auto" w:fill="F2F2F2"/>
          </w:tcPr>
          <w:p>
            <w:pPr>
              <w:spacing w:after="0"/>
              <w:rPr>
                <w:sz w:val="6"/>
                <w:szCs w:val="6"/>
                <w:color w:val="auto"/>
              </w:rPr>
            </w:pPr>
          </w:p>
        </w:tc>
        <w:tc>
          <w:tcPr>
            <w:tcW w:w="760" w:type="dxa"/>
            <w:vAlign w:val="bottom"/>
            <w:shd w:val="clear" w:color="auto" w:fill="F2F2F2"/>
          </w:tcPr>
          <w:p>
            <w:pPr>
              <w:spacing w:after="0"/>
              <w:rPr>
                <w:sz w:val="6"/>
                <w:szCs w:val="6"/>
                <w:color w:val="auto"/>
              </w:rPr>
            </w:pPr>
          </w:p>
        </w:tc>
        <w:tc>
          <w:tcPr>
            <w:tcW w:w="1720" w:type="dxa"/>
            <w:vAlign w:val="bottom"/>
            <w:shd w:val="clear" w:color="auto" w:fill="F2F2F2"/>
          </w:tcPr>
          <w:p>
            <w:pPr>
              <w:spacing w:after="0"/>
              <w:rPr>
                <w:sz w:val="6"/>
                <w:szCs w:val="6"/>
                <w:color w:val="auto"/>
              </w:rPr>
            </w:pPr>
          </w:p>
        </w:tc>
        <w:tc>
          <w:tcPr>
            <w:tcW w:w="760" w:type="dxa"/>
            <w:vAlign w:val="bottom"/>
            <w:shd w:val="clear" w:color="auto" w:fill="F2F2F2"/>
          </w:tcPr>
          <w:p>
            <w:pPr>
              <w:spacing w:after="0"/>
              <w:rPr>
                <w:sz w:val="6"/>
                <w:szCs w:val="6"/>
                <w:color w:val="auto"/>
              </w:rPr>
            </w:pPr>
          </w:p>
        </w:tc>
        <w:tc>
          <w:tcPr>
            <w:tcW w:w="1080" w:type="dxa"/>
            <w:vAlign w:val="bottom"/>
            <w:shd w:val="clear" w:color="auto" w:fill="F2F2F2"/>
          </w:tcPr>
          <w:p>
            <w:pPr>
              <w:spacing w:after="0"/>
              <w:rPr>
                <w:sz w:val="6"/>
                <w:szCs w:val="6"/>
                <w:color w:val="auto"/>
              </w:rPr>
            </w:pPr>
          </w:p>
        </w:tc>
        <w:tc>
          <w:tcPr>
            <w:tcW w:w="220" w:type="dxa"/>
            <w:vAlign w:val="bottom"/>
            <w:shd w:val="clear" w:color="auto" w:fill="F2F2F2"/>
          </w:tcPr>
          <w:p>
            <w:pPr>
              <w:spacing w:after="0"/>
              <w:rPr>
                <w:sz w:val="6"/>
                <w:szCs w:val="6"/>
                <w:color w:val="auto"/>
              </w:rPr>
            </w:pPr>
          </w:p>
        </w:tc>
        <w:tc>
          <w:tcPr>
            <w:tcW w:w="740" w:type="dxa"/>
            <w:vAlign w:val="bottom"/>
          </w:tcPr>
          <w:p>
            <w:pPr>
              <w:spacing w:after="0"/>
              <w:rPr>
                <w:sz w:val="6"/>
                <w:szCs w:val="6"/>
                <w:color w:val="auto"/>
              </w:rPr>
            </w:pPr>
          </w:p>
        </w:tc>
      </w:tr>
      <w:tr>
        <w:trPr>
          <w:trHeight w:val="378"/>
        </w:trPr>
        <w:tc>
          <w:tcPr>
            <w:tcW w:w="720" w:type="dxa"/>
            <w:vAlign w:val="bottom"/>
          </w:tcPr>
          <w:p>
            <w:pPr>
              <w:spacing w:after="0"/>
              <w:rPr>
                <w:sz w:val="24"/>
                <w:szCs w:val="24"/>
                <w:color w:val="auto"/>
              </w:rPr>
            </w:pPr>
          </w:p>
        </w:tc>
        <w:tc>
          <w:tcPr>
            <w:tcW w:w="3400" w:type="dxa"/>
            <w:vAlign w:val="bottom"/>
          </w:tcPr>
          <w:p>
            <w:pPr>
              <w:ind w:left="60"/>
              <w:spacing w:after="0"/>
              <w:rPr>
                <w:sz w:val="20"/>
                <w:szCs w:val="20"/>
                <w:color w:val="auto"/>
              </w:rPr>
            </w:pPr>
            <w:r>
              <w:rPr>
                <w:rFonts w:ascii="Arial" w:cs="Arial" w:eastAsia="Arial" w:hAnsi="Arial"/>
                <w:sz w:val="16"/>
                <w:szCs w:val="16"/>
                <w:color w:val="auto"/>
              </w:rPr>
              <w:t>Andrew W. Houston</w:t>
            </w:r>
            <w:r>
              <w:rPr>
                <w:rFonts w:ascii="Arial" w:cs="Arial" w:eastAsia="Arial" w:hAnsi="Arial"/>
                <w:sz w:val="26"/>
                <w:szCs w:val="26"/>
                <w:color w:val="auto"/>
                <w:vertAlign w:val="superscript"/>
              </w:rPr>
              <w:t>(1)</w:t>
            </w:r>
          </w:p>
        </w:tc>
        <w:tc>
          <w:tcPr>
            <w:tcW w:w="1620" w:type="dxa"/>
            <w:vAlign w:val="bottom"/>
          </w:tcPr>
          <w:p>
            <w:pPr>
              <w:jc w:val="right"/>
              <w:ind w:right="301"/>
              <w:spacing w:after="0"/>
              <w:rPr>
                <w:sz w:val="20"/>
                <w:szCs w:val="20"/>
                <w:color w:val="auto"/>
              </w:rPr>
            </w:pPr>
            <w:r>
              <w:rPr>
                <w:rFonts w:ascii="Arial" w:cs="Arial" w:eastAsia="Arial" w:hAnsi="Arial"/>
                <w:sz w:val="16"/>
                <w:szCs w:val="16"/>
                <w:color w:val="auto"/>
              </w:rPr>
              <w:t>10,560,245</w:t>
            </w:r>
          </w:p>
        </w:tc>
        <w:tc>
          <w:tcPr>
            <w:tcW w:w="760" w:type="dxa"/>
            <w:vAlign w:val="bottom"/>
          </w:tcPr>
          <w:p>
            <w:pPr>
              <w:jc w:val="center"/>
              <w:spacing w:after="0"/>
              <w:rPr>
                <w:sz w:val="20"/>
                <w:szCs w:val="20"/>
                <w:color w:val="auto"/>
              </w:rPr>
            </w:pPr>
            <w:r>
              <w:rPr>
                <w:rFonts w:ascii="Arial" w:cs="Arial" w:eastAsia="Arial" w:hAnsi="Arial"/>
                <w:sz w:val="16"/>
                <w:szCs w:val="16"/>
                <w:color w:val="auto"/>
              </w:rPr>
              <w:t>3.58</w:t>
            </w:r>
          </w:p>
        </w:tc>
        <w:tc>
          <w:tcPr>
            <w:tcW w:w="1720" w:type="dxa"/>
            <w:vAlign w:val="bottom"/>
          </w:tcPr>
          <w:p>
            <w:pPr>
              <w:jc w:val="center"/>
              <w:spacing w:after="0"/>
              <w:rPr>
                <w:sz w:val="20"/>
                <w:szCs w:val="20"/>
                <w:color w:val="auto"/>
              </w:rPr>
            </w:pPr>
            <w:r>
              <w:rPr>
                <w:rFonts w:ascii="Arial" w:cs="Arial" w:eastAsia="Arial" w:hAnsi="Arial"/>
                <w:sz w:val="16"/>
                <w:szCs w:val="16"/>
                <w:color w:val="auto"/>
                <w:w w:val="99"/>
              </w:rPr>
              <w:t>81,132,337</w:t>
            </w:r>
          </w:p>
        </w:tc>
        <w:tc>
          <w:tcPr>
            <w:tcW w:w="760" w:type="dxa"/>
            <w:vAlign w:val="bottom"/>
          </w:tcPr>
          <w:p>
            <w:pPr>
              <w:jc w:val="center"/>
              <w:spacing w:after="0"/>
              <w:rPr>
                <w:sz w:val="20"/>
                <w:szCs w:val="20"/>
                <w:color w:val="auto"/>
              </w:rPr>
            </w:pPr>
            <w:r>
              <w:rPr>
                <w:rFonts w:ascii="Arial" w:cs="Arial" w:eastAsia="Arial" w:hAnsi="Arial"/>
                <w:sz w:val="16"/>
                <w:szCs w:val="16"/>
                <w:color w:val="auto"/>
              </w:rPr>
              <w:t>98.21</w:t>
            </w:r>
          </w:p>
        </w:tc>
        <w:tc>
          <w:tcPr>
            <w:tcW w:w="1080" w:type="dxa"/>
            <w:vAlign w:val="bottom"/>
          </w:tcPr>
          <w:p>
            <w:pPr>
              <w:jc w:val="center"/>
              <w:ind w:left="280"/>
              <w:spacing w:after="0"/>
              <w:rPr>
                <w:sz w:val="20"/>
                <w:szCs w:val="20"/>
                <w:color w:val="auto"/>
              </w:rPr>
            </w:pPr>
            <w:r>
              <w:rPr>
                <w:rFonts w:ascii="Arial" w:cs="Arial" w:eastAsia="Arial" w:hAnsi="Arial"/>
                <w:sz w:val="16"/>
                <w:szCs w:val="16"/>
                <w:color w:val="auto"/>
                <w:w w:val="99"/>
              </w:rPr>
              <w:t>73.29</w:t>
            </w:r>
          </w:p>
        </w:tc>
        <w:tc>
          <w:tcPr>
            <w:tcW w:w="220" w:type="dxa"/>
            <w:vAlign w:val="bottom"/>
          </w:tcPr>
          <w:p>
            <w:pPr>
              <w:spacing w:after="0"/>
              <w:rPr>
                <w:sz w:val="24"/>
                <w:szCs w:val="24"/>
                <w:color w:val="auto"/>
              </w:rPr>
            </w:pPr>
          </w:p>
        </w:tc>
        <w:tc>
          <w:tcPr>
            <w:tcW w:w="740" w:type="dxa"/>
            <w:vAlign w:val="bottom"/>
          </w:tcPr>
          <w:p>
            <w:pPr>
              <w:spacing w:after="0"/>
              <w:rPr>
                <w:sz w:val="24"/>
                <w:szCs w:val="24"/>
                <w:color w:val="auto"/>
              </w:rPr>
            </w:pPr>
          </w:p>
        </w:tc>
      </w:tr>
      <w:tr>
        <w:trPr>
          <w:trHeight w:val="295"/>
        </w:trPr>
        <w:tc>
          <w:tcPr>
            <w:tcW w:w="720" w:type="dxa"/>
            <w:vAlign w:val="bottom"/>
          </w:tcPr>
          <w:p>
            <w:pPr>
              <w:spacing w:after="0"/>
              <w:rPr>
                <w:sz w:val="24"/>
                <w:szCs w:val="24"/>
                <w:color w:val="auto"/>
              </w:rPr>
            </w:pPr>
          </w:p>
        </w:tc>
        <w:tc>
          <w:tcPr>
            <w:tcW w:w="3400" w:type="dxa"/>
            <w:vAlign w:val="bottom"/>
            <w:shd w:val="clear" w:color="auto" w:fill="F2F2F2"/>
          </w:tcPr>
          <w:p>
            <w:pPr>
              <w:ind w:left="60"/>
              <w:spacing w:after="0"/>
              <w:rPr>
                <w:sz w:val="20"/>
                <w:szCs w:val="20"/>
                <w:color w:val="auto"/>
              </w:rPr>
            </w:pPr>
            <w:r>
              <w:rPr>
                <w:rFonts w:ascii="Arial" w:cs="Arial" w:eastAsia="Arial" w:hAnsi="Arial"/>
                <w:sz w:val="16"/>
                <w:szCs w:val="16"/>
                <w:color w:val="auto"/>
              </w:rPr>
              <w:t>Timothy Regan</w:t>
            </w:r>
          </w:p>
        </w:tc>
        <w:tc>
          <w:tcPr>
            <w:tcW w:w="1620" w:type="dxa"/>
            <w:vAlign w:val="bottom"/>
            <w:shd w:val="clear" w:color="auto" w:fill="F2F2F2"/>
          </w:tcPr>
          <w:p>
            <w:pPr>
              <w:jc w:val="right"/>
              <w:ind w:right="301"/>
              <w:spacing w:after="0"/>
              <w:rPr>
                <w:sz w:val="20"/>
                <w:szCs w:val="20"/>
                <w:color w:val="auto"/>
              </w:rPr>
            </w:pPr>
            <w:r>
              <w:rPr>
                <w:rFonts w:ascii="Arial" w:cs="Arial" w:eastAsia="Arial" w:hAnsi="Arial"/>
                <w:sz w:val="16"/>
                <w:szCs w:val="16"/>
                <w:color w:val="auto"/>
              </w:rPr>
              <w:t>322,676</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5"/>
              </w:rPr>
              <w:t>*</w:t>
            </w:r>
          </w:p>
        </w:tc>
        <w:tc>
          <w:tcPr>
            <w:tcW w:w="17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shd w:val="clear" w:color="auto" w:fill="F2F2F2"/>
          </w:tcPr>
          <w:p>
            <w:pPr>
              <w:jc w:val="center"/>
              <w:ind w:left="260"/>
              <w:spacing w:after="0"/>
              <w:rPr>
                <w:sz w:val="20"/>
                <w:szCs w:val="20"/>
                <w:color w:val="auto"/>
              </w:rPr>
            </w:pPr>
            <w:r>
              <w:rPr>
                <w:rFonts w:ascii="Arial" w:cs="Arial" w:eastAsia="Arial" w:hAnsi="Arial"/>
                <w:sz w:val="16"/>
                <w:szCs w:val="16"/>
                <w:color w:val="auto"/>
                <w:w w:val="95"/>
              </w:rPr>
              <w:t>*</w:t>
            </w:r>
          </w:p>
        </w:tc>
        <w:tc>
          <w:tcPr>
            <w:tcW w:w="220" w:type="dxa"/>
            <w:vAlign w:val="bottom"/>
            <w:shd w:val="clear" w:color="auto" w:fill="F2F2F2"/>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shd w:val="clear" w:color="auto" w:fill="F2F2F2"/>
          </w:tcPr>
          <w:p>
            <w:pPr>
              <w:spacing w:after="0"/>
              <w:rPr>
                <w:sz w:val="7"/>
                <w:szCs w:val="7"/>
                <w:color w:val="auto"/>
              </w:rPr>
            </w:pPr>
          </w:p>
        </w:tc>
        <w:tc>
          <w:tcPr>
            <w:tcW w:w="16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7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080" w:type="dxa"/>
            <w:vAlign w:val="bottom"/>
            <w:shd w:val="clear" w:color="auto" w:fill="F2F2F2"/>
          </w:tcPr>
          <w:p>
            <w:pPr>
              <w:spacing w:after="0"/>
              <w:rPr>
                <w:sz w:val="7"/>
                <w:szCs w:val="7"/>
                <w:color w:val="auto"/>
              </w:rPr>
            </w:pPr>
          </w:p>
        </w:tc>
        <w:tc>
          <w:tcPr>
            <w:tcW w:w="220" w:type="dxa"/>
            <w:vAlign w:val="bottom"/>
            <w:shd w:val="clear" w:color="auto" w:fill="F2F2F2"/>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3400" w:type="dxa"/>
            <w:vAlign w:val="bottom"/>
          </w:tcPr>
          <w:p>
            <w:pPr>
              <w:ind w:left="60"/>
              <w:spacing w:after="0"/>
              <w:rPr>
                <w:sz w:val="20"/>
                <w:szCs w:val="20"/>
                <w:color w:val="auto"/>
              </w:rPr>
            </w:pPr>
            <w:r>
              <w:rPr>
                <w:rFonts w:ascii="Arial" w:cs="Arial" w:eastAsia="Arial" w:hAnsi="Arial"/>
                <w:sz w:val="16"/>
                <w:szCs w:val="16"/>
                <w:color w:val="auto"/>
              </w:rPr>
              <w:t>Timothy Young</w:t>
            </w:r>
          </w:p>
        </w:tc>
        <w:tc>
          <w:tcPr>
            <w:tcW w:w="1620" w:type="dxa"/>
            <w:vAlign w:val="bottom"/>
          </w:tcPr>
          <w:p>
            <w:pPr>
              <w:jc w:val="right"/>
              <w:ind w:right="301"/>
              <w:spacing w:after="0"/>
              <w:rPr>
                <w:sz w:val="20"/>
                <w:szCs w:val="20"/>
                <w:color w:val="auto"/>
              </w:rPr>
            </w:pPr>
            <w:r>
              <w:rPr>
                <w:rFonts w:ascii="Arial" w:cs="Arial" w:eastAsia="Arial" w:hAnsi="Arial"/>
                <w:sz w:val="16"/>
                <w:szCs w:val="16"/>
                <w:color w:val="auto"/>
              </w:rPr>
              <w:t>1,904,377</w:t>
            </w:r>
          </w:p>
        </w:tc>
        <w:tc>
          <w:tcPr>
            <w:tcW w:w="760" w:type="dxa"/>
            <w:vAlign w:val="bottom"/>
          </w:tcPr>
          <w:p>
            <w:pPr>
              <w:jc w:val="center"/>
              <w:spacing w:after="0"/>
              <w:rPr>
                <w:sz w:val="20"/>
                <w:szCs w:val="20"/>
                <w:color w:val="auto"/>
              </w:rPr>
            </w:pPr>
            <w:r>
              <w:rPr>
                <w:rFonts w:ascii="Arial" w:cs="Arial" w:eastAsia="Arial" w:hAnsi="Arial"/>
                <w:sz w:val="16"/>
                <w:szCs w:val="16"/>
                <w:color w:val="auto"/>
                <w:w w:val="95"/>
              </w:rPr>
              <w:t>*</w:t>
            </w:r>
          </w:p>
        </w:tc>
        <w:tc>
          <w:tcPr>
            <w:tcW w:w="172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tcPr>
          <w:p>
            <w:pPr>
              <w:jc w:val="center"/>
              <w:ind w:left="260"/>
              <w:spacing w:after="0"/>
              <w:rPr>
                <w:sz w:val="20"/>
                <w:szCs w:val="20"/>
                <w:color w:val="auto"/>
              </w:rPr>
            </w:pPr>
            <w:r>
              <w:rPr>
                <w:rFonts w:ascii="Arial" w:cs="Arial" w:eastAsia="Arial" w:hAnsi="Arial"/>
                <w:sz w:val="16"/>
                <w:szCs w:val="16"/>
                <w:color w:val="auto"/>
                <w:w w:val="95"/>
              </w:rPr>
              <w:t>*</w:t>
            </w:r>
          </w:p>
        </w:tc>
        <w:tc>
          <w:tcPr>
            <w:tcW w:w="220" w:type="dxa"/>
            <w:vAlign w:val="bottom"/>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tcPr>
          <w:p>
            <w:pPr>
              <w:spacing w:after="0"/>
              <w:rPr>
                <w:sz w:val="7"/>
                <w:szCs w:val="7"/>
                <w:color w:val="auto"/>
              </w:rPr>
            </w:pPr>
          </w:p>
        </w:tc>
        <w:tc>
          <w:tcPr>
            <w:tcW w:w="1620" w:type="dxa"/>
            <w:vAlign w:val="bottom"/>
          </w:tcPr>
          <w:p>
            <w:pPr>
              <w:spacing w:after="0"/>
              <w:rPr>
                <w:sz w:val="7"/>
                <w:szCs w:val="7"/>
                <w:color w:val="auto"/>
              </w:rPr>
            </w:pPr>
          </w:p>
        </w:tc>
        <w:tc>
          <w:tcPr>
            <w:tcW w:w="760" w:type="dxa"/>
            <w:vAlign w:val="bottom"/>
          </w:tcPr>
          <w:p>
            <w:pPr>
              <w:spacing w:after="0"/>
              <w:rPr>
                <w:sz w:val="7"/>
                <w:szCs w:val="7"/>
                <w:color w:val="auto"/>
              </w:rPr>
            </w:pPr>
          </w:p>
        </w:tc>
        <w:tc>
          <w:tcPr>
            <w:tcW w:w="1720" w:type="dxa"/>
            <w:vAlign w:val="bottom"/>
          </w:tcPr>
          <w:p>
            <w:pPr>
              <w:spacing w:after="0"/>
              <w:rPr>
                <w:sz w:val="7"/>
                <w:szCs w:val="7"/>
                <w:color w:val="auto"/>
              </w:rPr>
            </w:pPr>
          </w:p>
        </w:tc>
        <w:tc>
          <w:tcPr>
            <w:tcW w:w="76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20" w:type="dxa"/>
            <w:vAlign w:val="bottom"/>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3400" w:type="dxa"/>
            <w:vAlign w:val="bottom"/>
            <w:shd w:val="clear" w:color="auto" w:fill="F2F2F2"/>
          </w:tcPr>
          <w:p>
            <w:pPr>
              <w:ind w:left="60"/>
              <w:spacing w:after="0"/>
              <w:rPr>
                <w:sz w:val="20"/>
                <w:szCs w:val="20"/>
                <w:color w:val="auto"/>
              </w:rPr>
            </w:pPr>
            <w:r>
              <w:rPr>
                <w:rFonts w:ascii="Arial" w:cs="Arial" w:eastAsia="Arial" w:hAnsi="Arial"/>
                <w:sz w:val="16"/>
                <w:szCs w:val="16"/>
                <w:color w:val="auto"/>
              </w:rPr>
              <w:t>Bart E. Volkmer</w:t>
            </w:r>
          </w:p>
        </w:tc>
        <w:tc>
          <w:tcPr>
            <w:tcW w:w="1620" w:type="dxa"/>
            <w:vAlign w:val="bottom"/>
            <w:shd w:val="clear" w:color="auto" w:fill="F2F2F2"/>
          </w:tcPr>
          <w:p>
            <w:pPr>
              <w:jc w:val="right"/>
              <w:ind w:right="301"/>
              <w:spacing w:after="0"/>
              <w:rPr>
                <w:sz w:val="20"/>
                <w:szCs w:val="20"/>
                <w:color w:val="auto"/>
              </w:rPr>
            </w:pPr>
            <w:r>
              <w:rPr>
                <w:rFonts w:ascii="Arial" w:cs="Arial" w:eastAsia="Arial" w:hAnsi="Arial"/>
                <w:sz w:val="16"/>
                <w:szCs w:val="16"/>
                <w:color w:val="auto"/>
              </w:rPr>
              <w:t>229,360</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5"/>
              </w:rPr>
              <w:t>*</w:t>
            </w:r>
          </w:p>
        </w:tc>
        <w:tc>
          <w:tcPr>
            <w:tcW w:w="1720" w:type="dxa"/>
            <w:vAlign w:val="bottom"/>
            <w:shd w:val="clear" w:color="auto" w:fill="F2F2F2"/>
          </w:tcPr>
          <w:p>
            <w:pPr>
              <w:jc w:val="right"/>
              <w:ind w:right="420"/>
              <w:spacing w:after="0"/>
              <w:rPr>
                <w:sz w:val="20"/>
                <w:szCs w:val="20"/>
                <w:color w:val="auto"/>
              </w:rPr>
            </w:pPr>
            <w:r>
              <w:rPr>
                <w:rFonts w:ascii="Arial" w:cs="Arial" w:eastAsia="Arial" w:hAnsi="Arial"/>
                <w:sz w:val="16"/>
                <w:szCs w:val="16"/>
                <w:color w:val="auto"/>
              </w:rPr>
              <w:t>97,717</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5"/>
              </w:rPr>
              <w:t>*</w:t>
            </w:r>
          </w:p>
        </w:tc>
        <w:tc>
          <w:tcPr>
            <w:tcW w:w="1080" w:type="dxa"/>
            <w:vAlign w:val="bottom"/>
            <w:shd w:val="clear" w:color="auto" w:fill="F2F2F2"/>
          </w:tcPr>
          <w:p>
            <w:pPr>
              <w:jc w:val="center"/>
              <w:ind w:left="260"/>
              <w:spacing w:after="0"/>
              <w:rPr>
                <w:sz w:val="20"/>
                <w:szCs w:val="20"/>
                <w:color w:val="auto"/>
              </w:rPr>
            </w:pPr>
            <w:r>
              <w:rPr>
                <w:rFonts w:ascii="Arial" w:cs="Arial" w:eastAsia="Arial" w:hAnsi="Arial"/>
                <w:sz w:val="16"/>
                <w:szCs w:val="16"/>
                <w:color w:val="auto"/>
                <w:w w:val="95"/>
              </w:rPr>
              <w:t>*</w:t>
            </w:r>
          </w:p>
        </w:tc>
        <w:tc>
          <w:tcPr>
            <w:tcW w:w="220" w:type="dxa"/>
            <w:vAlign w:val="bottom"/>
            <w:shd w:val="clear" w:color="auto" w:fill="F2F2F2"/>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shd w:val="clear" w:color="auto" w:fill="F2F2F2"/>
          </w:tcPr>
          <w:p>
            <w:pPr>
              <w:spacing w:after="0"/>
              <w:rPr>
                <w:sz w:val="7"/>
                <w:szCs w:val="7"/>
                <w:color w:val="auto"/>
              </w:rPr>
            </w:pPr>
          </w:p>
        </w:tc>
        <w:tc>
          <w:tcPr>
            <w:tcW w:w="16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7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080" w:type="dxa"/>
            <w:vAlign w:val="bottom"/>
            <w:shd w:val="clear" w:color="auto" w:fill="F2F2F2"/>
          </w:tcPr>
          <w:p>
            <w:pPr>
              <w:spacing w:after="0"/>
              <w:rPr>
                <w:sz w:val="7"/>
                <w:szCs w:val="7"/>
                <w:color w:val="auto"/>
              </w:rPr>
            </w:pPr>
          </w:p>
        </w:tc>
        <w:tc>
          <w:tcPr>
            <w:tcW w:w="220" w:type="dxa"/>
            <w:vAlign w:val="bottom"/>
            <w:shd w:val="clear" w:color="auto" w:fill="F2F2F2"/>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3400" w:type="dxa"/>
            <w:vAlign w:val="bottom"/>
          </w:tcPr>
          <w:p>
            <w:pPr>
              <w:ind w:left="60"/>
              <w:spacing w:after="0"/>
              <w:rPr>
                <w:sz w:val="20"/>
                <w:szCs w:val="20"/>
                <w:color w:val="auto"/>
              </w:rPr>
            </w:pPr>
            <w:r>
              <w:rPr>
                <w:rFonts w:ascii="Arial" w:cs="Arial" w:eastAsia="Arial" w:hAnsi="Arial"/>
                <w:sz w:val="16"/>
                <w:szCs w:val="16"/>
                <w:color w:val="auto"/>
              </w:rPr>
              <w:t>Donald W. Blair</w:t>
            </w:r>
          </w:p>
        </w:tc>
        <w:tc>
          <w:tcPr>
            <w:tcW w:w="1620" w:type="dxa"/>
            <w:vAlign w:val="bottom"/>
          </w:tcPr>
          <w:p>
            <w:pPr>
              <w:jc w:val="right"/>
              <w:ind w:right="301"/>
              <w:spacing w:after="0"/>
              <w:rPr>
                <w:sz w:val="20"/>
                <w:szCs w:val="20"/>
                <w:color w:val="auto"/>
              </w:rPr>
            </w:pPr>
            <w:r>
              <w:rPr>
                <w:rFonts w:ascii="Arial" w:cs="Arial" w:eastAsia="Arial" w:hAnsi="Arial"/>
                <w:sz w:val="16"/>
                <w:szCs w:val="16"/>
                <w:color w:val="auto"/>
              </w:rPr>
              <w:t>67,928</w:t>
            </w:r>
          </w:p>
        </w:tc>
        <w:tc>
          <w:tcPr>
            <w:tcW w:w="760" w:type="dxa"/>
            <w:vAlign w:val="bottom"/>
          </w:tcPr>
          <w:p>
            <w:pPr>
              <w:jc w:val="center"/>
              <w:spacing w:after="0"/>
              <w:rPr>
                <w:sz w:val="20"/>
                <w:szCs w:val="20"/>
                <w:color w:val="auto"/>
              </w:rPr>
            </w:pPr>
            <w:r>
              <w:rPr>
                <w:rFonts w:ascii="Arial" w:cs="Arial" w:eastAsia="Arial" w:hAnsi="Arial"/>
                <w:sz w:val="16"/>
                <w:szCs w:val="16"/>
                <w:color w:val="auto"/>
                <w:w w:val="95"/>
              </w:rPr>
              <w:t>*</w:t>
            </w:r>
          </w:p>
        </w:tc>
        <w:tc>
          <w:tcPr>
            <w:tcW w:w="172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tcPr>
          <w:p>
            <w:pPr>
              <w:jc w:val="center"/>
              <w:ind w:left="260"/>
              <w:spacing w:after="0"/>
              <w:rPr>
                <w:sz w:val="20"/>
                <w:szCs w:val="20"/>
                <w:color w:val="auto"/>
              </w:rPr>
            </w:pPr>
            <w:r>
              <w:rPr>
                <w:rFonts w:ascii="Arial" w:cs="Arial" w:eastAsia="Arial" w:hAnsi="Arial"/>
                <w:sz w:val="16"/>
                <w:szCs w:val="16"/>
                <w:color w:val="auto"/>
                <w:w w:val="95"/>
              </w:rPr>
              <w:t>*</w:t>
            </w:r>
          </w:p>
        </w:tc>
        <w:tc>
          <w:tcPr>
            <w:tcW w:w="220" w:type="dxa"/>
            <w:vAlign w:val="bottom"/>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tcPr>
          <w:p>
            <w:pPr>
              <w:spacing w:after="0"/>
              <w:rPr>
                <w:sz w:val="7"/>
                <w:szCs w:val="7"/>
                <w:color w:val="auto"/>
              </w:rPr>
            </w:pPr>
          </w:p>
        </w:tc>
        <w:tc>
          <w:tcPr>
            <w:tcW w:w="1620" w:type="dxa"/>
            <w:vAlign w:val="bottom"/>
          </w:tcPr>
          <w:p>
            <w:pPr>
              <w:spacing w:after="0"/>
              <w:rPr>
                <w:sz w:val="7"/>
                <w:szCs w:val="7"/>
                <w:color w:val="auto"/>
              </w:rPr>
            </w:pPr>
          </w:p>
        </w:tc>
        <w:tc>
          <w:tcPr>
            <w:tcW w:w="760" w:type="dxa"/>
            <w:vAlign w:val="bottom"/>
          </w:tcPr>
          <w:p>
            <w:pPr>
              <w:spacing w:after="0"/>
              <w:rPr>
                <w:sz w:val="7"/>
                <w:szCs w:val="7"/>
                <w:color w:val="auto"/>
              </w:rPr>
            </w:pPr>
          </w:p>
        </w:tc>
        <w:tc>
          <w:tcPr>
            <w:tcW w:w="1720" w:type="dxa"/>
            <w:vAlign w:val="bottom"/>
          </w:tcPr>
          <w:p>
            <w:pPr>
              <w:spacing w:after="0"/>
              <w:rPr>
                <w:sz w:val="7"/>
                <w:szCs w:val="7"/>
                <w:color w:val="auto"/>
              </w:rPr>
            </w:pPr>
          </w:p>
        </w:tc>
        <w:tc>
          <w:tcPr>
            <w:tcW w:w="76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20" w:type="dxa"/>
            <w:vAlign w:val="bottom"/>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3400" w:type="dxa"/>
            <w:vAlign w:val="bottom"/>
            <w:shd w:val="clear" w:color="auto" w:fill="F2F2F2"/>
          </w:tcPr>
          <w:p>
            <w:pPr>
              <w:ind w:left="60"/>
              <w:spacing w:after="0"/>
              <w:rPr>
                <w:sz w:val="20"/>
                <w:szCs w:val="20"/>
                <w:color w:val="auto"/>
              </w:rPr>
            </w:pPr>
            <w:r>
              <w:rPr>
                <w:rFonts w:ascii="Arial" w:cs="Arial" w:eastAsia="Arial" w:hAnsi="Arial"/>
                <w:sz w:val="16"/>
                <w:szCs w:val="16"/>
                <w:color w:val="auto"/>
              </w:rPr>
              <w:t>Lisa Campbell</w:t>
            </w:r>
          </w:p>
        </w:tc>
        <w:tc>
          <w:tcPr>
            <w:tcW w:w="1620" w:type="dxa"/>
            <w:vAlign w:val="bottom"/>
            <w:shd w:val="clear" w:color="auto" w:fill="F2F2F2"/>
          </w:tcPr>
          <w:p>
            <w:pPr>
              <w:jc w:val="right"/>
              <w:ind w:right="301"/>
              <w:spacing w:after="0"/>
              <w:rPr>
                <w:sz w:val="20"/>
                <w:szCs w:val="20"/>
                <w:color w:val="auto"/>
              </w:rPr>
            </w:pPr>
            <w:r>
              <w:rPr>
                <w:rFonts w:ascii="Arial" w:cs="Arial" w:eastAsia="Arial" w:hAnsi="Arial"/>
                <w:sz w:val="16"/>
                <w:szCs w:val="16"/>
                <w:color w:val="auto"/>
              </w:rPr>
              <w:t>5,648</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5"/>
              </w:rPr>
              <w:t>*</w:t>
            </w:r>
          </w:p>
        </w:tc>
        <w:tc>
          <w:tcPr>
            <w:tcW w:w="17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shd w:val="clear" w:color="auto" w:fill="F2F2F2"/>
          </w:tcPr>
          <w:p>
            <w:pPr>
              <w:jc w:val="center"/>
              <w:ind w:left="260"/>
              <w:spacing w:after="0"/>
              <w:rPr>
                <w:sz w:val="20"/>
                <w:szCs w:val="20"/>
                <w:color w:val="auto"/>
              </w:rPr>
            </w:pPr>
            <w:r>
              <w:rPr>
                <w:rFonts w:ascii="Arial" w:cs="Arial" w:eastAsia="Arial" w:hAnsi="Arial"/>
                <w:sz w:val="16"/>
                <w:szCs w:val="16"/>
                <w:color w:val="auto"/>
                <w:w w:val="95"/>
              </w:rPr>
              <w:t>*</w:t>
            </w:r>
          </w:p>
        </w:tc>
        <w:tc>
          <w:tcPr>
            <w:tcW w:w="220" w:type="dxa"/>
            <w:vAlign w:val="bottom"/>
            <w:shd w:val="clear" w:color="auto" w:fill="F2F2F2"/>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shd w:val="clear" w:color="auto" w:fill="F2F2F2"/>
          </w:tcPr>
          <w:p>
            <w:pPr>
              <w:spacing w:after="0"/>
              <w:rPr>
                <w:sz w:val="7"/>
                <w:szCs w:val="7"/>
                <w:color w:val="auto"/>
              </w:rPr>
            </w:pPr>
          </w:p>
        </w:tc>
        <w:tc>
          <w:tcPr>
            <w:tcW w:w="16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7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080" w:type="dxa"/>
            <w:vAlign w:val="bottom"/>
            <w:shd w:val="clear" w:color="auto" w:fill="F2F2F2"/>
          </w:tcPr>
          <w:p>
            <w:pPr>
              <w:spacing w:after="0"/>
              <w:rPr>
                <w:sz w:val="7"/>
                <w:szCs w:val="7"/>
                <w:color w:val="auto"/>
              </w:rPr>
            </w:pPr>
          </w:p>
        </w:tc>
        <w:tc>
          <w:tcPr>
            <w:tcW w:w="220" w:type="dxa"/>
            <w:vAlign w:val="bottom"/>
            <w:shd w:val="clear" w:color="auto" w:fill="F2F2F2"/>
          </w:tcPr>
          <w:p>
            <w:pPr>
              <w:spacing w:after="0"/>
              <w:rPr>
                <w:sz w:val="7"/>
                <w:szCs w:val="7"/>
                <w:color w:val="auto"/>
              </w:rPr>
            </w:pPr>
          </w:p>
        </w:tc>
        <w:tc>
          <w:tcPr>
            <w:tcW w:w="740" w:type="dxa"/>
            <w:vAlign w:val="bottom"/>
          </w:tcPr>
          <w:p>
            <w:pPr>
              <w:spacing w:after="0"/>
              <w:rPr>
                <w:sz w:val="7"/>
                <w:szCs w:val="7"/>
                <w:color w:val="auto"/>
              </w:rPr>
            </w:pPr>
          </w:p>
        </w:tc>
      </w:tr>
      <w:tr>
        <w:trPr>
          <w:trHeight w:val="378"/>
        </w:trPr>
        <w:tc>
          <w:tcPr>
            <w:tcW w:w="720" w:type="dxa"/>
            <w:vAlign w:val="bottom"/>
          </w:tcPr>
          <w:p>
            <w:pPr>
              <w:spacing w:after="0"/>
              <w:rPr>
                <w:sz w:val="24"/>
                <w:szCs w:val="24"/>
                <w:color w:val="auto"/>
              </w:rPr>
            </w:pPr>
          </w:p>
        </w:tc>
        <w:tc>
          <w:tcPr>
            <w:tcW w:w="3400" w:type="dxa"/>
            <w:vAlign w:val="bottom"/>
          </w:tcPr>
          <w:p>
            <w:pPr>
              <w:ind w:left="60"/>
              <w:spacing w:after="0"/>
              <w:rPr>
                <w:sz w:val="20"/>
                <w:szCs w:val="20"/>
                <w:color w:val="auto"/>
              </w:rPr>
            </w:pPr>
            <w:r>
              <w:rPr>
                <w:rFonts w:ascii="Arial" w:cs="Arial" w:eastAsia="Arial" w:hAnsi="Arial"/>
                <w:sz w:val="16"/>
                <w:szCs w:val="16"/>
                <w:color w:val="auto"/>
              </w:rPr>
              <w:t>Paul E. Jacobs</w:t>
            </w:r>
            <w:r>
              <w:rPr>
                <w:rFonts w:ascii="Arial" w:cs="Arial" w:eastAsia="Arial" w:hAnsi="Arial"/>
                <w:sz w:val="26"/>
                <w:szCs w:val="26"/>
                <w:color w:val="auto"/>
                <w:vertAlign w:val="superscript"/>
              </w:rPr>
              <w:t>(2)</w:t>
            </w:r>
          </w:p>
        </w:tc>
        <w:tc>
          <w:tcPr>
            <w:tcW w:w="1620" w:type="dxa"/>
            <w:vAlign w:val="bottom"/>
          </w:tcPr>
          <w:p>
            <w:pPr>
              <w:jc w:val="right"/>
              <w:ind w:right="301"/>
              <w:spacing w:after="0"/>
              <w:rPr>
                <w:sz w:val="20"/>
                <w:szCs w:val="20"/>
                <w:color w:val="auto"/>
              </w:rPr>
            </w:pPr>
            <w:r>
              <w:rPr>
                <w:rFonts w:ascii="Arial" w:cs="Arial" w:eastAsia="Arial" w:hAnsi="Arial"/>
                <w:sz w:val="16"/>
                <w:szCs w:val="16"/>
                <w:color w:val="auto"/>
              </w:rPr>
              <w:t>270,272</w:t>
            </w:r>
          </w:p>
        </w:tc>
        <w:tc>
          <w:tcPr>
            <w:tcW w:w="760" w:type="dxa"/>
            <w:vAlign w:val="bottom"/>
          </w:tcPr>
          <w:p>
            <w:pPr>
              <w:jc w:val="center"/>
              <w:spacing w:after="0"/>
              <w:rPr>
                <w:sz w:val="20"/>
                <w:szCs w:val="20"/>
                <w:color w:val="auto"/>
              </w:rPr>
            </w:pPr>
            <w:r>
              <w:rPr>
                <w:rFonts w:ascii="Arial" w:cs="Arial" w:eastAsia="Arial" w:hAnsi="Arial"/>
                <w:sz w:val="16"/>
                <w:szCs w:val="16"/>
                <w:color w:val="auto"/>
                <w:w w:val="95"/>
              </w:rPr>
              <w:t>*</w:t>
            </w:r>
          </w:p>
        </w:tc>
        <w:tc>
          <w:tcPr>
            <w:tcW w:w="172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tcPr>
          <w:p>
            <w:pPr>
              <w:jc w:val="center"/>
              <w:ind w:left="260"/>
              <w:spacing w:after="0"/>
              <w:rPr>
                <w:sz w:val="20"/>
                <w:szCs w:val="20"/>
                <w:color w:val="auto"/>
              </w:rPr>
            </w:pPr>
            <w:r>
              <w:rPr>
                <w:rFonts w:ascii="Arial" w:cs="Arial" w:eastAsia="Arial" w:hAnsi="Arial"/>
                <w:sz w:val="16"/>
                <w:szCs w:val="16"/>
                <w:color w:val="auto"/>
                <w:w w:val="95"/>
              </w:rPr>
              <w:t>*</w:t>
            </w:r>
          </w:p>
        </w:tc>
        <w:tc>
          <w:tcPr>
            <w:tcW w:w="220" w:type="dxa"/>
            <w:vAlign w:val="bottom"/>
          </w:tcPr>
          <w:p>
            <w:pPr>
              <w:spacing w:after="0"/>
              <w:rPr>
                <w:sz w:val="24"/>
                <w:szCs w:val="24"/>
                <w:color w:val="auto"/>
              </w:rPr>
            </w:pPr>
          </w:p>
        </w:tc>
        <w:tc>
          <w:tcPr>
            <w:tcW w:w="740" w:type="dxa"/>
            <w:vAlign w:val="bottom"/>
          </w:tcPr>
          <w:p>
            <w:pPr>
              <w:spacing w:after="0"/>
              <w:rPr>
                <w:sz w:val="24"/>
                <w:szCs w:val="24"/>
                <w:color w:val="auto"/>
              </w:rPr>
            </w:pPr>
          </w:p>
        </w:tc>
      </w:tr>
      <w:tr>
        <w:trPr>
          <w:trHeight w:val="295"/>
        </w:trPr>
        <w:tc>
          <w:tcPr>
            <w:tcW w:w="720" w:type="dxa"/>
            <w:vAlign w:val="bottom"/>
          </w:tcPr>
          <w:p>
            <w:pPr>
              <w:spacing w:after="0"/>
              <w:rPr>
                <w:sz w:val="24"/>
                <w:szCs w:val="24"/>
                <w:color w:val="auto"/>
              </w:rPr>
            </w:pPr>
          </w:p>
        </w:tc>
        <w:tc>
          <w:tcPr>
            <w:tcW w:w="3400" w:type="dxa"/>
            <w:vAlign w:val="bottom"/>
            <w:shd w:val="clear" w:color="auto" w:fill="F2F2F2"/>
          </w:tcPr>
          <w:p>
            <w:pPr>
              <w:ind w:left="60"/>
              <w:spacing w:after="0"/>
              <w:rPr>
                <w:sz w:val="20"/>
                <w:szCs w:val="20"/>
                <w:color w:val="auto"/>
              </w:rPr>
            </w:pPr>
            <w:r>
              <w:rPr>
                <w:rFonts w:ascii="Arial" w:cs="Arial" w:eastAsia="Arial" w:hAnsi="Arial"/>
                <w:sz w:val="16"/>
                <w:szCs w:val="16"/>
                <w:color w:val="auto"/>
              </w:rPr>
              <w:t>Abhay Parasnis</w:t>
            </w:r>
          </w:p>
        </w:tc>
        <w:tc>
          <w:tcPr>
            <w:tcW w:w="16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7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shd w:val="clear" w:color="auto" w:fill="F2F2F2"/>
          </w:tcPr>
          <w:p>
            <w:pPr>
              <w:jc w:val="center"/>
              <w:ind w:left="28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F2F2F2"/>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shd w:val="clear" w:color="auto" w:fill="F2F2F2"/>
          </w:tcPr>
          <w:p>
            <w:pPr>
              <w:spacing w:after="0"/>
              <w:rPr>
                <w:sz w:val="7"/>
                <w:szCs w:val="7"/>
                <w:color w:val="auto"/>
              </w:rPr>
            </w:pPr>
          </w:p>
        </w:tc>
        <w:tc>
          <w:tcPr>
            <w:tcW w:w="16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7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080" w:type="dxa"/>
            <w:vAlign w:val="bottom"/>
            <w:shd w:val="clear" w:color="auto" w:fill="F2F2F2"/>
          </w:tcPr>
          <w:p>
            <w:pPr>
              <w:spacing w:after="0"/>
              <w:rPr>
                <w:sz w:val="7"/>
                <w:szCs w:val="7"/>
                <w:color w:val="auto"/>
              </w:rPr>
            </w:pPr>
          </w:p>
        </w:tc>
        <w:tc>
          <w:tcPr>
            <w:tcW w:w="220" w:type="dxa"/>
            <w:vAlign w:val="bottom"/>
            <w:shd w:val="clear" w:color="auto" w:fill="F2F2F2"/>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3400" w:type="dxa"/>
            <w:vAlign w:val="bottom"/>
          </w:tcPr>
          <w:p>
            <w:pPr>
              <w:ind w:left="60"/>
              <w:spacing w:after="0"/>
              <w:rPr>
                <w:sz w:val="20"/>
                <w:szCs w:val="20"/>
                <w:color w:val="auto"/>
              </w:rPr>
            </w:pPr>
            <w:r>
              <w:rPr>
                <w:rFonts w:ascii="Arial" w:cs="Arial" w:eastAsia="Arial" w:hAnsi="Arial"/>
                <w:sz w:val="16"/>
                <w:szCs w:val="16"/>
                <w:color w:val="auto"/>
              </w:rPr>
              <w:t>Karen Peacock</w:t>
            </w:r>
          </w:p>
        </w:tc>
        <w:tc>
          <w:tcPr>
            <w:tcW w:w="1620" w:type="dxa"/>
            <w:vAlign w:val="bottom"/>
          </w:tcPr>
          <w:p>
            <w:pPr>
              <w:jc w:val="right"/>
              <w:ind w:right="301"/>
              <w:spacing w:after="0"/>
              <w:rPr>
                <w:sz w:val="20"/>
                <w:szCs w:val="20"/>
                <w:color w:val="auto"/>
              </w:rPr>
            </w:pPr>
            <w:r>
              <w:rPr>
                <w:rFonts w:ascii="Arial" w:cs="Arial" w:eastAsia="Arial" w:hAnsi="Arial"/>
                <w:sz w:val="16"/>
                <w:szCs w:val="16"/>
                <w:color w:val="auto"/>
              </w:rPr>
              <w:t>5,648</w:t>
            </w:r>
          </w:p>
        </w:tc>
        <w:tc>
          <w:tcPr>
            <w:tcW w:w="760" w:type="dxa"/>
            <w:vAlign w:val="bottom"/>
          </w:tcPr>
          <w:p>
            <w:pPr>
              <w:jc w:val="center"/>
              <w:spacing w:after="0"/>
              <w:rPr>
                <w:sz w:val="20"/>
                <w:szCs w:val="20"/>
                <w:color w:val="auto"/>
              </w:rPr>
            </w:pPr>
            <w:r>
              <w:rPr>
                <w:rFonts w:ascii="Arial" w:cs="Arial" w:eastAsia="Arial" w:hAnsi="Arial"/>
                <w:sz w:val="16"/>
                <w:szCs w:val="16"/>
                <w:color w:val="auto"/>
                <w:w w:val="95"/>
              </w:rPr>
              <w:t>*</w:t>
            </w:r>
          </w:p>
        </w:tc>
        <w:tc>
          <w:tcPr>
            <w:tcW w:w="172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tcPr>
          <w:p>
            <w:pPr>
              <w:jc w:val="center"/>
              <w:ind w:left="260"/>
              <w:spacing w:after="0"/>
              <w:rPr>
                <w:sz w:val="20"/>
                <w:szCs w:val="20"/>
                <w:color w:val="auto"/>
              </w:rPr>
            </w:pPr>
            <w:r>
              <w:rPr>
                <w:rFonts w:ascii="Arial" w:cs="Arial" w:eastAsia="Arial" w:hAnsi="Arial"/>
                <w:sz w:val="16"/>
                <w:szCs w:val="16"/>
                <w:color w:val="auto"/>
                <w:w w:val="95"/>
              </w:rPr>
              <w:t>*</w:t>
            </w:r>
          </w:p>
        </w:tc>
        <w:tc>
          <w:tcPr>
            <w:tcW w:w="220" w:type="dxa"/>
            <w:vAlign w:val="bottom"/>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tcPr>
          <w:p>
            <w:pPr>
              <w:spacing w:after="0"/>
              <w:rPr>
                <w:sz w:val="7"/>
                <w:szCs w:val="7"/>
                <w:color w:val="auto"/>
              </w:rPr>
            </w:pPr>
          </w:p>
        </w:tc>
        <w:tc>
          <w:tcPr>
            <w:tcW w:w="1620" w:type="dxa"/>
            <w:vAlign w:val="bottom"/>
          </w:tcPr>
          <w:p>
            <w:pPr>
              <w:spacing w:after="0"/>
              <w:rPr>
                <w:sz w:val="7"/>
                <w:szCs w:val="7"/>
                <w:color w:val="auto"/>
              </w:rPr>
            </w:pPr>
          </w:p>
        </w:tc>
        <w:tc>
          <w:tcPr>
            <w:tcW w:w="760" w:type="dxa"/>
            <w:vAlign w:val="bottom"/>
          </w:tcPr>
          <w:p>
            <w:pPr>
              <w:spacing w:after="0"/>
              <w:rPr>
                <w:sz w:val="7"/>
                <w:szCs w:val="7"/>
                <w:color w:val="auto"/>
              </w:rPr>
            </w:pPr>
          </w:p>
        </w:tc>
        <w:tc>
          <w:tcPr>
            <w:tcW w:w="1720" w:type="dxa"/>
            <w:vAlign w:val="bottom"/>
          </w:tcPr>
          <w:p>
            <w:pPr>
              <w:spacing w:after="0"/>
              <w:rPr>
                <w:sz w:val="7"/>
                <w:szCs w:val="7"/>
                <w:color w:val="auto"/>
              </w:rPr>
            </w:pPr>
          </w:p>
        </w:tc>
        <w:tc>
          <w:tcPr>
            <w:tcW w:w="76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20" w:type="dxa"/>
            <w:vAlign w:val="bottom"/>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3400" w:type="dxa"/>
            <w:vAlign w:val="bottom"/>
            <w:shd w:val="clear" w:color="auto" w:fill="F2F2F2"/>
          </w:tcPr>
          <w:p>
            <w:pPr>
              <w:ind w:left="60"/>
              <w:spacing w:after="0"/>
              <w:rPr>
                <w:sz w:val="20"/>
                <w:szCs w:val="20"/>
                <w:color w:val="auto"/>
              </w:rPr>
            </w:pPr>
            <w:r>
              <w:rPr>
                <w:rFonts w:ascii="Arial" w:cs="Arial" w:eastAsia="Arial" w:hAnsi="Arial"/>
                <w:sz w:val="16"/>
                <w:szCs w:val="16"/>
                <w:color w:val="auto"/>
              </w:rPr>
              <w:t>Michael Seibel</w:t>
            </w:r>
          </w:p>
        </w:tc>
        <w:tc>
          <w:tcPr>
            <w:tcW w:w="16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7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shd w:val="clear" w:color="auto" w:fill="F2F2F2"/>
          </w:tcPr>
          <w:p>
            <w:pPr>
              <w:jc w:val="center"/>
              <w:ind w:left="28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F2F2F2"/>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shd w:val="clear" w:color="auto" w:fill="F2F2F2"/>
          </w:tcPr>
          <w:p>
            <w:pPr>
              <w:spacing w:after="0"/>
              <w:rPr>
                <w:sz w:val="7"/>
                <w:szCs w:val="7"/>
                <w:color w:val="auto"/>
              </w:rPr>
            </w:pPr>
          </w:p>
        </w:tc>
        <w:tc>
          <w:tcPr>
            <w:tcW w:w="16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7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080" w:type="dxa"/>
            <w:vAlign w:val="bottom"/>
            <w:shd w:val="clear" w:color="auto" w:fill="F2F2F2"/>
          </w:tcPr>
          <w:p>
            <w:pPr>
              <w:spacing w:after="0"/>
              <w:rPr>
                <w:sz w:val="7"/>
                <w:szCs w:val="7"/>
                <w:color w:val="auto"/>
              </w:rPr>
            </w:pPr>
          </w:p>
        </w:tc>
        <w:tc>
          <w:tcPr>
            <w:tcW w:w="220" w:type="dxa"/>
            <w:vAlign w:val="bottom"/>
            <w:shd w:val="clear" w:color="auto" w:fill="F2F2F2"/>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3400" w:type="dxa"/>
            <w:vAlign w:val="bottom"/>
          </w:tcPr>
          <w:p>
            <w:pPr>
              <w:ind w:left="60"/>
              <w:spacing w:after="0"/>
              <w:rPr>
                <w:sz w:val="20"/>
                <w:szCs w:val="20"/>
                <w:color w:val="auto"/>
              </w:rPr>
            </w:pPr>
            <w:r>
              <w:rPr>
                <w:rFonts w:ascii="Arial" w:cs="Arial" w:eastAsia="Arial" w:hAnsi="Arial"/>
                <w:sz w:val="16"/>
                <w:szCs w:val="16"/>
                <w:color w:val="auto"/>
              </w:rPr>
              <w:t>Sara Mathew</w:t>
            </w:r>
          </w:p>
        </w:tc>
        <w:tc>
          <w:tcPr>
            <w:tcW w:w="162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72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tcPr>
          <w:p>
            <w:pPr>
              <w:jc w:val="center"/>
              <w:ind w:left="28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tcPr>
          <w:p>
            <w:pPr>
              <w:spacing w:after="0"/>
              <w:rPr>
                <w:sz w:val="7"/>
                <w:szCs w:val="7"/>
                <w:color w:val="auto"/>
              </w:rPr>
            </w:pPr>
          </w:p>
        </w:tc>
        <w:tc>
          <w:tcPr>
            <w:tcW w:w="1620" w:type="dxa"/>
            <w:vAlign w:val="bottom"/>
          </w:tcPr>
          <w:p>
            <w:pPr>
              <w:spacing w:after="0"/>
              <w:rPr>
                <w:sz w:val="7"/>
                <w:szCs w:val="7"/>
                <w:color w:val="auto"/>
              </w:rPr>
            </w:pPr>
          </w:p>
        </w:tc>
        <w:tc>
          <w:tcPr>
            <w:tcW w:w="760" w:type="dxa"/>
            <w:vAlign w:val="bottom"/>
          </w:tcPr>
          <w:p>
            <w:pPr>
              <w:spacing w:after="0"/>
              <w:rPr>
                <w:sz w:val="7"/>
                <w:szCs w:val="7"/>
                <w:color w:val="auto"/>
              </w:rPr>
            </w:pPr>
          </w:p>
        </w:tc>
        <w:tc>
          <w:tcPr>
            <w:tcW w:w="1720" w:type="dxa"/>
            <w:vAlign w:val="bottom"/>
          </w:tcPr>
          <w:p>
            <w:pPr>
              <w:spacing w:after="0"/>
              <w:rPr>
                <w:sz w:val="7"/>
                <w:szCs w:val="7"/>
                <w:color w:val="auto"/>
              </w:rPr>
            </w:pPr>
          </w:p>
        </w:tc>
        <w:tc>
          <w:tcPr>
            <w:tcW w:w="76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20" w:type="dxa"/>
            <w:vAlign w:val="bottom"/>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3400" w:type="dxa"/>
            <w:vAlign w:val="bottom"/>
            <w:shd w:val="clear" w:color="auto" w:fill="F2F2F2"/>
          </w:tcPr>
          <w:p>
            <w:pPr>
              <w:ind w:left="60"/>
              <w:spacing w:after="0"/>
              <w:rPr>
                <w:sz w:val="20"/>
                <w:szCs w:val="20"/>
                <w:color w:val="auto"/>
              </w:rPr>
            </w:pPr>
            <w:r>
              <w:rPr>
                <w:rFonts w:ascii="Arial" w:cs="Arial" w:eastAsia="Arial" w:hAnsi="Arial"/>
                <w:sz w:val="16"/>
                <w:szCs w:val="16"/>
                <w:color w:val="auto"/>
              </w:rPr>
              <w:t>Olivia Nottebohm</w:t>
            </w:r>
          </w:p>
        </w:tc>
        <w:tc>
          <w:tcPr>
            <w:tcW w:w="16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72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760" w:type="dxa"/>
            <w:vAlign w:val="bottom"/>
            <w:shd w:val="clear" w:color="auto" w:fill="F2F2F2"/>
          </w:tcPr>
          <w:p>
            <w:pPr>
              <w:jc w:val="center"/>
              <w:spacing w:after="0"/>
              <w:rPr>
                <w:sz w:val="20"/>
                <w:szCs w:val="20"/>
                <w:color w:val="auto"/>
              </w:rPr>
            </w:pPr>
            <w:r>
              <w:rPr>
                <w:rFonts w:ascii="Arial" w:cs="Arial" w:eastAsia="Arial" w:hAnsi="Arial"/>
                <w:sz w:val="16"/>
                <w:szCs w:val="16"/>
                <w:color w:val="auto"/>
                <w:w w:val="99"/>
              </w:rPr>
              <w:t>—</w:t>
            </w:r>
          </w:p>
        </w:tc>
        <w:tc>
          <w:tcPr>
            <w:tcW w:w="1080" w:type="dxa"/>
            <w:vAlign w:val="bottom"/>
            <w:shd w:val="clear" w:color="auto" w:fill="F2F2F2"/>
          </w:tcPr>
          <w:p>
            <w:pPr>
              <w:jc w:val="center"/>
              <w:ind w:left="28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F2F2F2"/>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3400" w:type="dxa"/>
            <w:vAlign w:val="bottom"/>
            <w:shd w:val="clear" w:color="auto" w:fill="F2F2F2"/>
          </w:tcPr>
          <w:p>
            <w:pPr>
              <w:spacing w:after="0"/>
              <w:rPr>
                <w:sz w:val="7"/>
                <w:szCs w:val="7"/>
                <w:color w:val="auto"/>
              </w:rPr>
            </w:pPr>
          </w:p>
        </w:tc>
        <w:tc>
          <w:tcPr>
            <w:tcW w:w="16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720" w:type="dxa"/>
            <w:vAlign w:val="bottom"/>
            <w:shd w:val="clear" w:color="auto" w:fill="F2F2F2"/>
          </w:tcPr>
          <w:p>
            <w:pPr>
              <w:spacing w:after="0"/>
              <w:rPr>
                <w:sz w:val="7"/>
                <w:szCs w:val="7"/>
                <w:color w:val="auto"/>
              </w:rPr>
            </w:pPr>
          </w:p>
        </w:tc>
        <w:tc>
          <w:tcPr>
            <w:tcW w:w="760" w:type="dxa"/>
            <w:vAlign w:val="bottom"/>
            <w:shd w:val="clear" w:color="auto" w:fill="F2F2F2"/>
          </w:tcPr>
          <w:p>
            <w:pPr>
              <w:spacing w:after="0"/>
              <w:rPr>
                <w:sz w:val="7"/>
                <w:szCs w:val="7"/>
                <w:color w:val="auto"/>
              </w:rPr>
            </w:pPr>
          </w:p>
        </w:tc>
        <w:tc>
          <w:tcPr>
            <w:tcW w:w="1080" w:type="dxa"/>
            <w:vAlign w:val="bottom"/>
            <w:shd w:val="clear" w:color="auto" w:fill="F2F2F2"/>
          </w:tcPr>
          <w:p>
            <w:pPr>
              <w:spacing w:after="0"/>
              <w:rPr>
                <w:sz w:val="7"/>
                <w:szCs w:val="7"/>
                <w:color w:val="auto"/>
              </w:rPr>
            </w:pPr>
          </w:p>
        </w:tc>
        <w:tc>
          <w:tcPr>
            <w:tcW w:w="220" w:type="dxa"/>
            <w:vAlign w:val="bottom"/>
            <w:shd w:val="clear" w:color="auto" w:fill="F2F2F2"/>
          </w:tcPr>
          <w:p>
            <w:pPr>
              <w:spacing w:after="0"/>
              <w:rPr>
                <w:sz w:val="7"/>
                <w:szCs w:val="7"/>
                <w:color w:val="auto"/>
              </w:rPr>
            </w:pPr>
          </w:p>
        </w:tc>
        <w:tc>
          <w:tcPr>
            <w:tcW w:w="740" w:type="dxa"/>
            <w:vAlign w:val="bottom"/>
          </w:tcPr>
          <w:p>
            <w:pPr>
              <w:spacing w:after="0"/>
              <w:rPr>
                <w:sz w:val="7"/>
                <w:szCs w:val="7"/>
                <w:color w:val="auto"/>
              </w:rPr>
            </w:pPr>
          </w:p>
        </w:tc>
      </w:tr>
      <w:tr>
        <w:trPr>
          <w:trHeight w:val="269"/>
        </w:trPr>
        <w:tc>
          <w:tcPr>
            <w:tcW w:w="720" w:type="dxa"/>
            <w:vAlign w:val="bottom"/>
          </w:tcPr>
          <w:p>
            <w:pPr>
              <w:spacing w:after="0"/>
              <w:rPr>
                <w:sz w:val="23"/>
                <w:szCs w:val="23"/>
                <w:color w:val="auto"/>
              </w:rPr>
            </w:pPr>
          </w:p>
        </w:tc>
        <w:tc>
          <w:tcPr>
            <w:tcW w:w="3400" w:type="dxa"/>
            <w:vAlign w:val="bottom"/>
          </w:tcPr>
          <w:p>
            <w:pPr>
              <w:ind w:left="60"/>
              <w:spacing w:after="0"/>
              <w:rPr>
                <w:sz w:val="20"/>
                <w:szCs w:val="20"/>
                <w:color w:val="auto"/>
              </w:rPr>
            </w:pPr>
            <w:r>
              <w:rPr>
                <w:rFonts w:ascii="Arial" w:cs="Arial" w:eastAsia="Arial" w:hAnsi="Arial"/>
                <w:sz w:val="16"/>
                <w:szCs w:val="16"/>
                <w:color w:val="auto"/>
              </w:rPr>
              <w:t>All current directors, named executive</w:t>
            </w:r>
          </w:p>
        </w:tc>
        <w:tc>
          <w:tcPr>
            <w:tcW w:w="162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72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740" w:type="dxa"/>
            <w:vAlign w:val="bottom"/>
          </w:tcPr>
          <w:p>
            <w:pPr>
              <w:spacing w:after="0"/>
              <w:rPr>
                <w:sz w:val="23"/>
                <w:szCs w:val="23"/>
                <w:color w:val="auto"/>
              </w:rPr>
            </w:pPr>
          </w:p>
        </w:tc>
      </w:tr>
      <w:tr>
        <w:trPr>
          <w:trHeight w:val="189"/>
        </w:trPr>
        <w:tc>
          <w:tcPr>
            <w:tcW w:w="720" w:type="dxa"/>
            <w:vAlign w:val="bottom"/>
          </w:tcPr>
          <w:p>
            <w:pPr>
              <w:spacing w:after="0"/>
              <w:rPr>
                <w:sz w:val="16"/>
                <w:szCs w:val="16"/>
                <w:color w:val="auto"/>
              </w:rPr>
            </w:pPr>
          </w:p>
        </w:tc>
        <w:tc>
          <w:tcPr>
            <w:tcW w:w="3400" w:type="dxa"/>
            <w:vAlign w:val="bottom"/>
          </w:tcPr>
          <w:p>
            <w:pPr>
              <w:ind w:left="60"/>
              <w:spacing w:after="0"/>
              <w:rPr>
                <w:sz w:val="20"/>
                <w:szCs w:val="20"/>
                <w:color w:val="auto"/>
              </w:rPr>
            </w:pPr>
            <w:r>
              <w:rPr>
                <w:rFonts w:ascii="Arial" w:cs="Arial" w:eastAsia="Arial" w:hAnsi="Arial"/>
                <w:sz w:val="16"/>
                <w:szCs w:val="16"/>
                <w:color w:val="auto"/>
              </w:rPr>
              <w:t>officers and executive officers as a group</w:t>
            </w:r>
          </w:p>
        </w:tc>
        <w:tc>
          <w:tcPr>
            <w:tcW w:w="162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72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0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740" w:type="dxa"/>
            <w:vAlign w:val="bottom"/>
          </w:tcPr>
          <w:p>
            <w:pPr>
              <w:spacing w:after="0"/>
              <w:rPr>
                <w:sz w:val="16"/>
                <w:szCs w:val="16"/>
                <w:color w:val="auto"/>
              </w:rPr>
            </w:pPr>
          </w:p>
        </w:tc>
      </w:tr>
      <w:tr>
        <w:trPr>
          <w:trHeight w:val="215"/>
        </w:trPr>
        <w:tc>
          <w:tcPr>
            <w:tcW w:w="720" w:type="dxa"/>
            <w:vAlign w:val="bottom"/>
          </w:tcPr>
          <w:p>
            <w:pPr>
              <w:spacing w:after="0"/>
              <w:rPr>
                <w:sz w:val="18"/>
                <w:szCs w:val="18"/>
                <w:color w:val="auto"/>
              </w:rPr>
            </w:pPr>
          </w:p>
        </w:tc>
        <w:tc>
          <w:tcPr>
            <w:tcW w:w="3400" w:type="dxa"/>
            <w:vAlign w:val="bottom"/>
          </w:tcPr>
          <w:p>
            <w:pPr>
              <w:ind w:left="60"/>
              <w:spacing w:after="0"/>
              <w:rPr>
                <w:sz w:val="20"/>
                <w:szCs w:val="20"/>
                <w:color w:val="auto"/>
              </w:rPr>
            </w:pPr>
            <w:r>
              <w:rPr>
                <w:rFonts w:ascii="Arial" w:cs="Arial" w:eastAsia="Arial" w:hAnsi="Arial"/>
                <w:sz w:val="16"/>
                <w:szCs w:val="16"/>
                <w:color w:val="auto"/>
              </w:rPr>
              <w:t>(12 persons)</w:t>
            </w:r>
          </w:p>
        </w:tc>
        <w:tc>
          <w:tcPr>
            <w:tcW w:w="1620" w:type="dxa"/>
            <w:vAlign w:val="bottom"/>
          </w:tcPr>
          <w:p>
            <w:pPr>
              <w:jc w:val="right"/>
              <w:ind w:right="301"/>
              <w:spacing w:after="0"/>
              <w:rPr>
                <w:sz w:val="20"/>
                <w:szCs w:val="20"/>
                <w:color w:val="auto"/>
              </w:rPr>
            </w:pPr>
            <w:r>
              <w:rPr>
                <w:rFonts w:ascii="Arial" w:cs="Arial" w:eastAsia="Arial" w:hAnsi="Arial"/>
                <w:sz w:val="16"/>
                <w:szCs w:val="16"/>
                <w:color w:val="auto"/>
              </w:rPr>
              <w:t>13,438,182</w:t>
            </w:r>
          </w:p>
        </w:tc>
        <w:tc>
          <w:tcPr>
            <w:tcW w:w="760" w:type="dxa"/>
            <w:vAlign w:val="bottom"/>
          </w:tcPr>
          <w:p>
            <w:pPr>
              <w:jc w:val="center"/>
              <w:spacing w:after="0"/>
              <w:rPr>
                <w:sz w:val="20"/>
                <w:szCs w:val="20"/>
                <w:color w:val="auto"/>
              </w:rPr>
            </w:pPr>
            <w:r>
              <w:rPr>
                <w:rFonts w:ascii="Arial" w:cs="Arial" w:eastAsia="Arial" w:hAnsi="Arial"/>
                <w:sz w:val="16"/>
                <w:szCs w:val="16"/>
                <w:color w:val="auto"/>
              </w:rPr>
              <w:t>4.55</w:t>
            </w:r>
          </w:p>
        </w:tc>
        <w:tc>
          <w:tcPr>
            <w:tcW w:w="1720" w:type="dxa"/>
            <w:vAlign w:val="bottom"/>
          </w:tcPr>
          <w:p>
            <w:pPr>
              <w:jc w:val="center"/>
              <w:spacing w:after="0"/>
              <w:rPr>
                <w:sz w:val="20"/>
                <w:szCs w:val="20"/>
                <w:color w:val="auto"/>
              </w:rPr>
            </w:pPr>
            <w:r>
              <w:rPr>
                <w:rFonts w:ascii="Arial" w:cs="Arial" w:eastAsia="Arial" w:hAnsi="Arial"/>
                <w:sz w:val="16"/>
                <w:szCs w:val="16"/>
                <w:color w:val="auto"/>
                <w:w w:val="99"/>
              </w:rPr>
              <w:t>81,230,054</w:t>
            </w:r>
          </w:p>
        </w:tc>
        <w:tc>
          <w:tcPr>
            <w:tcW w:w="760" w:type="dxa"/>
            <w:vAlign w:val="bottom"/>
          </w:tcPr>
          <w:p>
            <w:pPr>
              <w:jc w:val="center"/>
              <w:spacing w:after="0"/>
              <w:rPr>
                <w:sz w:val="20"/>
                <w:szCs w:val="20"/>
                <w:color w:val="auto"/>
              </w:rPr>
            </w:pPr>
            <w:r>
              <w:rPr>
                <w:rFonts w:ascii="Arial" w:cs="Arial" w:eastAsia="Arial" w:hAnsi="Arial"/>
                <w:sz w:val="16"/>
                <w:szCs w:val="16"/>
                <w:color w:val="auto"/>
              </w:rPr>
              <w:t>98.33</w:t>
            </w:r>
          </w:p>
        </w:tc>
        <w:tc>
          <w:tcPr>
            <w:tcW w:w="1080" w:type="dxa"/>
            <w:vAlign w:val="bottom"/>
          </w:tcPr>
          <w:p>
            <w:pPr>
              <w:jc w:val="center"/>
              <w:ind w:left="280"/>
              <w:spacing w:after="0"/>
              <w:rPr>
                <w:sz w:val="20"/>
                <w:szCs w:val="20"/>
                <w:color w:val="auto"/>
              </w:rPr>
            </w:pPr>
            <w:r>
              <w:rPr>
                <w:rFonts w:ascii="Arial" w:cs="Arial" w:eastAsia="Arial" w:hAnsi="Arial"/>
                <w:sz w:val="16"/>
                <w:szCs w:val="16"/>
                <w:color w:val="auto"/>
                <w:w w:val="99"/>
              </w:rPr>
              <w:t>73.63</w:t>
            </w:r>
          </w:p>
        </w:tc>
        <w:tc>
          <w:tcPr>
            <w:tcW w:w="220" w:type="dxa"/>
            <w:vAlign w:val="bottom"/>
          </w:tcPr>
          <w:p>
            <w:pPr>
              <w:spacing w:after="0"/>
              <w:rPr>
                <w:sz w:val="18"/>
                <w:szCs w:val="18"/>
                <w:color w:val="auto"/>
              </w:rPr>
            </w:pPr>
          </w:p>
        </w:tc>
        <w:tc>
          <w:tcPr>
            <w:tcW w:w="740" w:type="dxa"/>
            <w:vAlign w:val="bottom"/>
          </w:tcPr>
          <w:p>
            <w:pPr>
              <w:spacing w:after="0"/>
              <w:rPr>
                <w:sz w:val="18"/>
                <w:szCs w:val="18"/>
                <w:color w:val="auto"/>
              </w:rPr>
            </w:pPr>
          </w:p>
        </w:tc>
      </w:tr>
      <w:tr>
        <w:trPr>
          <w:trHeight w:val="472"/>
        </w:trPr>
        <w:tc>
          <w:tcPr>
            <w:tcW w:w="720" w:type="dxa"/>
            <w:vAlign w:val="bottom"/>
          </w:tcPr>
          <w:p>
            <w:pPr>
              <w:spacing w:after="0"/>
              <w:rPr>
                <w:sz w:val="24"/>
                <w:szCs w:val="24"/>
                <w:color w:val="auto"/>
              </w:rPr>
            </w:pPr>
          </w:p>
        </w:tc>
        <w:tc>
          <w:tcPr>
            <w:tcW w:w="3400" w:type="dxa"/>
            <w:vAlign w:val="bottom"/>
          </w:tcPr>
          <w:p>
            <w:pPr>
              <w:spacing w:after="0"/>
              <w:rPr>
                <w:sz w:val="24"/>
                <w:szCs w:val="24"/>
                <w:color w:val="auto"/>
              </w:rPr>
            </w:pPr>
          </w:p>
        </w:tc>
        <w:tc>
          <w:tcPr>
            <w:tcW w:w="5940" w:type="dxa"/>
            <w:vAlign w:val="bottom"/>
            <w:gridSpan w:val="5"/>
          </w:tcPr>
          <w:p>
            <w:pPr>
              <w:ind w:left="26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960" w:type="dxa"/>
            <w:vAlign w:val="bottom"/>
            <w:gridSpan w:val="2"/>
          </w:tcPr>
          <w:p>
            <w:pPr>
              <w:jc w:val="right"/>
              <w:ind w:right="720"/>
              <w:spacing w:after="0"/>
              <w:rPr>
                <w:sz w:val="20"/>
                <w:szCs w:val="20"/>
                <w:color w:val="auto"/>
              </w:rPr>
            </w:pPr>
            <w:r>
              <w:rPr>
                <w:rFonts w:ascii="Arial" w:cs="Arial" w:eastAsia="Arial" w:hAnsi="Arial"/>
                <w:sz w:val="14"/>
                <w:szCs w:val="14"/>
                <w:b w:val="1"/>
                <w:bCs w:val="1"/>
                <w:color w:val="auto"/>
              </w:rPr>
              <w:t>57</w:t>
            </w:r>
          </w:p>
        </w:tc>
      </w:tr>
      <w:tr>
        <w:trPr>
          <w:trHeight w:val="158"/>
        </w:trPr>
        <w:tc>
          <w:tcPr>
            <w:tcW w:w="720" w:type="dxa"/>
            <w:vAlign w:val="bottom"/>
            <w:tcBorders>
              <w:bottom w:val="single" w:sz="8" w:color="auto"/>
            </w:tcBorders>
          </w:tcPr>
          <w:p>
            <w:pPr>
              <w:spacing w:after="0"/>
              <w:rPr>
                <w:sz w:val="13"/>
                <w:szCs w:val="13"/>
                <w:color w:val="auto"/>
              </w:rPr>
            </w:pPr>
          </w:p>
        </w:tc>
        <w:tc>
          <w:tcPr>
            <w:tcW w:w="3400" w:type="dxa"/>
            <w:vAlign w:val="bottom"/>
            <w:tcBorders>
              <w:bottom w:val="single" w:sz="8" w:color="auto"/>
            </w:tcBorders>
          </w:tcPr>
          <w:p>
            <w:pPr>
              <w:spacing w:after="0"/>
              <w:rPr>
                <w:sz w:val="13"/>
                <w:szCs w:val="13"/>
                <w:color w:val="auto"/>
              </w:rPr>
            </w:pPr>
          </w:p>
        </w:tc>
        <w:tc>
          <w:tcPr>
            <w:tcW w:w="1620" w:type="dxa"/>
            <w:vAlign w:val="bottom"/>
            <w:tcBorders>
              <w:bottom w:val="single" w:sz="8" w:color="auto"/>
            </w:tcBorders>
          </w:tcPr>
          <w:p>
            <w:pPr>
              <w:spacing w:after="0"/>
              <w:rPr>
                <w:sz w:val="13"/>
                <w:szCs w:val="13"/>
                <w:color w:val="auto"/>
              </w:rPr>
            </w:pPr>
          </w:p>
        </w:tc>
        <w:tc>
          <w:tcPr>
            <w:tcW w:w="760" w:type="dxa"/>
            <w:vAlign w:val="bottom"/>
            <w:tcBorders>
              <w:bottom w:val="single" w:sz="8" w:color="auto"/>
            </w:tcBorders>
          </w:tcPr>
          <w:p>
            <w:pPr>
              <w:spacing w:after="0"/>
              <w:rPr>
                <w:sz w:val="13"/>
                <w:szCs w:val="13"/>
                <w:color w:val="auto"/>
              </w:rPr>
            </w:pPr>
          </w:p>
        </w:tc>
        <w:tc>
          <w:tcPr>
            <w:tcW w:w="1720" w:type="dxa"/>
            <w:vAlign w:val="bottom"/>
            <w:tcBorders>
              <w:bottom w:val="single" w:sz="8" w:color="auto"/>
            </w:tcBorders>
          </w:tcPr>
          <w:p>
            <w:pPr>
              <w:spacing w:after="0"/>
              <w:rPr>
                <w:sz w:val="13"/>
                <w:szCs w:val="13"/>
                <w:color w:val="auto"/>
              </w:rPr>
            </w:pPr>
          </w:p>
        </w:tc>
        <w:tc>
          <w:tcPr>
            <w:tcW w:w="760" w:type="dxa"/>
            <w:vAlign w:val="bottom"/>
            <w:tcBorders>
              <w:bottom w:val="single" w:sz="8" w:color="auto"/>
            </w:tcBorders>
          </w:tcPr>
          <w:p>
            <w:pPr>
              <w:spacing w:after="0"/>
              <w:rPr>
                <w:sz w:val="13"/>
                <w:szCs w:val="13"/>
                <w:color w:val="auto"/>
              </w:rPr>
            </w:pPr>
          </w:p>
        </w:tc>
        <w:tc>
          <w:tcPr>
            <w:tcW w:w="108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74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61" w:name="page62"/>
    <w:bookmarkEnd w:id="61"/>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020"/>
        <w:spacing w:after="0" w:line="286" w:lineRule="auto"/>
        <w:rPr>
          <w:sz w:val="20"/>
          <w:szCs w:val="20"/>
          <w:color w:val="auto"/>
        </w:rPr>
      </w:pPr>
      <w:r>
        <w:rPr>
          <w:rFonts w:ascii="Arial" w:cs="Arial" w:eastAsia="Arial" w:hAnsi="Arial"/>
          <w:sz w:val="32"/>
          <w:szCs w:val="32"/>
          <w:color w:val="0063A6"/>
        </w:rPr>
        <w:t>SECURITY OWNERSHIP OF CERTAIN BENEFICIAL OWNERS AND MANAGEMENT (continued)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224155</wp:posOffset>
            </wp:positionV>
            <wp:extent cx="6077585" cy="138874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6077585" cy="1388745"/>
                    </a:xfrm>
                    <a:prstGeom prst="rect">
                      <a:avLst/>
                    </a:prstGeom>
                    <a:noFill/>
                  </pic:spPr>
                </pic:pic>
              </a:graphicData>
            </a:graphic>
          </wp:anchor>
        </w:drawing>
      </w:r>
    </w:p>
    <w:p>
      <w:pPr>
        <w:spacing w:after="0" w:line="333" w:lineRule="exact"/>
        <w:rPr>
          <w:sz w:val="20"/>
          <w:szCs w:val="20"/>
          <w:color w:val="auto"/>
        </w:rPr>
      </w:pPr>
    </w:p>
    <w:tbl>
      <w:tblPr>
        <w:tblLayout w:type="fixed"/>
        <w:tblInd w:w="0" w:type="dxa"/>
        <w:tblCellMar>
          <w:top w:w="0" w:type="dxa"/>
          <w:left w:w="0" w:type="dxa"/>
          <w:bottom w:w="0" w:type="dxa"/>
          <w:right w:w="0" w:type="dxa"/>
        </w:tblCellMar>
      </w:tblPr>
      <w:tr>
        <w:trPr>
          <w:trHeight w:val="295"/>
        </w:trPr>
        <w:tc>
          <w:tcPr>
            <w:tcW w:w="720" w:type="dxa"/>
            <w:vAlign w:val="bottom"/>
          </w:tcPr>
          <w:p>
            <w:pPr>
              <w:spacing w:after="0"/>
              <w:rPr>
                <w:sz w:val="24"/>
                <w:szCs w:val="24"/>
                <w:color w:val="auto"/>
              </w:rPr>
            </w:pPr>
          </w:p>
        </w:tc>
        <w:tc>
          <w:tcPr>
            <w:tcW w:w="200" w:type="dxa"/>
            <w:vAlign w:val="bottom"/>
            <w:shd w:val="clear" w:color="auto" w:fill="0063A6"/>
          </w:tcPr>
          <w:p>
            <w:pPr>
              <w:spacing w:after="0"/>
              <w:rPr>
                <w:sz w:val="24"/>
                <w:szCs w:val="24"/>
                <w:color w:val="auto"/>
              </w:rPr>
            </w:pPr>
          </w:p>
        </w:tc>
        <w:tc>
          <w:tcPr>
            <w:tcW w:w="3280" w:type="dxa"/>
            <w:vAlign w:val="bottom"/>
            <w:shd w:val="clear" w:color="auto" w:fill="0063A6"/>
          </w:tcPr>
          <w:p>
            <w:pPr>
              <w:spacing w:after="0"/>
              <w:rPr>
                <w:sz w:val="24"/>
                <w:szCs w:val="24"/>
                <w:color w:val="auto"/>
              </w:rPr>
            </w:pPr>
          </w:p>
        </w:tc>
        <w:tc>
          <w:tcPr>
            <w:tcW w:w="4160" w:type="dxa"/>
            <w:vAlign w:val="bottom"/>
            <w:gridSpan w:val="3"/>
            <w:shd w:val="clear" w:color="auto" w:fill="0063A6"/>
          </w:tcPr>
          <w:p>
            <w:pPr>
              <w:ind w:left="920"/>
              <w:spacing w:after="0"/>
              <w:rPr>
                <w:sz w:val="20"/>
                <w:szCs w:val="20"/>
                <w:color w:val="auto"/>
              </w:rPr>
            </w:pPr>
            <w:r>
              <w:rPr>
                <w:rFonts w:ascii="Arial" w:cs="Arial" w:eastAsia="Arial" w:hAnsi="Arial"/>
                <w:sz w:val="14"/>
                <w:szCs w:val="14"/>
                <w:b w:val="1"/>
                <w:bCs w:val="1"/>
                <w:color w:val="FFFFFF"/>
              </w:rPr>
              <w:t>Amount and nature of beneficial ownership</w:t>
            </w:r>
          </w:p>
        </w:tc>
        <w:tc>
          <w:tcPr>
            <w:tcW w:w="620" w:type="dxa"/>
            <w:vAlign w:val="bottom"/>
            <w:shd w:val="clear" w:color="auto" w:fill="0063A6"/>
          </w:tcPr>
          <w:p>
            <w:pPr>
              <w:spacing w:after="0"/>
              <w:rPr>
                <w:sz w:val="24"/>
                <w:szCs w:val="24"/>
                <w:color w:val="auto"/>
              </w:rPr>
            </w:pPr>
          </w:p>
        </w:tc>
        <w:tc>
          <w:tcPr>
            <w:tcW w:w="1300" w:type="dxa"/>
            <w:vAlign w:val="bottom"/>
            <w:shd w:val="clear" w:color="auto" w:fill="0063A6"/>
          </w:tcPr>
          <w:p>
            <w:pPr>
              <w:spacing w:after="0"/>
              <w:rPr>
                <w:sz w:val="24"/>
                <w:szCs w:val="24"/>
                <w:color w:val="auto"/>
              </w:rPr>
            </w:pP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720" w:type="dxa"/>
            <w:vAlign w:val="bottom"/>
          </w:tcPr>
          <w:p>
            <w:pPr>
              <w:spacing w:after="0"/>
              <w:rPr>
                <w:sz w:val="24"/>
                <w:szCs w:val="24"/>
                <w:color w:val="auto"/>
              </w:rPr>
            </w:pPr>
          </w:p>
        </w:tc>
        <w:tc>
          <w:tcPr>
            <w:tcW w:w="200" w:type="dxa"/>
            <w:vAlign w:val="bottom"/>
            <w:shd w:val="clear" w:color="auto" w:fill="0063A6"/>
          </w:tcPr>
          <w:p>
            <w:pPr>
              <w:spacing w:after="0"/>
              <w:rPr>
                <w:sz w:val="24"/>
                <w:szCs w:val="24"/>
                <w:color w:val="auto"/>
              </w:rPr>
            </w:pPr>
          </w:p>
        </w:tc>
        <w:tc>
          <w:tcPr>
            <w:tcW w:w="3280" w:type="dxa"/>
            <w:vAlign w:val="bottom"/>
            <w:shd w:val="clear" w:color="auto" w:fill="0063A6"/>
          </w:tcPr>
          <w:p>
            <w:pPr>
              <w:spacing w:after="0"/>
              <w:rPr>
                <w:sz w:val="24"/>
                <w:szCs w:val="24"/>
                <w:color w:val="auto"/>
              </w:rPr>
            </w:pPr>
          </w:p>
        </w:tc>
        <w:tc>
          <w:tcPr>
            <w:tcW w:w="1820" w:type="dxa"/>
            <w:vAlign w:val="bottom"/>
            <w:shd w:val="clear" w:color="auto" w:fill="0063A6"/>
          </w:tcPr>
          <w:p>
            <w:pPr>
              <w:jc w:val="center"/>
              <w:ind w:right="164"/>
              <w:spacing w:after="0"/>
              <w:rPr>
                <w:sz w:val="20"/>
                <w:szCs w:val="20"/>
                <w:color w:val="auto"/>
              </w:rPr>
            </w:pPr>
            <w:r>
              <w:rPr>
                <w:rFonts w:ascii="Arial" w:cs="Arial" w:eastAsia="Arial" w:hAnsi="Arial"/>
                <w:sz w:val="14"/>
                <w:szCs w:val="14"/>
                <w:b w:val="1"/>
                <w:bCs w:val="1"/>
                <w:color w:val="FFFFFF"/>
              </w:rPr>
              <w:t>Class A</w:t>
            </w:r>
          </w:p>
        </w:tc>
        <w:tc>
          <w:tcPr>
            <w:tcW w:w="740" w:type="dxa"/>
            <w:vAlign w:val="bottom"/>
            <w:shd w:val="clear" w:color="auto" w:fill="0063A6"/>
          </w:tcPr>
          <w:p>
            <w:pPr>
              <w:spacing w:after="0"/>
              <w:rPr>
                <w:sz w:val="24"/>
                <w:szCs w:val="24"/>
                <w:color w:val="auto"/>
              </w:rPr>
            </w:pPr>
          </w:p>
        </w:tc>
        <w:tc>
          <w:tcPr>
            <w:tcW w:w="1600" w:type="dxa"/>
            <w:vAlign w:val="bottom"/>
            <w:shd w:val="clear" w:color="auto" w:fill="0063A6"/>
          </w:tcPr>
          <w:p>
            <w:pPr>
              <w:jc w:val="center"/>
              <w:ind w:right="44"/>
              <w:spacing w:after="0"/>
              <w:rPr>
                <w:sz w:val="20"/>
                <w:szCs w:val="20"/>
                <w:color w:val="auto"/>
              </w:rPr>
            </w:pPr>
            <w:r>
              <w:rPr>
                <w:rFonts w:ascii="Arial" w:cs="Arial" w:eastAsia="Arial" w:hAnsi="Arial"/>
                <w:sz w:val="14"/>
                <w:szCs w:val="14"/>
                <w:b w:val="1"/>
                <w:bCs w:val="1"/>
                <w:color w:val="FFFFFF"/>
              </w:rPr>
              <w:t>Class B</w:t>
            </w:r>
          </w:p>
        </w:tc>
        <w:tc>
          <w:tcPr>
            <w:tcW w:w="620" w:type="dxa"/>
            <w:vAlign w:val="bottom"/>
            <w:shd w:val="clear" w:color="auto" w:fill="0063A6"/>
          </w:tcPr>
          <w:p>
            <w:pPr>
              <w:spacing w:after="0"/>
              <w:rPr>
                <w:sz w:val="24"/>
                <w:szCs w:val="24"/>
                <w:color w:val="auto"/>
              </w:rPr>
            </w:pPr>
          </w:p>
        </w:tc>
        <w:tc>
          <w:tcPr>
            <w:tcW w:w="1300" w:type="dxa"/>
            <w:vAlign w:val="bottom"/>
            <w:shd w:val="clear" w:color="auto" w:fill="0063A6"/>
          </w:tcPr>
          <w:p>
            <w:pPr>
              <w:jc w:val="center"/>
              <w:ind w:left="24"/>
              <w:spacing w:after="0"/>
              <w:rPr>
                <w:sz w:val="20"/>
                <w:szCs w:val="20"/>
                <w:color w:val="auto"/>
              </w:rPr>
            </w:pPr>
            <w:r>
              <w:rPr>
                <w:rFonts w:ascii="Arial" w:cs="Arial" w:eastAsia="Arial" w:hAnsi="Arial"/>
                <w:sz w:val="14"/>
                <w:szCs w:val="14"/>
                <w:b w:val="1"/>
                <w:bCs w:val="1"/>
                <w:color w:val="FFFFFF"/>
              </w:rPr>
              <w:t>% of total</w:t>
            </w: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2"/>
        </w:trPr>
        <w:tc>
          <w:tcPr>
            <w:tcW w:w="720" w:type="dxa"/>
            <w:vAlign w:val="bottom"/>
          </w:tcPr>
          <w:p>
            <w:pPr>
              <w:spacing w:after="0"/>
              <w:rPr>
                <w:sz w:val="24"/>
                <w:szCs w:val="24"/>
                <w:color w:val="auto"/>
              </w:rPr>
            </w:pPr>
          </w:p>
        </w:tc>
        <w:tc>
          <w:tcPr>
            <w:tcW w:w="3480" w:type="dxa"/>
            <w:vAlign w:val="bottom"/>
            <w:gridSpan w:val="2"/>
            <w:shd w:val="clear" w:color="auto" w:fill="0063A6"/>
          </w:tcPr>
          <w:p>
            <w:pPr>
              <w:ind w:left="60"/>
              <w:spacing w:after="0"/>
              <w:rPr>
                <w:sz w:val="20"/>
                <w:szCs w:val="20"/>
                <w:color w:val="auto"/>
              </w:rPr>
            </w:pPr>
            <w:r>
              <w:rPr>
                <w:rFonts w:ascii="Arial" w:cs="Arial" w:eastAsia="Arial" w:hAnsi="Arial"/>
                <w:sz w:val="14"/>
                <w:szCs w:val="14"/>
                <w:b w:val="1"/>
                <w:bCs w:val="1"/>
                <w:color w:val="FFFFFF"/>
              </w:rPr>
              <w:t>Name of beneficial owner</w:t>
            </w:r>
          </w:p>
        </w:tc>
        <w:tc>
          <w:tcPr>
            <w:tcW w:w="1820" w:type="dxa"/>
            <w:vAlign w:val="bottom"/>
            <w:shd w:val="clear" w:color="auto" w:fill="0063A6"/>
          </w:tcPr>
          <w:p>
            <w:pPr>
              <w:jc w:val="center"/>
              <w:ind w:right="124"/>
              <w:spacing w:after="0"/>
              <w:rPr>
                <w:sz w:val="20"/>
                <w:szCs w:val="20"/>
                <w:color w:val="auto"/>
              </w:rPr>
            </w:pPr>
            <w:r>
              <w:rPr>
                <w:rFonts w:ascii="Arial" w:cs="Arial" w:eastAsia="Arial" w:hAnsi="Arial"/>
                <w:sz w:val="14"/>
                <w:szCs w:val="14"/>
                <w:b w:val="1"/>
                <w:bCs w:val="1"/>
                <w:color w:val="FFFFFF"/>
              </w:rPr>
              <w:t>Common shares</w:t>
            </w:r>
          </w:p>
        </w:tc>
        <w:tc>
          <w:tcPr>
            <w:tcW w:w="740" w:type="dxa"/>
            <w:vAlign w:val="bottom"/>
            <w:shd w:val="clear" w:color="auto" w:fill="0063A6"/>
          </w:tcPr>
          <w:p>
            <w:pPr>
              <w:jc w:val="right"/>
              <w:ind w:right="362"/>
              <w:spacing w:after="0"/>
              <w:rPr>
                <w:sz w:val="20"/>
                <w:szCs w:val="20"/>
                <w:color w:val="auto"/>
              </w:rPr>
            </w:pPr>
            <w:r>
              <w:rPr>
                <w:rFonts w:ascii="Arial" w:cs="Arial" w:eastAsia="Arial" w:hAnsi="Arial"/>
                <w:sz w:val="14"/>
                <w:szCs w:val="14"/>
                <w:b w:val="1"/>
                <w:bCs w:val="1"/>
                <w:color w:val="FFFFFF"/>
              </w:rPr>
              <w:t>%</w:t>
            </w:r>
          </w:p>
        </w:tc>
        <w:tc>
          <w:tcPr>
            <w:tcW w:w="1600" w:type="dxa"/>
            <w:vAlign w:val="bottom"/>
            <w:shd w:val="clear" w:color="auto" w:fill="0063A6"/>
          </w:tcPr>
          <w:p>
            <w:pPr>
              <w:jc w:val="center"/>
              <w:ind w:right="4"/>
              <w:spacing w:after="0"/>
              <w:rPr>
                <w:sz w:val="20"/>
                <w:szCs w:val="20"/>
                <w:color w:val="auto"/>
              </w:rPr>
            </w:pPr>
            <w:r>
              <w:rPr>
                <w:rFonts w:ascii="Arial" w:cs="Arial" w:eastAsia="Arial" w:hAnsi="Arial"/>
                <w:sz w:val="14"/>
                <w:szCs w:val="14"/>
                <w:b w:val="1"/>
                <w:bCs w:val="1"/>
                <w:color w:val="FFFFFF"/>
              </w:rPr>
              <w:t>Common shares†</w:t>
            </w:r>
          </w:p>
        </w:tc>
        <w:tc>
          <w:tcPr>
            <w:tcW w:w="620" w:type="dxa"/>
            <w:vAlign w:val="bottom"/>
            <w:shd w:val="clear" w:color="auto" w:fill="0063A6"/>
          </w:tcPr>
          <w:p>
            <w:pPr>
              <w:jc w:val="center"/>
              <w:spacing w:after="0"/>
              <w:rPr>
                <w:sz w:val="20"/>
                <w:szCs w:val="20"/>
                <w:color w:val="auto"/>
              </w:rPr>
            </w:pPr>
            <w:r>
              <w:rPr>
                <w:rFonts w:ascii="Arial" w:cs="Arial" w:eastAsia="Arial" w:hAnsi="Arial"/>
                <w:sz w:val="14"/>
                <w:szCs w:val="14"/>
                <w:b w:val="1"/>
                <w:bCs w:val="1"/>
                <w:color w:val="FFFFFF"/>
              </w:rPr>
              <w:t>%</w:t>
            </w:r>
          </w:p>
        </w:tc>
        <w:tc>
          <w:tcPr>
            <w:tcW w:w="1300" w:type="dxa"/>
            <w:vAlign w:val="bottom"/>
            <w:shd w:val="clear" w:color="auto" w:fill="0063A6"/>
          </w:tcPr>
          <w:p>
            <w:pPr>
              <w:jc w:val="center"/>
              <w:ind w:left="64"/>
              <w:spacing w:after="0"/>
              <w:rPr>
                <w:sz w:val="20"/>
                <w:szCs w:val="20"/>
                <w:color w:val="auto"/>
              </w:rPr>
            </w:pPr>
            <w:r>
              <w:rPr>
                <w:rFonts w:ascii="Arial" w:cs="Arial" w:eastAsia="Arial" w:hAnsi="Arial"/>
                <w:sz w:val="14"/>
                <w:szCs w:val="14"/>
                <w:b w:val="1"/>
                <w:bCs w:val="1"/>
                <w:color w:val="FFFFFF"/>
              </w:rPr>
              <w:t>voting power</w:t>
            </w:r>
            <w:r>
              <w:rPr>
                <w:rFonts w:ascii="Arial" w:cs="Arial" w:eastAsia="Arial" w:hAnsi="Arial"/>
                <w:sz w:val="23"/>
                <w:szCs w:val="23"/>
                <w:b w:val="1"/>
                <w:bCs w:val="1"/>
                <w:color w:val="FFFFFF"/>
                <w:vertAlign w:val="superscript"/>
              </w:rPr>
              <w:t>#</w:t>
            </w: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3"/>
        </w:trPr>
        <w:tc>
          <w:tcPr>
            <w:tcW w:w="720" w:type="dxa"/>
            <w:vAlign w:val="bottom"/>
          </w:tcPr>
          <w:p>
            <w:pPr>
              <w:spacing w:after="0"/>
              <w:rPr>
                <w:sz w:val="24"/>
                <w:szCs w:val="24"/>
                <w:color w:val="auto"/>
              </w:rPr>
            </w:pPr>
          </w:p>
        </w:tc>
        <w:tc>
          <w:tcPr>
            <w:tcW w:w="3480" w:type="dxa"/>
            <w:vAlign w:val="bottom"/>
            <w:gridSpan w:val="2"/>
            <w:shd w:val="clear" w:color="auto" w:fill="F2F2F2"/>
          </w:tcPr>
          <w:p>
            <w:pPr>
              <w:ind w:left="60"/>
              <w:spacing w:after="0"/>
              <w:rPr>
                <w:sz w:val="20"/>
                <w:szCs w:val="20"/>
                <w:color w:val="auto"/>
              </w:rPr>
            </w:pPr>
            <w:r>
              <w:rPr>
                <w:rFonts w:ascii="Arial" w:cs="Arial" w:eastAsia="Arial" w:hAnsi="Arial"/>
                <w:sz w:val="16"/>
                <w:szCs w:val="16"/>
                <w:b w:val="1"/>
                <w:bCs w:val="1"/>
                <w:color w:val="auto"/>
              </w:rPr>
              <w:t>Greater than 5% stockholders</w:t>
            </w:r>
          </w:p>
        </w:tc>
        <w:tc>
          <w:tcPr>
            <w:tcW w:w="1820" w:type="dxa"/>
            <w:vAlign w:val="bottom"/>
            <w:shd w:val="clear" w:color="auto" w:fill="F2F2F2"/>
          </w:tcPr>
          <w:p>
            <w:pPr>
              <w:spacing w:after="0"/>
              <w:rPr>
                <w:sz w:val="24"/>
                <w:szCs w:val="24"/>
                <w:color w:val="auto"/>
              </w:rPr>
            </w:pPr>
          </w:p>
        </w:tc>
        <w:tc>
          <w:tcPr>
            <w:tcW w:w="740" w:type="dxa"/>
            <w:vAlign w:val="bottom"/>
            <w:shd w:val="clear" w:color="auto" w:fill="F2F2F2"/>
          </w:tcPr>
          <w:p>
            <w:pPr>
              <w:spacing w:after="0"/>
              <w:rPr>
                <w:sz w:val="24"/>
                <w:szCs w:val="24"/>
                <w:color w:val="auto"/>
              </w:rPr>
            </w:pPr>
          </w:p>
        </w:tc>
        <w:tc>
          <w:tcPr>
            <w:tcW w:w="1600" w:type="dxa"/>
            <w:vAlign w:val="bottom"/>
            <w:shd w:val="clear" w:color="auto" w:fill="F2F2F2"/>
          </w:tcPr>
          <w:p>
            <w:pPr>
              <w:spacing w:after="0"/>
              <w:rPr>
                <w:sz w:val="24"/>
                <w:szCs w:val="24"/>
                <w:color w:val="auto"/>
              </w:rPr>
            </w:pPr>
          </w:p>
        </w:tc>
        <w:tc>
          <w:tcPr>
            <w:tcW w:w="620" w:type="dxa"/>
            <w:vAlign w:val="bottom"/>
            <w:shd w:val="clear" w:color="auto" w:fill="F2F2F2"/>
          </w:tcPr>
          <w:p>
            <w:pPr>
              <w:spacing w:after="0"/>
              <w:rPr>
                <w:sz w:val="24"/>
                <w:szCs w:val="24"/>
                <w:color w:val="auto"/>
              </w:rPr>
            </w:pPr>
          </w:p>
        </w:tc>
        <w:tc>
          <w:tcPr>
            <w:tcW w:w="1300" w:type="dxa"/>
            <w:vAlign w:val="bottom"/>
            <w:shd w:val="clear" w:color="auto" w:fill="F2F2F2"/>
          </w:tcPr>
          <w:p>
            <w:pPr>
              <w:spacing w:after="0"/>
              <w:rPr>
                <w:sz w:val="24"/>
                <w:szCs w:val="24"/>
                <w:color w:val="auto"/>
              </w:rPr>
            </w:pP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5"/>
        </w:trPr>
        <w:tc>
          <w:tcPr>
            <w:tcW w:w="720" w:type="dxa"/>
            <w:vAlign w:val="bottom"/>
          </w:tcPr>
          <w:p>
            <w:pPr>
              <w:spacing w:after="0"/>
              <w:rPr>
                <w:sz w:val="6"/>
                <w:szCs w:val="6"/>
                <w:color w:val="auto"/>
              </w:rPr>
            </w:pPr>
          </w:p>
        </w:tc>
        <w:tc>
          <w:tcPr>
            <w:tcW w:w="3480" w:type="dxa"/>
            <w:vAlign w:val="bottom"/>
            <w:gridSpan w:val="2"/>
            <w:shd w:val="clear" w:color="auto" w:fill="F2F2F2"/>
          </w:tcPr>
          <w:p>
            <w:pPr>
              <w:spacing w:after="0"/>
              <w:rPr>
                <w:sz w:val="6"/>
                <w:szCs w:val="6"/>
                <w:color w:val="auto"/>
              </w:rPr>
            </w:pPr>
          </w:p>
        </w:tc>
        <w:tc>
          <w:tcPr>
            <w:tcW w:w="1820" w:type="dxa"/>
            <w:vAlign w:val="bottom"/>
            <w:shd w:val="clear" w:color="auto" w:fill="F2F2F2"/>
          </w:tcPr>
          <w:p>
            <w:pPr>
              <w:spacing w:after="0"/>
              <w:rPr>
                <w:sz w:val="6"/>
                <w:szCs w:val="6"/>
                <w:color w:val="auto"/>
              </w:rPr>
            </w:pPr>
          </w:p>
        </w:tc>
        <w:tc>
          <w:tcPr>
            <w:tcW w:w="740" w:type="dxa"/>
            <w:vAlign w:val="bottom"/>
            <w:shd w:val="clear" w:color="auto" w:fill="F2F2F2"/>
          </w:tcPr>
          <w:p>
            <w:pPr>
              <w:spacing w:after="0"/>
              <w:rPr>
                <w:sz w:val="6"/>
                <w:szCs w:val="6"/>
                <w:color w:val="auto"/>
              </w:rPr>
            </w:pPr>
          </w:p>
        </w:tc>
        <w:tc>
          <w:tcPr>
            <w:tcW w:w="1600" w:type="dxa"/>
            <w:vAlign w:val="bottom"/>
            <w:shd w:val="clear" w:color="auto" w:fill="F2F2F2"/>
          </w:tcPr>
          <w:p>
            <w:pPr>
              <w:spacing w:after="0"/>
              <w:rPr>
                <w:sz w:val="6"/>
                <w:szCs w:val="6"/>
                <w:color w:val="auto"/>
              </w:rPr>
            </w:pPr>
          </w:p>
        </w:tc>
        <w:tc>
          <w:tcPr>
            <w:tcW w:w="620" w:type="dxa"/>
            <w:vAlign w:val="bottom"/>
            <w:shd w:val="clear" w:color="auto" w:fill="F2F2F2"/>
          </w:tcPr>
          <w:p>
            <w:pPr>
              <w:spacing w:after="0"/>
              <w:rPr>
                <w:sz w:val="6"/>
                <w:szCs w:val="6"/>
                <w:color w:val="auto"/>
              </w:rPr>
            </w:pPr>
          </w:p>
        </w:tc>
        <w:tc>
          <w:tcPr>
            <w:tcW w:w="1300" w:type="dxa"/>
            <w:vAlign w:val="bottom"/>
            <w:shd w:val="clear" w:color="auto" w:fill="F2F2F2"/>
          </w:tcPr>
          <w:p>
            <w:pPr>
              <w:spacing w:after="0"/>
              <w:rPr>
                <w:sz w:val="6"/>
                <w:szCs w:val="6"/>
                <w:color w:val="auto"/>
              </w:rPr>
            </w:pPr>
          </w:p>
        </w:tc>
        <w:tc>
          <w:tcPr>
            <w:tcW w:w="7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57"/>
        </w:trPr>
        <w:tc>
          <w:tcPr>
            <w:tcW w:w="720" w:type="dxa"/>
            <w:vAlign w:val="bottom"/>
          </w:tcPr>
          <w:p>
            <w:pPr>
              <w:spacing w:after="0"/>
              <w:rPr>
                <w:sz w:val="22"/>
                <w:szCs w:val="22"/>
                <w:color w:val="auto"/>
              </w:rPr>
            </w:pPr>
          </w:p>
        </w:tc>
        <w:tc>
          <w:tcPr>
            <w:tcW w:w="3480" w:type="dxa"/>
            <w:vAlign w:val="bottom"/>
            <w:gridSpan w:val="2"/>
          </w:tcPr>
          <w:p>
            <w:pPr>
              <w:ind w:left="60"/>
              <w:spacing w:after="0"/>
              <w:rPr>
                <w:sz w:val="20"/>
                <w:szCs w:val="20"/>
                <w:color w:val="auto"/>
              </w:rPr>
            </w:pPr>
            <w:r>
              <w:rPr>
                <w:rFonts w:ascii="Arial" w:cs="Arial" w:eastAsia="Arial" w:hAnsi="Arial"/>
                <w:sz w:val="16"/>
                <w:szCs w:val="16"/>
                <w:color w:val="auto"/>
              </w:rPr>
              <w:t>Entities affiliated with The Vanguard</w:t>
            </w:r>
          </w:p>
        </w:tc>
        <w:tc>
          <w:tcPr>
            <w:tcW w:w="1820" w:type="dxa"/>
            <w:vAlign w:val="bottom"/>
          </w:tcPr>
          <w:p>
            <w:pPr>
              <w:spacing w:after="0"/>
              <w:rPr>
                <w:sz w:val="22"/>
                <w:szCs w:val="22"/>
                <w:color w:val="auto"/>
              </w:rPr>
            </w:pPr>
          </w:p>
        </w:tc>
        <w:tc>
          <w:tcPr>
            <w:tcW w:w="740" w:type="dxa"/>
            <w:vAlign w:val="bottom"/>
          </w:tcPr>
          <w:p>
            <w:pPr>
              <w:spacing w:after="0"/>
              <w:rPr>
                <w:sz w:val="22"/>
                <w:szCs w:val="22"/>
                <w:color w:val="auto"/>
              </w:rPr>
            </w:pPr>
          </w:p>
        </w:tc>
        <w:tc>
          <w:tcPr>
            <w:tcW w:w="16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7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10"/>
        </w:trPr>
        <w:tc>
          <w:tcPr>
            <w:tcW w:w="720" w:type="dxa"/>
            <w:vAlign w:val="bottom"/>
          </w:tcPr>
          <w:p>
            <w:pPr>
              <w:spacing w:after="0"/>
              <w:rPr>
                <w:sz w:val="24"/>
                <w:szCs w:val="24"/>
                <w:color w:val="auto"/>
              </w:rPr>
            </w:pPr>
          </w:p>
        </w:tc>
        <w:tc>
          <w:tcPr>
            <w:tcW w:w="3480" w:type="dxa"/>
            <w:vAlign w:val="bottom"/>
            <w:gridSpan w:val="2"/>
          </w:tcPr>
          <w:p>
            <w:pPr>
              <w:ind w:left="60"/>
              <w:spacing w:after="0"/>
              <w:rPr>
                <w:sz w:val="20"/>
                <w:szCs w:val="20"/>
                <w:color w:val="auto"/>
              </w:rPr>
            </w:pPr>
            <w:r>
              <w:rPr>
                <w:rFonts w:ascii="Arial" w:cs="Arial" w:eastAsia="Arial" w:hAnsi="Arial"/>
                <w:sz w:val="16"/>
                <w:szCs w:val="16"/>
                <w:color w:val="auto"/>
              </w:rPr>
              <w:t>Group</w:t>
            </w:r>
            <w:r>
              <w:rPr>
                <w:rFonts w:ascii="Arial" w:cs="Arial" w:eastAsia="Arial" w:hAnsi="Arial"/>
                <w:sz w:val="26"/>
                <w:szCs w:val="26"/>
                <w:color w:val="auto"/>
                <w:vertAlign w:val="superscript"/>
              </w:rPr>
              <w:t>(3)</w:t>
            </w:r>
          </w:p>
        </w:tc>
        <w:tc>
          <w:tcPr>
            <w:tcW w:w="1820" w:type="dxa"/>
            <w:vAlign w:val="bottom"/>
          </w:tcPr>
          <w:p>
            <w:pPr>
              <w:jc w:val="center"/>
              <w:ind w:right="124"/>
              <w:spacing w:after="0"/>
              <w:rPr>
                <w:sz w:val="20"/>
                <w:szCs w:val="20"/>
                <w:color w:val="auto"/>
              </w:rPr>
            </w:pPr>
            <w:r>
              <w:rPr>
                <w:rFonts w:ascii="Arial" w:cs="Arial" w:eastAsia="Arial" w:hAnsi="Arial"/>
                <w:sz w:val="16"/>
                <w:szCs w:val="16"/>
                <w:color w:val="auto"/>
              </w:rPr>
              <w:t>31,220,139</w:t>
            </w:r>
          </w:p>
        </w:tc>
        <w:tc>
          <w:tcPr>
            <w:tcW w:w="740" w:type="dxa"/>
            <w:vAlign w:val="bottom"/>
          </w:tcPr>
          <w:p>
            <w:pPr>
              <w:jc w:val="right"/>
              <w:ind w:right="242"/>
              <w:spacing w:after="0"/>
              <w:rPr>
                <w:sz w:val="20"/>
                <w:szCs w:val="20"/>
                <w:color w:val="auto"/>
              </w:rPr>
            </w:pPr>
            <w:r>
              <w:rPr>
                <w:rFonts w:ascii="Arial" w:cs="Arial" w:eastAsia="Arial" w:hAnsi="Arial"/>
                <w:sz w:val="16"/>
                <w:szCs w:val="16"/>
                <w:color w:val="auto"/>
                <w:w w:val="99"/>
              </w:rPr>
              <w:t>10.57</w:t>
            </w:r>
          </w:p>
        </w:tc>
        <w:tc>
          <w:tcPr>
            <w:tcW w:w="1600" w:type="dxa"/>
            <w:vAlign w:val="bottom"/>
          </w:tcPr>
          <w:p>
            <w:pPr>
              <w:jc w:val="center"/>
              <w:ind w:right="4"/>
              <w:spacing w:after="0"/>
              <w:rPr>
                <w:sz w:val="20"/>
                <w:szCs w:val="20"/>
                <w:color w:val="auto"/>
              </w:rPr>
            </w:pPr>
            <w:r>
              <w:rPr>
                <w:rFonts w:ascii="Arial" w:cs="Arial" w:eastAsia="Arial" w:hAnsi="Arial"/>
                <w:sz w:val="16"/>
                <w:szCs w:val="16"/>
                <w:color w:val="auto"/>
                <w:w w:val="99"/>
              </w:rPr>
              <w:t>—</w:t>
            </w:r>
          </w:p>
        </w:tc>
        <w:tc>
          <w:tcPr>
            <w:tcW w:w="620" w:type="dxa"/>
            <w:vAlign w:val="bottom"/>
          </w:tcPr>
          <w:p>
            <w:pPr>
              <w:jc w:val="center"/>
              <w:spacing w:after="0"/>
              <w:rPr>
                <w:sz w:val="20"/>
                <w:szCs w:val="20"/>
                <w:color w:val="auto"/>
              </w:rPr>
            </w:pPr>
            <w:r>
              <w:rPr>
                <w:rFonts w:ascii="Arial" w:cs="Arial" w:eastAsia="Arial" w:hAnsi="Arial"/>
                <w:sz w:val="16"/>
                <w:szCs w:val="16"/>
                <w:color w:val="auto"/>
              </w:rPr>
              <w:t>—</w:t>
            </w:r>
          </w:p>
        </w:tc>
        <w:tc>
          <w:tcPr>
            <w:tcW w:w="1300" w:type="dxa"/>
            <w:vAlign w:val="bottom"/>
          </w:tcPr>
          <w:p>
            <w:pPr>
              <w:jc w:val="center"/>
              <w:ind w:left="24"/>
              <w:spacing w:after="0"/>
              <w:rPr>
                <w:sz w:val="20"/>
                <w:szCs w:val="20"/>
                <w:color w:val="auto"/>
              </w:rPr>
            </w:pPr>
            <w:r>
              <w:rPr>
                <w:rFonts w:ascii="Arial" w:cs="Arial" w:eastAsia="Arial" w:hAnsi="Arial"/>
                <w:sz w:val="16"/>
                <w:szCs w:val="16"/>
                <w:color w:val="auto"/>
              </w:rPr>
              <w:t>2.78</w:t>
            </w: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1"/>
        </w:trPr>
        <w:tc>
          <w:tcPr>
            <w:tcW w:w="720" w:type="dxa"/>
            <w:vAlign w:val="bottom"/>
          </w:tcPr>
          <w:p>
            <w:pPr>
              <w:spacing w:after="0"/>
              <w:rPr>
                <w:sz w:val="24"/>
                <w:szCs w:val="24"/>
                <w:color w:val="auto"/>
              </w:rPr>
            </w:pPr>
          </w:p>
        </w:tc>
        <w:tc>
          <w:tcPr>
            <w:tcW w:w="3480" w:type="dxa"/>
            <w:vAlign w:val="bottom"/>
            <w:gridSpan w:val="2"/>
            <w:shd w:val="clear" w:color="auto" w:fill="F2F2F2"/>
          </w:tcPr>
          <w:p>
            <w:pPr>
              <w:ind w:left="60"/>
              <w:spacing w:after="0"/>
              <w:rPr>
                <w:sz w:val="20"/>
                <w:szCs w:val="20"/>
                <w:color w:val="auto"/>
              </w:rPr>
            </w:pPr>
            <w:r>
              <w:rPr>
                <w:rFonts w:ascii="Arial" w:cs="Arial" w:eastAsia="Arial" w:hAnsi="Arial"/>
                <w:sz w:val="16"/>
                <w:szCs w:val="16"/>
                <w:color w:val="auto"/>
              </w:rPr>
              <w:t>Entities affiliated with BlackRock, Inc.</w:t>
            </w:r>
            <w:r>
              <w:rPr>
                <w:rFonts w:ascii="Arial" w:cs="Arial" w:eastAsia="Arial" w:hAnsi="Arial"/>
                <w:sz w:val="26"/>
                <w:szCs w:val="26"/>
                <w:color w:val="auto"/>
                <w:vertAlign w:val="superscript"/>
              </w:rPr>
              <w:t>(4)</w:t>
            </w:r>
          </w:p>
        </w:tc>
        <w:tc>
          <w:tcPr>
            <w:tcW w:w="1820" w:type="dxa"/>
            <w:vAlign w:val="bottom"/>
            <w:shd w:val="clear" w:color="auto" w:fill="F2F2F2"/>
          </w:tcPr>
          <w:p>
            <w:pPr>
              <w:jc w:val="center"/>
              <w:ind w:right="124"/>
              <w:spacing w:after="0"/>
              <w:rPr>
                <w:sz w:val="20"/>
                <w:szCs w:val="20"/>
                <w:color w:val="auto"/>
              </w:rPr>
            </w:pPr>
            <w:r>
              <w:rPr>
                <w:rFonts w:ascii="Arial" w:cs="Arial" w:eastAsia="Arial" w:hAnsi="Arial"/>
                <w:sz w:val="16"/>
                <w:szCs w:val="16"/>
                <w:color w:val="auto"/>
              </w:rPr>
              <w:t>20,133,494</w:t>
            </w:r>
          </w:p>
        </w:tc>
        <w:tc>
          <w:tcPr>
            <w:tcW w:w="740" w:type="dxa"/>
            <w:vAlign w:val="bottom"/>
            <w:shd w:val="clear" w:color="auto" w:fill="F2F2F2"/>
          </w:tcPr>
          <w:p>
            <w:pPr>
              <w:jc w:val="right"/>
              <w:ind w:right="242"/>
              <w:spacing w:after="0"/>
              <w:rPr>
                <w:sz w:val="20"/>
                <w:szCs w:val="20"/>
                <w:color w:val="auto"/>
              </w:rPr>
            </w:pPr>
            <w:r>
              <w:rPr>
                <w:rFonts w:ascii="Arial" w:cs="Arial" w:eastAsia="Arial" w:hAnsi="Arial"/>
                <w:sz w:val="16"/>
                <w:szCs w:val="16"/>
                <w:color w:val="auto"/>
              </w:rPr>
              <w:t>6.82</w:t>
            </w:r>
          </w:p>
        </w:tc>
        <w:tc>
          <w:tcPr>
            <w:tcW w:w="1600" w:type="dxa"/>
            <w:vAlign w:val="bottom"/>
            <w:shd w:val="clear" w:color="auto" w:fill="F2F2F2"/>
          </w:tcPr>
          <w:p>
            <w:pPr>
              <w:jc w:val="center"/>
              <w:ind w:right="4"/>
              <w:spacing w:after="0"/>
              <w:rPr>
                <w:sz w:val="20"/>
                <w:szCs w:val="20"/>
                <w:color w:val="auto"/>
              </w:rPr>
            </w:pPr>
            <w:r>
              <w:rPr>
                <w:rFonts w:ascii="Arial" w:cs="Arial" w:eastAsia="Arial" w:hAnsi="Arial"/>
                <w:sz w:val="16"/>
                <w:szCs w:val="16"/>
                <w:color w:val="auto"/>
                <w:w w:val="99"/>
              </w:rPr>
              <w:t>—</w:t>
            </w:r>
          </w:p>
        </w:tc>
        <w:tc>
          <w:tcPr>
            <w:tcW w:w="620" w:type="dxa"/>
            <w:vAlign w:val="bottom"/>
            <w:shd w:val="clear" w:color="auto" w:fill="F2F2F2"/>
          </w:tcPr>
          <w:p>
            <w:pPr>
              <w:jc w:val="center"/>
              <w:spacing w:after="0"/>
              <w:rPr>
                <w:sz w:val="20"/>
                <w:szCs w:val="20"/>
                <w:color w:val="auto"/>
              </w:rPr>
            </w:pPr>
            <w:r>
              <w:rPr>
                <w:rFonts w:ascii="Arial" w:cs="Arial" w:eastAsia="Arial" w:hAnsi="Arial"/>
                <w:sz w:val="16"/>
                <w:szCs w:val="16"/>
                <w:color w:val="auto"/>
              </w:rPr>
              <w:t>—</w:t>
            </w:r>
          </w:p>
        </w:tc>
        <w:tc>
          <w:tcPr>
            <w:tcW w:w="1300" w:type="dxa"/>
            <w:vAlign w:val="bottom"/>
            <w:shd w:val="clear" w:color="auto" w:fill="F2F2F2"/>
          </w:tcPr>
          <w:p>
            <w:pPr>
              <w:jc w:val="center"/>
              <w:ind w:left="24"/>
              <w:spacing w:after="0"/>
              <w:rPr>
                <w:sz w:val="20"/>
                <w:szCs w:val="20"/>
                <w:color w:val="auto"/>
              </w:rPr>
            </w:pPr>
            <w:r>
              <w:rPr>
                <w:rFonts w:ascii="Arial" w:cs="Arial" w:eastAsia="Arial" w:hAnsi="Arial"/>
                <w:sz w:val="16"/>
                <w:szCs w:val="16"/>
                <w:color w:val="auto"/>
              </w:rPr>
              <w:t>1.80</w:t>
            </w: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720" w:type="dxa"/>
            <w:vAlign w:val="bottom"/>
          </w:tcPr>
          <w:p>
            <w:pPr>
              <w:spacing w:after="0"/>
              <w:rPr>
                <w:sz w:val="14"/>
                <w:szCs w:val="14"/>
                <w:color w:val="auto"/>
              </w:rPr>
            </w:pPr>
          </w:p>
        </w:tc>
        <w:tc>
          <w:tcPr>
            <w:tcW w:w="200" w:type="dxa"/>
            <w:vAlign w:val="bottom"/>
          </w:tcPr>
          <w:p>
            <w:pPr>
              <w:spacing w:after="0"/>
              <w:rPr>
                <w:sz w:val="20"/>
                <w:szCs w:val="20"/>
                <w:color w:val="auto"/>
              </w:rPr>
            </w:pPr>
            <w:r>
              <w:rPr>
                <w:rFonts w:ascii="Arial" w:cs="Arial" w:eastAsia="Arial" w:hAnsi="Arial"/>
                <w:sz w:val="11"/>
                <w:szCs w:val="11"/>
                <w:color w:val="auto"/>
              </w:rPr>
              <w:t>†</w:t>
            </w:r>
          </w:p>
        </w:tc>
        <w:tc>
          <w:tcPr>
            <w:tcW w:w="10100" w:type="dxa"/>
            <w:vAlign w:val="bottom"/>
            <w:gridSpan w:val="7"/>
            <w:vMerge w:val="restart"/>
          </w:tcPr>
          <w:p>
            <w:pPr>
              <w:ind w:left="40"/>
              <w:spacing w:after="0"/>
              <w:rPr>
                <w:sz w:val="20"/>
                <w:szCs w:val="20"/>
                <w:color w:val="auto"/>
              </w:rPr>
            </w:pPr>
            <w:r>
              <w:rPr>
                <w:rFonts w:ascii="Arial" w:cs="Arial" w:eastAsia="Arial" w:hAnsi="Arial"/>
                <w:sz w:val="14"/>
                <w:szCs w:val="14"/>
                <w:color w:val="auto"/>
              </w:rPr>
              <w:t>The Class B common stock is convertible at any time by the holder into shares of Class A common stock on a share-for-share basis, such that</w:t>
            </w:r>
          </w:p>
        </w:tc>
        <w:tc>
          <w:tcPr>
            <w:tcW w:w="0" w:type="dxa"/>
            <w:vAlign w:val="bottom"/>
          </w:tcPr>
          <w:p>
            <w:pPr>
              <w:spacing w:after="0"/>
              <w:rPr>
                <w:sz w:val="1"/>
                <w:szCs w:val="1"/>
                <w:color w:val="auto"/>
              </w:rPr>
            </w:pPr>
          </w:p>
        </w:tc>
      </w:tr>
      <w:tr>
        <w:trPr>
          <w:trHeight w:val="92"/>
        </w:trPr>
        <w:tc>
          <w:tcPr>
            <w:tcW w:w="72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100" w:type="dxa"/>
            <w:vAlign w:val="bottom"/>
            <w:gridSpan w:val="7"/>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75"/>
        </w:trPr>
        <w:tc>
          <w:tcPr>
            <w:tcW w:w="7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440" w:type="dxa"/>
            <w:vAlign w:val="bottom"/>
            <w:gridSpan w:val="4"/>
          </w:tcPr>
          <w:p>
            <w:pPr>
              <w:ind w:left="40"/>
              <w:spacing w:after="0"/>
              <w:rPr>
                <w:sz w:val="20"/>
                <w:szCs w:val="20"/>
                <w:color w:val="auto"/>
              </w:rPr>
            </w:pPr>
            <w:r>
              <w:rPr>
                <w:rFonts w:ascii="Arial" w:cs="Arial" w:eastAsia="Arial" w:hAnsi="Arial"/>
                <w:sz w:val="14"/>
                <w:szCs w:val="14"/>
                <w:color w:val="auto"/>
              </w:rPr>
              <w:t>each holder of Class B common stock beneficially owns an equivalent number of Class A common stock.</w:t>
            </w:r>
          </w:p>
        </w:tc>
        <w:tc>
          <w:tcPr>
            <w:tcW w:w="62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920" w:type="dxa"/>
            <w:vAlign w:val="bottom"/>
            <w:gridSpan w:val="2"/>
          </w:tcPr>
          <w:p>
            <w:pPr>
              <w:ind w:left="720"/>
              <w:spacing w:after="0"/>
              <w:rPr>
                <w:sz w:val="20"/>
                <w:szCs w:val="20"/>
                <w:color w:val="auto"/>
              </w:rPr>
            </w:pPr>
            <w:r>
              <w:rPr>
                <w:rFonts w:ascii="Arial" w:cs="Arial" w:eastAsia="Arial" w:hAnsi="Arial"/>
                <w:sz w:val="14"/>
                <w:szCs w:val="14"/>
                <w:color w:val="auto"/>
              </w:rPr>
              <w:t>#</w:t>
            </w: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Percentage total voting power represents voting power with respect to all shares of our Class A common stock and Class B common stock, as a</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single class. Each holder of Class B common stock shall be entitled to ten votes per share of Class B common stock and each holder of Class A</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common stock shall be entitled to one vote per share of Class A common stock on all matters submitted to our stockholders for a vote. The</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Class A common stock and Class B common stock vote together as a single class on all matters submitted to a vote of our stockholders, except as</w:t>
            </w:r>
          </w:p>
        </w:tc>
        <w:tc>
          <w:tcPr>
            <w:tcW w:w="0" w:type="dxa"/>
            <w:vAlign w:val="bottom"/>
          </w:tcPr>
          <w:p>
            <w:pPr>
              <w:spacing w:after="0"/>
              <w:rPr>
                <w:sz w:val="1"/>
                <w:szCs w:val="1"/>
                <w:color w:val="auto"/>
              </w:rPr>
            </w:pPr>
          </w:p>
        </w:tc>
      </w:tr>
      <w:tr>
        <w:trPr>
          <w:trHeight w:val="175"/>
        </w:trPr>
        <w:tc>
          <w:tcPr>
            <w:tcW w:w="920" w:type="dxa"/>
            <w:vAlign w:val="bottom"/>
            <w:gridSpan w:val="2"/>
            <w:vMerge w:val="restart"/>
          </w:tcPr>
          <w:p>
            <w:pPr>
              <w:ind w:left="720"/>
              <w:spacing w:after="0"/>
              <w:rPr>
                <w:sz w:val="20"/>
                <w:szCs w:val="20"/>
                <w:color w:val="auto"/>
              </w:rPr>
            </w:pPr>
            <w:r>
              <w:rPr>
                <w:rFonts w:ascii="Arial" w:cs="Arial" w:eastAsia="Arial" w:hAnsi="Arial"/>
                <w:sz w:val="11"/>
                <w:szCs w:val="11"/>
                <w:color w:val="auto"/>
              </w:rPr>
              <w:t>*</w:t>
            </w:r>
          </w:p>
        </w:tc>
        <w:tc>
          <w:tcPr>
            <w:tcW w:w="3280" w:type="dxa"/>
            <w:vAlign w:val="bottom"/>
          </w:tcPr>
          <w:p>
            <w:pPr>
              <w:ind w:left="40"/>
              <w:spacing w:after="0"/>
              <w:rPr>
                <w:sz w:val="20"/>
                <w:szCs w:val="20"/>
                <w:color w:val="auto"/>
              </w:rPr>
            </w:pPr>
            <w:r>
              <w:rPr>
                <w:rFonts w:ascii="Arial" w:cs="Arial" w:eastAsia="Arial" w:hAnsi="Arial"/>
                <w:sz w:val="14"/>
                <w:szCs w:val="14"/>
                <w:color w:val="auto"/>
              </w:rPr>
              <w:t>may otherwise be required by law.</w:t>
            </w:r>
          </w:p>
        </w:tc>
        <w:tc>
          <w:tcPr>
            <w:tcW w:w="182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60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84"/>
        </w:trPr>
        <w:tc>
          <w:tcPr>
            <w:tcW w:w="920" w:type="dxa"/>
            <w:vAlign w:val="bottom"/>
            <w:gridSpan w:val="2"/>
            <w:vMerge w:val="continue"/>
          </w:tcPr>
          <w:p>
            <w:pPr>
              <w:spacing w:after="0"/>
              <w:rPr>
                <w:sz w:val="7"/>
                <w:szCs w:val="7"/>
                <w:color w:val="auto"/>
              </w:rPr>
            </w:pPr>
          </w:p>
        </w:tc>
        <w:tc>
          <w:tcPr>
            <w:tcW w:w="7440" w:type="dxa"/>
            <w:vAlign w:val="bottom"/>
            <w:gridSpan w:val="4"/>
            <w:vMerge w:val="restart"/>
          </w:tcPr>
          <w:p>
            <w:pPr>
              <w:ind w:left="40"/>
              <w:spacing w:after="0"/>
              <w:rPr>
                <w:sz w:val="20"/>
                <w:szCs w:val="20"/>
                <w:color w:val="auto"/>
              </w:rPr>
            </w:pPr>
            <w:r>
              <w:rPr>
                <w:rFonts w:ascii="Arial" w:cs="Arial" w:eastAsia="Arial" w:hAnsi="Arial"/>
                <w:sz w:val="14"/>
                <w:szCs w:val="14"/>
                <w:color w:val="auto"/>
              </w:rPr>
              <w:t>Represents beneficial ownership of less than one percent (1%) of the outstanding shares of our common stock.</w:t>
            </w:r>
          </w:p>
        </w:tc>
        <w:tc>
          <w:tcPr>
            <w:tcW w:w="620" w:type="dxa"/>
            <w:vAlign w:val="bottom"/>
          </w:tcPr>
          <w:p>
            <w:pPr>
              <w:spacing w:after="0"/>
              <w:rPr>
                <w:sz w:val="7"/>
                <w:szCs w:val="7"/>
                <w:color w:val="auto"/>
              </w:rPr>
            </w:pPr>
          </w:p>
        </w:tc>
        <w:tc>
          <w:tcPr>
            <w:tcW w:w="1300" w:type="dxa"/>
            <w:vAlign w:val="bottom"/>
          </w:tcPr>
          <w:p>
            <w:pPr>
              <w:spacing w:after="0"/>
              <w:rPr>
                <w:sz w:val="7"/>
                <w:szCs w:val="7"/>
                <w:color w:val="auto"/>
              </w:rPr>
            </w:pPr>
          </w:p>
        </w:tc>
        <w:tc>
          <w:tcPr>
            <w:tcW w:w="7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19"/>
        </w:trPr>
        <w:tc>
          <w:tcPr>
            <w:tcW w:w="920" w:type="dxa"/>
            <w:vAlign w:val="bottom"/>
            <w:gridSpan w:val="2"/>
          </w:tcPr>
          <w:p>
            <w:pPr>
              <w:ind w:left="720"/>
              <w:spacing w:after="0" w:line="120" w:lineRule="exact"/>
              <w:rPr>
                <w:sz w:val="20"/>
                <w:szCs w:val="20"/>
                <w:color w:val="auto"/>
              </w:rPr>
            </w:pPr>
            <w:r>
              <w:rPr>
                <w:rFonts w:ascii="Arial" w:cs="Arial" w:eastAsia="Arial" w:hAnsi="Arial"/>
                <w:sz w:val="11"/>
                <w:szCs w:val="11"/>
                <w:color w:val="auto"/>
              </w:rPr>
              <w:t>(1)</w:t>
            </w:r>
          </w:p>
        </w:tc>
        <w:tc>
          <w:tcPr>
            <w:tcW w:w="7440" w:type="dxa"/>
            <w:vAlign w:val="bottom"/>
            <w:gridSpan w:val="4"/>
            <w:vMerge w:val="continue"/>
          </w:tcPr>
          <w:p>
            <w:pPr>
              <w:spacing w:after="0"/>
              <w:rPr>
                <w:sz w:val="10"/>
                <w:szCs w:val="10"/>
                <w:color w:val="auto"/>
              </w:rPr>
            </w:pPr>
          </w:p>
        </w:tc>
        <w:tc>
          <w:tcPr>
            <w:tcW w:w="62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7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100" w:type="dxa"/>
            <w:vAlign w:val="bottom"/>
            <w:gridSpan w:val="7"/>
          </w:tcPr>
          <w:p>
            <w:pPr>
              <w:ind w:left="40"/>
              <w:spacing w:after="0" w:line="148" w:lineRule="exact"/>
              <w:rPr>
                <w:sz w:val="20"/>
                <w:szCs w:val="20"/>
                <w:color w:val="auto"/>
              </w:rPr>
            </w:pPr>
            <w:r>
              <w:rPr>
                <w:rFonts w:ascii="Arial" w:cs="Arial" w:eastAsia="Arial" w:hAnsi="Arial"/>
                <w:sz w:val="14"/>
                <w:szCs w:val="14"/>
                <w:color w:val="auto"/>
              </w:rPr>
              <w:t>Consists of (i) 1,030,451 shares of Class A common stock held by Andrew W. Houston, (ii) 500,000 shares of Class A common stock and</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72,738,073 shares of Class B common stock held by the Andrew W. Houston Revocable Trust dated 9/7/2011, for which Mr. Houston serves as</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trustee, (iii) 716,728 shares of Class A Common Stock and 7,893,764 shares of Class B Common Stock held by the Houston Remainder Trust u/a/</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12/30/2010, for which Mr. Houston serves as trustee, (iv) 500,500 shares of Class B common stock held by the Houston 2012 Irrevocable</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Children’s Trust dated 4/12/2012, for which Mr. Houston serves as trustee, (v) 8,266,666 shares of Class A common stock underlying RSAs</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subject to Mr. Houston’s Co-Founder Grant, and (vi) 46,400 shares of Class A common stock subject to certain proxy agreements, in which</w:t>
            </w:r>
          </w:p>
        </w:tc>
        <w:tc>
          <w:tcPr>
            <w:tcW w:w="0" w:type="dxa"/>
            <w:vAlign w:val="bottom"/>
          </w:tcPr>
          <w:p>
            <w:pPr>
              <w:spacing w:after="0"/>
              <w:rPr>
                <w:sz w:val="1"/>
                <w:szCs w:val="1"/>
                <w:color w:val="auto"/>
              </w:rPr>
            </w:pPr>
          </w:p>
        </w:tc>
      </w:tr>
      <w:tr>
        <w:trPr>
          <w:trHeight w:val="176"/>
        </w:trPr>
        <w:tc>
          <w:tcPr>
            <w:tcW w:w="920" w:type="dxa"/>
            <w:vAlign w:val="bottom"/>
            <w:gridSpan w:val="2"/>
            <w:vMerge w:val="restart"/>
          </w:tcPr>
          <w:p>
            <w:pPr>
              <w:ind w:left="720"/>
              <w:spacing w:after="0"/>
              <w:rPr>
                <w:sz w:val="20"/>
                <w:szCs w:val="20"/>
                <w:color w:val="auto"/>
              </w:rPr>
            </w:pPr>
            <w:r>
              <w:rPr>
                <w:rFonts w:ascii="Arial" w:cs="Arial" w:eastAsia="Arial" w:hAnsi="Arial"/>
                <w:sz w:val="11"/>
                <w:szCs w:val="11"/>
                <w:color w:val="auto"/>
              </w:rPr>
              <w:t>(2)</w:t>
            </w:r>
          </w:p>
        </w:tc>
        <w:tc>
          <w:tcPr>
            <w:tcW w:w="3280" w:type="dxa"/>
            <w:vAlign w:val="bottom"/>
          </w:tcPr>
          <w:p>
            <w:pPr>
              <w:ind w:left="40"/>
              <w:spacing w:after="0"/>
              <w:rPr>
                <w:sz w:val="20"/>
                <w:szCs w:val="20"/>
                <w:color w:val="auto"/>
              </w:rPr>
            </w:pPr>
            <w:r>
              <w:rPr>
                <w:rFonts w:ascii="Arial" w:cs="Arial" w:eastAsia="Arial" w:hAnsi="Arial"/>
                <w:sz w:val="14"/>
                <w:szCs w:val="14"/>
                <w:color w:val="auto"/>
              </w:rPr>
              <w:t>Mr. Houston has voting power over the shares.</w:t>
            </w:r>
          </w:p>
        </w:tc>
        <w:tc>
          <w:tcPr>
            <w:tcW w:w="182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60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920" w:type="dxa"/>
            <w:vAlign w:val="bottom"/>
            <w:gridSpan w:val="2"/>
            <w:vMerge w:val="continue"/>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Consists of (i) 178,058 shares of Class A common stock held by the Paul E. Jacobs Trust dated November 7, 2014, for which Mr. Jacobs serves</w:t>
            </w:r>
          </w:p>
        </w:tc>
        <w:tc>
          <w:tcPr>
            <w:tcW w:w="0" w:type="dxa"/>
            <w:vAlign w:val="bottom"/>
          </w:tcPr>
          <w:p>
            <w:pPr>
              <w:spacing w:after="0"/>
              <w:rPr>
                <w:sz w:val="1"/>
                <w:szCs w:val="1"/>
                <w:color w:val="auto"/>
              </w:rPr>
            </w:pPr>
          </w:p>
        </w:tc>
      </w:tr>
      <w:tr>
        <w:trPr>
          <w:trHeight w:val="175"/>
        </w:trPr>
        <w:tc>
          <w:tcPr>
            <w:tcW w:w="920" w:type="dxa"/>
            <w:vAlign w:val="bottom"/>
            <w:gridSpan w:val="2"/>
            <w:vMerge w:val="restart"/>
          </w:tcPr>
          <w:p>
            <w:pPr>
              <w:ind w:left="720"/>
              <w:spacing w:after="0"/>
              <w:rPr>
                <w:sz w:val="20"/>
                <w:szCs w:val="20"/>
                <w:color w:val="auto"/>
              </w:rPr>
            </w:pPr>
            <w:r>
              <w:rPr>
                <w:rFonts w:ascii="Arial" w:cs="Arial" w:eastAsia="Arial" w:hAnsi="Arial"/>
                <w:sz w:val="11"/>
                <w:szCs w:val="11"/>
                <w:color w:val="auto"/>
              </w:rPr>
              <w:t>(3)</w:t>
            </w:r>
          </w:p>
        </w:tc>
        <w:tc>
          <w:tcPr>
            <w:tcW w:w="5100" w:type="dxa"/>
            <w:vAlign w:val="bottom"/>
            <w:gridSpan w:val="2"/>
          </w:tcPr>
          <w:p>
            <w:pPr>
              <w:ind w:left="40"/>
              <w:spacing w:after="0"/>
              <w:rPr>
                <w:sz w:val="20"/>
                <w:szCs w:val="20"/>
                <w:color w:val="auto"/>
              </w:rPr>
            </w:pPr>
            <w:r>
              <w:rPr>
                <w:rFonts w:ascii="Arial" w:cs="Arial" w:eastAsia="Arial" w:hAnsi="Arial"/>
                <w:sz w:val="14"/>
                <w:szCs w:val="14"/>
                <w:color w:val="auto"/>
              </w:rPr>
              <w:t>as trustee, (ii) and 92,214 shares of Class A common stock held by Mr. Jacobs.</w:t>
            </w:r>
          </w:p>
        </w:tc>
        <w:tc>
          <w:tcPr>
            <w:tcW w:w="740" w:type="dxa"/>
            <w:vAlign w:val="bottom"/>
          </w:tcPr>
          <w:p>
            <w:pPr>
              <w:spacing w:after="0"/>
              <w:rPr>
                <w:sz w:val="15"/>
                <w:szCs w:val="15"/>
                <w:color w:val="auto"/>
              </w:rPr>
            </w:pPr>
          </w:p>
        </w:tc>
        <w:tc>
          <w:tcPr>
            <w:tcW w:w="160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920" w:type="dxa"/>
            <w:vAlign w:val="bottom"/>
            <w:gridSpan w:val="2"/>
            <w:vMerge w:val="continue"/>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Consists of shares of Class A common stock beneficially owned as of December 31, 2021 according to a Schedule 13G/A filed with the SEC by</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The Vanguard Group, Inc. (“</w:t>
            </w:r>
            <w:r>
              <w:rPr>
                <w:rFonts w:ascii="Arial" w:cs="Arial" w:eastAsia="Arial" w:hAnsi="Arial"/>
                <w:sz w:val="14"/>
                <w:szCs w:val="14"/>
                <w:b w:val="1"/>
                <w:bCs w:val="1"/>
                <w:i w:val="1"/>
                <w:iCs w:val="1"/>
                <w:color w:val="auto"/>
              </w:rPr>
              <w:t>Vanguard</w:t>
            </w:r>
            <w:r>
              <w:rPr>
                <w:rFonts w:ascii="Arial" w:cs="Arial" w:eastAsia="Arial" w:hAnsi="Arial"/>
                <w:sz w:val="14"/>
                <w:szCs w:val="14"/>
                <w:color w:val="auto"/>
              </w:rPr>
              <w:t>”) on February 9, 2022. Vanguard has beneficial ownership of 31,220,139 shares of Class A common stock.</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The Schedule 13G/A reports that Vanguard has shared voting power with respect to 278,100 shares of Class A common stock, sole dispositive</w:t>
            </w:r>
          </w:p>
        </w:tc>
        <w:tc>
          <w:tcPr>
            <w:tcW w:w="0" w:type="dxa"/>
            <w:vAlign w:val="bottom"/>
          </w:tcPr>
          <w:p>
            <w:pPr>
              <w:spacing w:after="0"/>
              <w:rPr>
                <w:sz w:val="1"/>
                <w:szCs w:val="1"/>
                <w:color w:val="auto"/>
              </w:rPr>
            </w:pPr>
          </w:p>
        </w:tc>
      </w:tr>
      <w:tr>
        <w:trPr>
          <w:trHeight w:val="162"/>
        </w:trPr>
        <w:tc>
          <w:tcPr>
            <w:tcW w:w="7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100" w:type="dxa"/>
            <w:vAlign w:val="bottom"/>
            <w:gridSpan w:val="7"/>
          </w:tcPr>
          <w:p>
            <w:pPr>
              <w:ind w:left="40"/>
              <w:spacing w:after="0"/>
              <w:rPr>
                <w:sz w:val="20"/>
                <w:szCs w:val="20"/>
                <w:color w:val="auto"/>
              </w:rPr>
            </w:pPr>
            <w:r>
              <w:rPr>
                <w:rFonts w:ascii="Arial" w:cs="Arial" w:eastAsia="Arial" w:hAnsi="Arial"/>
                <w:sz w:val="14"/>
                <w:szCs w:val="14"/>
                <w:color w:val="auto"/>
              </w:rPr>
              <w:t>power with respect to 30,738,888 shares of Class A common stock and shared dispositive power over 481,251 shares of Class A common stock.</w:t>
            </w:r>
          </w:p>
        </w:tc>
        <w:tc>
          <w:tcPr>
            <w:tcW w:w="0" w:type="dxa"/>
            <w:vAlign w:val="bottom"/>
          </w:tcPr>
          <w:p>
            <w:pPr>
              <w:spacing w:after="0"/>
              <w:rPr>
                <w:sz w:val="1"/>
                <w:szCs w:val="1"/>
                <w:color w:val="auto"/>
              </w:rPr>
            </w:pPr>
          </w:p>
        </w:tc>
      </w:tr>
      <w:tr>
        <w:trPr>
          <w:trHeight w:val="203"/>
        </w:trPr>
        <w:tc>
          <w:tcPr>
            <w:tcW w:w="920" w:type="dxa"/>
            <w:vAlign w:val="bottom"/>
            <w:gridSpan w:val="2"/>
          </w:tcPr>
          <w:p>
            <w:pPr>
              <w:ind w:left="720"/>
              <w:spacing w:after="0"/>
              <w:rPr>
                <w:sz w:val="20"/>
                <w:szCs w:val="20"/>
                <w:color w:val="auto"/>
              </w:rPr>
            </w:pPr>
            <w:r>
              <w:rPr>
                <w:rFonts w:ascii="Arial" w:cs="Arial" w:eastAsia="Arial" w:hAnsi="Arial"/>
                <w:sz w:val="11"/>
                <w:szCs w:val="11"/>
                <w:color w:val="auto"/>
              </w:rPr>
              <w:t>(4)</w:t>
            </w:r>
          </w:p>
        </w:tc>
        <w:tc>
          <w:tcPr>
            <w:tcW w:w="5100" w:type="dxa"/>
            <w:vAlign w:val="bottom"/>
            <w:gridSpan w:val="2"/>
          </w:tcPr>
          <w:p>
            <w:pPr>
              <w:ind w:left="40"/>
              <w:spacing w:after="0"/>
              <w:rPr>
                <w:sz w:val="20"/>
                <w:szCs w:val="20"/>
                <w:color w:val="auto"/>
              </w:rPr>
            </w:pPr>
            <w:r>
              <w:rPr>
                <w:rFonts w:ascii="Arial" w:cs="Arial" w:eastAsia="Arial" w:hAnsi="Arial"/>
                <w:sz w:val="14"/>
                <w:szCs w:val="14"/>
                <w:color w:val="auto"/>
              </w:rPr>
              <w:t>The address for Vanguard is 100 Vanguard Blvd., Malvern, PA 19355.</w:t>
            </w:r>
          </w:p>
        </w:tc>
        <w:tc>
          <w:tcPr>
            <w:tcW w:w="740" w:type="dxa"/>
            <w:vAlign w:val="bottom"/>
          </w:tcPr>
          <w:p>
            <w:pPr>
              <w:spacing w:after="0"/>
              <w:rPr>
                <w:sz w:val="17"/>
                <w:szCs w:val="17"/>
                <w:color w:val="auto"/>
              </w:rPr>
            </w:pPr>
          </w:p>
        </w:tc>
        <w:tc>
          <w:tcPr>
            <w:tcW w:w="16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3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48"/>
        </w:trPr>
        <w:tc>
          <w:tcPr>
            <w:tcW w:w="7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100" w:type="dxa"/>
            <w:vAlign w:val="bottom"/>
            <w:gridSpan w:val="7"/>
          </w:tcPr>
          <w:p>
            <w:pPr>
              <w:ind w:left="40"/>
              <w:spacing w:after="0" w:line="148" w:lineRule="exact"/>
              <w:rPr>
                <w:sz w:val="20"/>
                <w:szCs w:val="20"/>
                <w:color w:val="auto"/>
              </w:rPr>
            </w:pPr>
            <w:r>
              <w:rPr>
                <w:rFonts w:ascii="Arial" w:cs="Arial" w:eastAsia="Arial" w:hAnsi="Arial"/>
                <w:sz w:val="14"/>
                <w:szCs w:val="14"/>
                <w:color w:val="auto"/>
              </w:rPr>
              <w:t>Consists of shares of Class A common stock beneficially owned as of December 31, 2021 according to a Schedule 13G filed with the SEC by</w:t>
            </w:r>
          </w:p>
        </w:tc>
        <w:tc>
          <w:tcPr>
            <w:tcW w:w="0" w:type="dxa"/>
            <w:vAlign w:val="bottom"/>
          </w:tcPr>
          <w:p>
            <w:pPr>
              <w:spacing w:after="0"/>
              <w:rPr>
                <w:sz w:val="1"/>
                <w:szCs w:val="1"/>
                <w:color w:val="auto"/>
              </w:rPr>
            </w:pPr>
          </w:p>
        </w:tc>
      </w:tr>
      <w:tr>
        <w:trPr>
          <w:trHeight w:val="144"/>
        </w:trPr>
        <w:tc>
          <w:tcPr>
            <w:tcW w:w="7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100" w:type="dxa"/>
            <w:vAlign w:val="bottom"/>
            <w:gridSpan w:val="7"/>
          </w:tcPr>
          <w:p>
            <w:pPr>
              <w:ind w:left="40"/>
              <w:spacing w:after="0" w:line="145" w:lineRule="exact"/>
              <w:rPr>
                <w:sz w:val="20"/>
                <w:szCs w:val="20"/>
                <w:color w:val="auto"/>
              </w:rPr>
            </w:pPr>
            <w:r>
              <w:rPr>
                <w:rFonts w:ascii="Arial" w:cs="Arial" w:eastAsia="Arial" w:hAnsi="Arial"/>
                <w:sz w:val="14"/>
                <w:szCs w:val="14"/>
                <w:color w:val="auto"/>
              </w:rPr>
              <w:t>BlackRock, Inc. (“</w:t>
            </w:r>
            <w:r>
              <w:rPr>
                <w:rFonts w:ascii="Arial" w:cs="Arial" w:eastAsia="Arial" w:hAnsi="Arial"/>
                <w:sz w:val="14"/>
                <w:szCs w:val="14"/>
                <w:b w:val="1"/>
                <w:bCs w:val="1"/>
                <w:i w:val="1"/>
                <w:iCs w:val="1"/>
                <w:color w:val="auto"/>
              </w:rPr>
              <w:t>BlackRock</w:t>
            </w:r>
            <w:r>
              <w:rPr>
                <w:rFonts w:ascii="Arial" w:cs="Arial" w:eastAsia="Arial" w:hAnsi="Arial"/>
                <w:sz w:val="14"/>
                <w:szCs w:val="14"/>
                <w:color w:val="auto"/>
              </w:rPr>
              <w:t>”) on February 8, 2022. BlackRock has beneficial ownership of 20,133,494 shares of Class A common stock. The</w:t>
            </w:r>
          </w:p>
        </w:tc>
        <w:tc>
          <w:tcPr>
            <w:tcW w:w="0" w:type="dxa"/>
            <w:vAlign w:val="bottom"/>
          </w:tcPr>
          <w:p>
            <w:pPr>
              <w:spacing w:after="0"/>
              <w:rPr>
                <w:sz w:val="1"/>
                <w:szCs w:val="1"/>
                <w:color w:val="auto"/>
              </w:rPr>
            </w:pPr>
          </w:p>
        </w:tc>
      </w:tr>
      <w:tr>
        <w:trPr>
          <w:trHeight w:val="288"/>
        </w:trPr>
        <w:tc>
          <w:tcPr>
            <w:tcW w:w="7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100" w:type="dxa"/>
            <w:vAlign w:val="bottom"/>
            <w:gridSpan w:val="2"/>
          </w:tcPr>
          <w:p>
            <w:pPr>
              <w:ind w:left="40"/>
              <w:spacing w:after="0"/>
              <w:rPr>
                <w:sz w:val="20"/>
                <w:szCs w:val="20"/>
                <w:color w:val="auto"/>
              </w:rPr>
            </w:pPr>
            <w:r>
              <w:rPr>
                <w:rFonts w:ascii="Arial" w:cs="Arial" w:eastAsia="Arial" w:hAnsi="Arial"/>
                <w:sz w:val="14"/>
                <w:szCs w:val="14"/>
                <w:color w:val="auto"/>
              </w:rPr>
              <w:t>address for BlackRock is 55 East 52</w:t>
            </w:r>
            <w:r>
              <w:rPr>
                <w:rFonts w:ascii="Arial" w:cs="Arial" w:eastAsia="Arial" w:hAnsi="Arial"/>
                <w:sz w:val="21"/>
                <w:szCs w:val="21"/>
                <w:color w:val="auto"/>
                <w:vertAlign w:val="superscript"/>
              </w:rPr>
              <w:t>nd</w:t>
            </w:r>
            <w:r>
              <w:rPr>
                <w:rFonts w:ascii="Arial" w:cs="Arial" w:eastAsia="Arial" w:hAnsi="Arial"/>
                <w:sz w:val="14"/>
                <w:szCs w:val="14"/>
                <w:color w:val="auto"/>
              </w:rPr>
              <w:t xml:space="preserve"> Street, New York, New York 10055.</w:t>
            </w:r>
          </w:p>
        </w:tc>
        <w:tc>
          <w:tcPr>
            <w:tcW w:w="74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920" w:type="dxa"/>
            <w:vAlign w:val="bottom"/>
            <w:gridSpan w:val="2"/>
          </w:tcPr>
          <w:p>
            <w:pPr>
              <w:ind w:left="720"/>
              <w:spacing w:after="0"/>
              <w:rPr>
                <w:sz w:val="20"/>
                <w:szCs w:val="20"/>
                <w:color w:val="auto"/>
              </w:rPr>
            </w:pPr>
            <w:r>
              <w:rPr>
                <w:rFonts w:ascii="Arial" w:cs="Arial" w:eastAsia="Arial" w:hAnsi="Arial"/>
                <w:sz w:val="14"/>
                <w:szCs w:val="14"/>
                <w:b w:val="1"/>
                <w:bCs w:val="1"/>
                <w:color w:val="auto"/>
              </w:rPr>
              <w:t>58</w:t>
            </w:r>
          </w:p>
        </w:tc>
        <w:tc>
          <w:tcPr>
            <w:tcW w:w="5840" w:type="dxa"/>
            <w:vAlign w:val="bottom"/>
            <w:gridSpan w:val="3"/>
          </w:tcPr>
          <w:p>
            <w:pPr>
              <w:ind w:left="32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6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8"/>
        </w:trPr>
        <w:tc>
          <w:tcPr>
            <w:tcW w:w="72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3280" w:type="dxa"/>
            <w:vAlign w:val="bottom"/>
            <w:tcBorders>
              <w:bottom w:val="single" w:sz="8" w:color="auto"/>
            </w:tcBorders>
          </w:tcPr>
          <w:p>
            <w:pPr>
              <w:spacing w:after="0"/>
              <w:rPr>
                <w:sz w:val="13"/>
                <w:szCs w:val="13"/>
                <w:color w:val="auto"/>
              </w:rPr>
            </w:pPr>
          </w:p>
        </w:tc>
        <w:tc>
          <w:tcPr>
            <w:tcW w:w="1820" w:type="dxa"/>
            <w:vAlign w:val="bottom"/>
            <w:tcBorders>
              <w:bottom w:val="single" w:sz="8" w:color="auto"/>
            </w:tcBorders>
          </w:tcPr>
          <w:p>
            <w:pPr>
              <w:spacing w:after="0"/>
              <w:rPr>
                <w:sz w:val="13"/>
                <w:szCs w:val="13"/>
                <w:color w:val="auto"/>
              </w:rPr>
            </w:pPr>
          </w:p>
        </w:tc>
        <w:tc>
          <w:tcPr>
            <w:tcW w:w="740" w:type="dxa"/>
            <w:vAlign w:val="bottom"/>
            <w:tcBorders>
              <w:bottom w:val="single" w:sz="8" w:color="auto"/>
            </w:tcBorders>
          </w:tcPr>
          <w:p>
            <w:pPr>
              <w:spacing w:after="0"/>
              <w:rPr>
                <w:sz w:val="13"/>
                <w:szCs w:val="13"/>
                <w:color w:val="auto"/>
              </w:rPr>
            </w:pPr>
          </w:p>
        </w:tc>
        <w:tc>
          <w:tcPr>
            <w:tcW w:w="160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spacing w:after="0"/>
              <w:rPr>
                <w:sz w:val="13"/>
                <w:szCs w:val="13"/>
                <w:color w:val="auto"/>
              </w:rPr>
            </w:pPr>
          </w:p>
        </w:tc>
        <w:tc>
          <w:tcPr>
            <w:tcW w:w="1300" w:type="dxa"/>
            <w:vAlign w:val="bottom"/>
            <w:tcBorders>
              <w:bottom w:val="single" w:sz="8" w:color="auto"/>
            </w:tcBorders>
          </w:tcPr>
          <w:p>
            <w:pPr>
              <w:spacing w:after="0"/>
              <w:rPr>
                <w:sz w:val="13"/>
                <w:szCs w:val="13"/>
                <w:color w:val="auto"/>
              </w:rPr>
            </w:pPr>
          </w:p>
        </w:tc>
        <w:tc>
          <w:tcPr>
            <w:tcW w:w="74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63" w:right="439" w:bottom="1440" w:gutter="0" w:footer="0" w:header="0"/>
        </w:sectPr>
      </w:pPr>
    </w:p>
    <w:bookmarkStart w:id="62" w:name="page63"/>
    <w:bookmarkEnd w:id="62"/>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right="1460"/>
        <w:spacing w:after="0" w:line="286" w:lineRule="auto"/>
        <w:rPr>
          <w:sz w:val="20"/>
          <w:szCs w:val="20"/>
          <w:color w:val="auto"/>
        </w:rPr>
      </w:pPr>
      <w:r>
        <w:rPr>
          <w:rFonts w:ascii="Arial" w:cs="Arial" w:eastAsia="Arial" w:hAnsi="Arial"/>
          <w:sz w:val="32"/>
          <w:szCs w:val="32"/>
          <w:color w:val="0063A6"/>
        </w:rPr>
        <w:t>CERTAIN RELATIONSHIPS, RELATED PARTY AND OTHER TRANSACTIONS</w:t>
      </w:r>
    </w:p>
    <w:p>
      <w:pPr>
        <w:spacing w:after="0" w:line="55" w:lineRule="exact"/>
        <w:rPr>
          <w:sz w:val="20"/>
          <w:szCs w:val="20"/>
          <w:color w:val="auto"/>
        </w:rPr>
      </w:pPr>
    </w:p>
    <w:p>
      <w:pPr>
        <w:ind w:left="720" w:right="740"/>
        <w:spacing w:after="0" w:line="286" w:lineRule="auto"/>
        <w:rPr>
          <w:sz w:val="20"/>
          <w:szCs w:val="20"/>
          <w:color w:val="auto"/>
        </w:rPr>
      </w:pPr>
      <w:r>
        <w:rPr>
          <w:rFonts w:ascii="Arial" w:cs="Arial" w:eastAsia="Arial" w:hAnsi="Arial"/>
          <w:sz w:val="16"/>
          <w:szCs w:val="16"/>
          <w:color w:val="auto"/>
        </w:rPr>
        <w:t>Since the beginning of our last fiscal year we have not engaged in any transactions that would require disclosure under Item 404(a) of Regulation S-K, and are not aware of any such transactions currently proposed.</w:t>
      </w:r>
    </w:p>
    <w:p>
      <w:pPr>
        <w:spacing w:after="0" w:line="299" w:lineRule="exact"/>
        <w:rPr>
          <w:sz w:val="20"/>
          <w:szCs w:val="20"/>
          <w:color w:val="auto"/>
        </w:rPr>
      </w:pPr>
    </w:p>
    <w:p>
      <w:pPr>
        <w:ind w:left="720"/>
        <w:spacing w:after="0"/>
        <w:rPr>
          <w:sz w:val="20"/>
          <w:szCs w:val="20"/>
          <w:color w:val="auto"/>
        </w:rPr>
      </w:pPr>
      <w:r>
        <w:rPr>
          <w:rFonts w:ascii="Arial" w:cs="Arial" w:eastAsia="Arial" w:hAnsi="Arial"/>
          <w:sz w:val="26"/>
          <w:szCs w:val="26"/>
          <w:color w:val="0063A6"/>
        </w:rPr>
        <w:t>Policies and Procedures for Related Person Transactions</w:t>
      </w:r>
    </w:p>
    <w:p>
      <w:pPr>
        <w:spacing w:after="0" w:line="179" w:lineRule="exact"/>
        <w:rPr>
          <w:sz w:val="20"/>
          <w:szCs w:val="20"/>
          <w:color w:val="auto"/>
        </w:rPr>
      </w:pPr>
    </w:p>
    <w:p>
      <w:pPr>
        <w:ind w:left="720" w:right="760"/>
        <w:spacing w:after="0" w:line="253" w:lineRule="auto"/>
        <w:rPr>
          <w:sz w:val="20"/>
          <w:szCs w:val="20"/>
          <w:color w:val="auto"/>
        </w:rPr>
      </w:pPr>
      <w:r>
        <w:rPr>
          <w:rFonts w:ascii="Arial" w:cs="Arial" w:eastAsia="Arial" w:hAnsi="Arial"/>
          <w:sz w:val="16"/>
          <w:szCs w:val="16"/>
          <w:color w:val="auto"/>
        </w:rPr>
        <w:t>Our audit committee has the primary responsibility for reviewing and approving or disapproving “related party transactions,” which are transactions between us and related persons in which the aggregate amount involved exceeds or may be expected to exceed $120,000 and in which a related person has or will have a direct or indirect material interest. Our policy regarding transactions between us and related persons provides that a related person is defined as a director, executive officer, nominee for director, or greater than 5% beneficial owner of our common stock, in each case since the beginning of the most recently completed year, and any of their immediate family members. Our audit committee charter provides that our audit committee shall review and approve or disapprove any related party transactions.</w:t>
      </w:r>
    </w:p>
    <w:p>
      <w:pPr>
        <w:spacing w:after="0" w:line="127" w:lineRule="exact"/>
        <w:rPr>
          <w:sz w:val="20"/>
          <w:szCs w:val="20"/>
          <w:color w:val="auto"/>
        </w:rPr>
      </w:pPr>
    </w:p>
    <w:p>
      <w:pPr>
        <w:ind w:left="720" w:right="720"/>
        <w:spacing w:after="0" w:line="248" w:lineRule="auto"/>
        <w:rPr>
          <w:sz w:val="20"/>
          <w:szCs w:val="20"/>
          <w:color w:val="auto"/>
        </w:rPr>
      </w:pPr>
      <w:r>
        <w:rPr>
          <w:rFonts w:ascii="Arial" w:cs="Arial" w:eastAsia="Arial" w:hAnsi="Arial"/>
          <w:sz w:val="16"/>
          <w:szCs w:val="16"/>
          <w:color w:val="auto"/>
        </w:rPr>
        <w:t>Under this policy, all related person transactions may be consummated or continued only if approved or ratified by our audit committee. In determining whether to approve or ratify any such proposal, our audit committee will take into account, among other factors it deems appropriate, (i) whether the transaction is on terms no less favorable than terms generally available to an unaffiliated third party and (ii) the extent of the related person’s interest in the transaction. The policy grants standing pre-approval of certain transactions, including (i) executive compensation governed by our standard compensation and benefits policies, (ii) director compensation arrangements governed by our standard director compensation policies, (iii) transactions with another company at which a related person’s only relationship is as an employee (other than an executive officer), director, or beneficial owner of less than 10% equity interest of that company, if the aggregate amount involved does not exceed the greater of $200,000 or 2% of the recipient’s consolidated gross revenues, (iv) charitable contributions, grants or endowments by us to a charitable organization, foundation or university where the related person’s only relationship is as an employee (other than an executive officer), or director, if the aggregate amount involved does not exceed the lesser of $1,000,000 or 2% of the charitable organization’s total annual receipts,</w:t>
      </w:r>
    </w:p>
    <w:p>
      <w:pPr>
        <w:spacing w:after="0" w:line="4" w:lineRule="exact"/>
        <w:rPr>
          <w:sz w:val="20"/>
          <w:szCs w:val="20"/>
          <w:color w:val="auto"/>
        </w:rPr>
      </w:pPr>
    </w:p>
    <w:p>
      <w:pPr>
        <w:ind w:left="720" w:right="780" w:hanging="4"/>
        <w:spacing w:after="0" w:line="265" w:lineRule="auto"/>
        <w:tabs>
          <w:tab w:leader="none" w:pos="954" w:val="left"/>
        </w:tabs>
        <w:numPr>
          <w:ilvl w:val="0"/>
          <w:numId w:val="86"/>
        </w:numPr>
        <w:rPr>
          <w:rFonts w:ascii="Arial" w:cs="Arial" w:eastAsia="Arial" w:hAnsi="Arial"/>
          <w:sz w:val="16"/>
          <w:szCs w:val="16"/>
          <w:color w:val="auto"/>
        </w:rPr>
      </w:pPr>
      <w:r>
        <w:rPr>
          <w:rFonts w:ascii="Arial" w:cs="Arial" w:eastAsia="Arial" w:hAnsi="Arial"/>
          <w:sz w:val="16"/>
          <w:szCs w:val="16"/>
          <w:color w:val="auto"/>
        </w:rPr>
        <w:t>any transaction available to all U.S. employees generally, and (vi) transactions where a related person’s interest arises solely from the ownership of our common stock and all holders of our common stock received the same benefit on a pro rata basis.</w:t>
      </w:r>
    </w:p>
    <w:p>
      <w:pPr>
        <w:spacing w:after="0" w:line="177"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9920" w:type="dxa"/>
            <w:vAlign w:val="bottom"/>
          </w:tcPr>
          <w:p>
            <w:pPr>
              <w:ind w:left="4380"/>
              <w:spacing w:after="0"/>
              <w:rPr>
                <w:sz w:val="20"/>
                <w:szCs w:val="20"/>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tc>
        <w:tc>
          <w:tcPr>
            <w:tcW w:w="1100" w:type="dxa"/>
            <w:vAlign w:val="bottom"/>
          </w:tcPr>
          <w:p>
            <w:pPr>
              <w:jc w:val="right"/>
              <w:ind w:right="648"/>
              <w:spacing w:after="0"/>
              <w:rPr>
                <w:sz w:val="20"/>
                <w:szCs w:val="20"/>
                <w:color w:val="auto"/>
              </w:rPr>
            </w:pPr>
            <w:r>
              <w:rPr>
                <w:rFonts w:ascii="Arial" w:cs="Arial" w:eastAsia="Arial" w:hAnsi="Arial"/>
                <w:sz w:val="14"/>
                <w:szCs w:val="14"/>
                <w:b w:val="1"/>
                <w:bCs w:val="1"/>
                <w:color w:val="auto"/>
              </w:rPr>
              <w:t>59</w:t>
            </w:r>
          </w:p>
        </w:tc>
      </w:tr>
      <w:tr>
        <w:trPr>
          <w:trHeight w:val="171"/>
        </w:trPr>
        <w:tc>
          <w:tcPr>
            <w:tcW w:w="99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r>
    </w:tbl>
    <w:p>
      <w:pPr>
        <w:sectPr>
          <w:pgSz w:w="11900" w:h="16838" w:orient="portrait"/>
          <w:cols w:equalWidth="0" w:num="1">
            <w:col w:w="11020"/>
          </w:cols>
          <w:pgMar w:left="440" w:top="263" w:right="439" w:bottom="1440" w:gutter="0" w:footer="0" w:header="0"/>
        </w:sectPr>
      </w:pPr>
    </w:p>
    <w:bookmarkStart w:id="63" w:name="page64"/>
    <w:bookmarkEnd w:id="63"/>
    <w:p>
      <w:pPr>
        <w:ind w:left="4"/>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4"/>
        <w:spacing w:after="0"/>
        <w:rPr>
          <w:sz w:val="20"/>
          <w:szCs w:val="20"/>
          <w:color w:val="auto"/>
        </w:rPr>
      </w:pPr>
      <w:r>
        <w:rPr>
          <w:rFonts w:ascii="Arial" w:cs="Arial" w:eastAsia="Arial" w:hAnsi="Arial"/>
          <w:sz w:val="32"/>
          <w:szCs w:val="32"/>
          <w:color w:val="0063A6"/>
        </w:rPr>
        <w:t>OTHER MATTERS</w:t>
      </w:r>
    </w:p>
    <w:p>
      <w:pPr>
        <w:spacing w:after="0" w:line="357" w:lineRule="exact"/>
        <w:rPr>
          <w:sz w:val="20"/>
          <w:szCs w:val="20"/>
          <w:color w:val="auto"/>
        </w:rPr>
      </w:pPr>
    </w:p>
    <w:p>
      <w:pPr>
        <w:ind w:left="4"/>
        <w:spacing w:after="0"/>
        <w:rPr>
          <w:sz w:val="20"/>
          <w:szCs w:val="20"/>
          <w:color w:val="auto"/>
        </w:rPr>
      </w:pPr>
      <w:r>
        <w:rPr>
          <w:rFonts w:ascii="Arial" w:cs="Arial" w:eastAsia="Arial" w:hAnsi="Arial"/>
          <w:sz w:val="26"/>
          <w:szCs w:val="26"/>
          <w:color w:val="0063A6"/>
        </w:rPr>
        <w:t>Delinquent Section 16(a) Reports</w:t>
      </w:r>
    </w:p>
    <w:p>
      <w:pPr>
        <w:spacing w:after="0" w:line="179" w:lineRule="exact"/>
        <w:rPr>
          <w:sz w:val="20"/>
          <w:szCs w:val="20"/>
          <w:color w:val="auto"/>
        </w:rPr>
      </w:pPr>
    </w:p>
    <w:p>
      <w:pPr>
        <w:ind w:left="4" w:right="320"/>
        <w:spacing w:after="0" w:line="266" w:lineRule="auto"/>
        <w:rPr>
          <w:sz w:val="20"/>
          <w:szCs w:val="20"/>
          <w:color w:val="auto"/>
        </w:rPr>
      </w:pPr>
      <w:r>
        <w:rPr>
          <w:rFonts w:ascii="Arial" w:cs="Arial" w:eastAsia="Arial" w:hAnsi="Arial"/>
          <w:sz w:val="16"/>
          <w:szCs w:val="16"/>
          <w:color w:val="auto"/>
        </w:rPr>
        <w:t>Section 16(a) of the Exchange Act requires that our executive officers and directors, and persons who own more than 10% of our common stock, file reports of ownership and changes of ownership with the SEC. Such directors, executive officers and 10% stockholders are required by SEC regulation to furnish us with copies of all Section 16(a) forms they file.</w:t>
      </w:r>
    </w:p>
    <w:p>
      <w:pPr>
        <w:spacing w:after="0" w:line="117" w:lineRule="exact"/>
        <w:rPr>
          <w:sz w:val="20"/>
          <w:szCs w:val="20"/>
          <w:color w:val="auto"/>
        </w:rPr>
      </w:pPr>
    </w:p>
    <w:p>
      <w:pPr>
        <w:ind w:left="4"/>
        <w:spacing w:after="0" w:line="259" w:lineRule="auto"/>
        <w:rPr>
          <w:sz w:val="20"/>
          <w:szCs w:val="20"/>
          <w:color w:val="auto"/>
        </w:rPr>
      </w:pPr>
      <w:r>
        <w:rPr>
          <w:rFonts w:ascii="Arial" w:cs="Arial" w:eastAsia="Arial" w:hAnsi="Arial"/>
          <w:sz w:val="16"/>
          <w:szCs w:val="16"/>
          <w:color w:val="auto"/>
        </w:rPr>
        <w:t>SEC regulations require us to identify in this proxy statement anyone who filed a required report late during the most recent fiscal year. Based solely on our review of copies of such forms that we have received, or written representations from reporting persons, we believe that during the fiscal year ended December 31, 2021, all executive officers, directors and greater than 10% stockholders complied with all applicable SEC filing requirements, with the exceptions noted below:</w:t>
      </w:r>
    </w:p>
    <w:p>
      <w:pPr>
        <w:spacing w:after="0" w:line="124" w:lineRule="exact"/>
        <w:rPr>
          <w:sz w:val="20"/>
          <w:szCs w:val="20"/>
          <w:color w:val="auto"/>
        </w:rPr>
      </w:pPr>
    </w:p>
    <w:p>
      <w:pPr>
        <w:ind w:left="284" w:right="1020" w:hanging="284"/>
        <w:spacing w:after="0" w:line="286" w:lineRule="auto"/>
        <w:tabs>
          <w:tab w:leader="none" w:pos="284" w:val="left"/>
        </w:tabs>
        <w:numPr>
          <w:ilvl w:val="0"/>
          <w:numId w:val="87"/>
        </w:numPr>
        <w:rPr>
          <w:rFonts w:ascii="Arial" w:cs="Arial" w:eastAsia="Arial" w:hAnsi="Arial"/>
          <w:sz w:val="16"/>
          <w:szCs w:val="16"/>
          <w:color w:val="0063A6"/>
        </w:rPr>
      </w:pPr>
      <w:r>
        <w:rPr>
          <w:rFonts w:ascii="Arial" w:cs="Arial" w:eastAsia="Arial" w:hAnsi="Arial"/>
          <w:sz w:val="16"/>
          <w:szCs w:val="16"/>
          <w:color w:val="auto"/>
        </w:rPr>
        <w:t>Due to an administrative error, a late Form 4 report was filed for Timothy Regan on May 20, 2021 to report a sale of 16,405 shares of our Class A common stock on May 17, 2021.</w:t>
      </w:r>
    </w:p>
    <w:p>
      <w:pPr>
        <w:spacing w:after="0" w:line="299" w:lineRule="exact"/>
        <w:rPr>
          <w:sz w:val="20"/>
          <w:szCs w:val="20"/>
          <w:color w:val="auto"/>
        </w:rPr>
      </w:pPr>
    </w:p>
    <w:p>
      <w:pPr>
        <w:ind w:left="4"/>
        <w:spacing w:after="0"/>
        <w:rPr>
          <w:sz w:val="20"/>
          <w:szCs w:val="20"/>
          <w:color w:val="auto"/>
        </w:rPr>
      </w:pPr>
      <w:r>
        <w:rPr>
          <w:rFonts w:ascii="Arial" w:cs="Arial" w:eastAsia="Arial" w:hAnsi="Arial"/>
          <w:sz w:val="26"/>
          <w:szCs w:val="26"/>
          <w:color w:val="0063A6"/>
        </w:rPr>
        <w:t>Fiscal Year 2021 Annual Report and SEC Filings</w:t>
      </w:r>
    </w:p>
    <w:p>
      <w:pPr>
        <w:spacing w:after="0" w:line="179" w:lineRule="exact"/>
        <w:rPr>
          <w:sz w:val="20"/>
          <w:szCs w:val="20"/>
          <w:color w:val="auto"/>
        </w:rPr>
      </w:pPr>
    </w:p>
    <w:p>
      <w:pPr>
        <w:ind w:left="4" w:right="20"/>
        <w:spacing w:after="0" w:line="256" w:lineRule="auto"/>
        <w:rPr>
          <w:sz w:val="20"/>
          <w:szCs w:val="20"/>
          <w:color w:val="auto"/>
        </w:rPr>
      </w:pPr>
      <w:r>
        <w:rPr>
          <w:rFonts w:ascii="Arial" w:cs="Arial" w:eastAsia="Arial" w:hAnsi="Arial"/>
          <w:sz w:val="16"/>
          <w:szCs w:val="16"/>
          <w:color w:val="auto"/>
        </w:rPr>
        <w:t>Our financial statements for our fiscal year ended December 31, 2021 are included in our Annual Report on Form 10-K, which we will make available to stockholders at the same time as this proxy statement. This proxy statement and our annual report are posted on our website at investors.dropbox.com and are available from the SEC on its website at www.sec.gov. You may also obtain a copy of our annual report without charge by sending a written request to Dropbox, Inc., Attention: Corporate Secretary, 1800 Owens Street, San Francisco, California 94158.</w:t>
      </w:r>
    </w:p>
    <w:p>
      <w:pPr>
        <w:spacing w:after="0" w:line="193" w:lineRule="exact"/>
        <w:rPr>
          <w:sz w:val="20"/>
          <w:szCs w:val="20"/>
          <w:color w:val="auto"/>
        </w:rPr>
      </w:pPr>
    </w:p>
    <w:p>
      <w:pPr>
        <w:jc w:val="center"/>
        <w:ind w:right="-23"/>
        <w:spacing w:after="0"/>
        <w:rPr>
          <w:sz w:val="20"/>
          <w:szCs w:val="20"/>
          <w:color w:val="auto"/>
        </w:rPr>
      </w:pPr>
      <w:r>
        <w:rPr>
          <w:rFonts w:ascii="Arial" w:cs="Arial" w:eastAsia="Arial" w:hAnsi="Arial"/>
          <w:sz w:val="16"/>
          <w:szCs w:val="16"/>
          <w:color w:val="auto"/>
        </w:rPr>
        <w:t>* * *</w:t>
      </w:r>
    </w:p>
    <w:p>
      <w:pPr>
        <w:spacing w:after="0" w:line="167" w:lineRule="exact"/>
        <w:rPr>
          <w:sz w:val="20"/>
          <w:szCs w:val="20"/>
          <w:color w:val="auto"/>
        </w:rPr>
      </w:pPr>
    </w:p>
    <w:p>
      <w:pPr>
        <w:ind w:left="4" w:right="240"/>
        <w:spacing w:after="0" w:line="266" w:lineRule="auto"/>
        <w:rPr>
          <w:sz w:val="20"/>
          <w:szCs w:val="20"/>
          <w:color w:val="auto"/>
        </w:rPr>
      </w:pPr>
      <w:r>
        <w:rPr>
          <w:rFonts w:ascii="Arial" w:cs="Arial" w:eastAsia="Arial" w:hAnsi="Arial"/>
          <w:sz w:val="16"/>
          <w:szCs w:val="16"/>
          <w:color w:val="auto"/>
        </w:rPr>
        <w:t>The board of directors does not know of any other matters to be presented at the Annual Meeting. If any additional matters are properly presented at the Annual Meeting, the persons named in the enclosed proxy card will have discretion to vote the shares of our common stock they represent in accordance with their own judgment on such matters.</w:t>
      </w:r>
    </w:p>
    <w:p>
      <w:pPr>
        <w:spacing w:after="0" w:line="117" w:lineRule="exact"/>
        <w:rPr>
          <w:sz w:val="20"/>
          <w:szCs w:val="20"/>
          <w:color w:val="auto"/>
        </w:rPr>
      </w:pPr>
    </w:p>
    <w:p>
      <w:pPr>
        <w:jc w:val="both"/>
        <w:ind w:left="4" w:right="80"/>
        <w:spacing w:after="0" w:line="266" w:lineRule="auto"/>
        <w:rPr>
          <w:sz w:val="20"/>
          <w:szCs w:val="20"/>
          <w:color w:val="auto"/>
        </w:rPr>
      </w:pPr>
      <w:r>
        <w:rPr>
          <w:rFonts w:ascii="Arial" w:cs="Arial" w:eastAsia="Arial" w:hAnsi="Arial"/>
          <w:sz w:val="16"/>
          <w:szCs w:val="16"/>
          <w:color w:val="auto"/>
        </w:rPr>
        <w:t>It is important that your shares of our common stock be represented at the Annual Meeting, regardless of the number of shares that you hold. You are, therefore, urged to vote by telephone or by using the Internet as instructed on the enclosed proxy card or execute and return, at your earliest convenience, the enclosed proxy card in the envelope that has also been provided.</w:t>
      </w:r>
    </w:p>
    <w:p>
      <w:pPr>
        <w:spacing w:after="0" w:line="185"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THE BOARD OF DIRECTORS</w:t>
      </w:r>
    </w:p>
    <w:p>
      <w:pPr>
        <w:spacing w:after="0" w:line="194" w:lineRule="exact"/>
        <w:rPr>
          <w:sz w:val="20"/>
          <w:szCs w:val="20"/>
          <w:color w:val="auto"/>
        </w:rPr>
      </w:pPr>
    </w:p>
    <w:p>
      <w:pPr>
        <w:ind w:left="4"/>
        <w:spacing w:after="0"/>
        <w:rPr>
          <w:sz w:val="20"/>
          <w:szCs w:val="20"/>
          <w:color w:val="auto"/>
        </w:rPr>
      </w:pPr>
      <w:r>
        <w:rPr>
          <w:rFonts w:ascii="Arial" w:cs="Arial" w:eastAsia="Arial" w:hAnsi="Arial"/>
          <w:sz w:val="16"/>
          <w:szCs w:val="16"/>
          <w:color w:val="auto"/>
        </w:rPr>
        <w:t>San Francisco, California</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color w:val="auto"/>
        </w:rPr>
        <w:t>April 5, 2022</w:t>
      </w:r>
    </w:p>
    <w:p>
      <w:pPr>
        <w:spacing w:after="0" w:line="210" w:lineRule="exact"/>
        <w:rPr>
          <w:sz w:val="20"/>
          <w:szCs w:val="20"/>
          <w:color w:val="auto"/>
        </w:rPr>
      </w:pPr>
    </w:p>
    <w:p>
      <w:pPr>
        <w:ind w:left="524" w:hanging="524"/>
        <w:spacing w:after="0"/>
        <w:tabs>
          <w:tab w:leader="none" w:pos="524" w:val="left"/>
        </w:tabs>
        <w:numPr>
          <w:ilvl w:val="0"/>
          <w:numId w:val="88"/>
        </w:numPr>
        <w:rPr>
          <w:rFonts w:ascii="Arial" w:cs="Arial" w:eastAsia="Arial" w:hAnsi="Arial"/>
          <w:sz w:val="14"/>
          <w:szCs w:val="14"/>
          <w:b w:val="1"/>
          <w:bCs w:val="1"/>
          <w:color w:val="auto"/>
        </w:rPr>
      </w:pPr>
      <w:r>
        <w:rPr>
          <w:rFonts w:ascii="Arial" w:cs="Arial" w:eastAsia="Arial" w:hAnsi="Arial"/>
          <w:sz w:val="14"/>
          <w:szCs w:val="14"/>
          <w:b w:val="1"/>
          <w:bCs w:val="1"/>
          <w:color w:val="0063A6"/>
        </w:rPr>
        <w:t xml:space="preserve">Dropbox, Inc. </w:t>
      </w:r>
      <w:r>
        <w:rPr>
          <w:rFonts w:ascii="Arial" w:cs="Arial" w:eastAsia="Arial" w:hAnsi="Arial"/>
          <w:sz w:val="14"/>
          <w:szCs w:val="14"/>
          <w:color w:val="0063A6"/>
        </w:rPr>
        <w:t>Proxy Statement and Notice of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118110</wp:posOffset>
            </wp:positionV>
            <wp:extent cx="6995160" cy="171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44"/>
          </w:cols>
          <w:pgMar w:left="1156" w:top="263" w:right="1199" w:bottom="1440" w:gutter="0" w:footer="0" w:header="0"/>
        </w:sectPr>
      </w:pPr>
    </w:p>
    <w:bookmarkStart w:id="64" w:name="page65"/>
    <w:bookmarkEnd w:id="64"/>
    <w:p>
      <w:pPr>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color w:val="0063A6"/>
        </w:rPr>
        <w:t>APPENDIX A</w:t>
      </w:r>
    </w:p>
    <w:p>
      <w:pPr>
        <w:spacing w:after="0" w:line="357" w:lineRule="exact"/>
        <w:rPr>
          <w:sz w:val="20"/>
          <w:szCs w:val="20"/>
          <w:color w:val="auto"/>
        </w:rPr>
      </w:pPr>
    </w:p>
    <w:p>
      <w:pPr>
        <w:spacing w:after="0"/>
        <w:rPr>
          <w:sz w:val="20"/>
          <w:szCs w:val="20"/>
          <w:color w:val="auto"/>
        </w:rPr>
      </w:pPr>
      <w:r>
        <w:rPr>
          <w:rFonts w:ascii="Arial" w:cs="Arial" w:eastAsia="Arial" w:hAnsi="Arial"/>
          <w:sz w:val="26"/>
          <w:szCs w:val="26"/>
          <w:color w:val="0063A6"/>
        </w:rPr>
        <w:t>Reconciliation of GAAP financial measures to non-GAAP financial measures</w:t>
      </w:r>
    </w:p>
    <w:p>
      <w:pPr>
        <w:spacing w:after="0" w:line="179" w:lineRule="exact"/>
        <w:rPr>
          <w:sz w:val="20"/>
          <w:szCs w:val="20"/>
          <w:color w:val="auto"/>
        </w:rPr>
      </w:pPr>
    </w:p>
    <w:p>
      <w:pPr>
        <w:ind w:right="60"/>
        <w:spacing w:after="0" w:line="253" w:lineRule="auto"/>
        <w:rPr>
          <w:sz w:val="20"/>
          <w:szCs w:val="20"/>
          <w:color w:val="auto"/>
        </w:rPr>
      </w:pPr>
      <w:r>
        <w:rPr>
          <w:rFonts w:ascii="Arial" w:cs="Arial" w:eastAsia="Arial" w:hAnsi="Arial"/>
          <w:sz w:val="16"/>
          <w:szCs w:val="16"/>
          <w:color w:val="auto"/>
        </w:rPr>
        <w:t>This proxy statement contains information regarding two non-GAAP financial measures: non-GAAP operating margin and free cash flow, each of which are not calculated in accordance with GAAP. Non-GAAP operating margin is calculated as our non-GAAP income (loss) from operations divided by revenue. Non-GAAP income (loss) from operations differs from GAAP in that it excludes stock-based compensation expense, amortization of acquired intangible assets, other acquisition-related expenses, which include third-party diligence costs and expenses related to key employee holdback agreements, impairment charges related to real estate assets and costs related to workforce reduction. Free cash flow differs from GAAP net cash provided by operating activities in that it treats capital expenditures as a reduction to net cash provided by operating activities.</w:t>
      </w:r>
    </w:p>
    <w:p>
      <w:pPr>
        <w:spacing w:after="0" w:line="127" w:lineRule="exact"/>
        <w:rPr>
          <w:sz w:val="20"/>
          <w:szCs w:val="20"/>
          <w:color w:val="auto"/>
        </w:rPr>
      </w:pPr>
    </w:p>
    <w:p>
      <w:pPr>
        <w:ind w:right="720"/>
        <w:spacing w:after="0" w:line="266" w:lineRule="auto"/>
        <w:rPr>
          <w:sz w:val="20"/>
          <w:szCs w:val="20"/>
          <w:color w:val="auto"/>
        </w:rPr>
      </w:pPr>
      <w:r>
        <w:rPr>
          <w:rFonts w:ascii="Arial" w:cs="Arial" w:eastAsia="Arial" w:hAnsi="Arial"/>
          <w:sz w:val="16"/>
          <w:szCs w:val="16"/>
          <w:color w:val="auto"/>
        </w:rPr>
        <w:t>We believe that these non-GAAP financial measures are appropriate to enhance an overall understanding of our fiscal 2021 performance in relation to the principal elements of Dropbox’s annual executive compensation program considered by the compensation committee, as described in the “</w:t>
      </w:r>
      <w:r>
        <w:rPr>
          <w:rFonts w:ascii="Arial" w:cs="Arial" w:eastAsia="Arial" w:hAnsi="Arial"/>
          <w:sz w:val="16"/>
          <w:szCs w:val="16"/>
          <w:i w:val="1"/>
          <w:iCs w:val="1"/>
          <w:color w:val="auto"/>
        </w:rPr>
        <w:t>Compensation Discussion and Analysis</w:t>
      </w:r>
      <w:r>
        <w:rPr>
          <w:rFonts w:ascii="Arial" w:cs="Arial" w:eastAsia="Arial" w:hAnsi="Arial"/>
          <w:sz w:val="16"/>
          <w:szCs w:val="16"/>
          <w:color w:val="auto"/>
        </w:rPr>
        <w:t>” section of this proxy statement.</w:t>
      </w:r>
    </w:p>
    <w:p>
      <w:pPr>
        <w:spacing w:after="0" w:line="117" w:lineRule="exact"/>
        <w:rPr>
          <w:sz w:val="20"/>
          <w:szCs w:val="20"/>
          <w:color w:val="auto"/>
        </w:rPr>
      </w:pPr>
    </w:p>
    <w:p>
      <w:pPr>
        <w:ind w:right="100"/>
        <w:spacing w:after="0" w:line="253" w:lineRule="auto"/>
        <w:rPr>
          <w:sz w:val="20"/>
          <w:szCs w:val="20"/>
          <w:color w:val="auto"/>
        </w:rPr>
      </w:pPr>
      <w:r>
        <w:rPr>
          <w:rFonts w:ascii="Arial" w:cs="Arial" w:eastAsia="Arial" w:hAnsi="Arial"/>
          <w:sz w:val="16"/>
          <w:szCs w:val="16"/>
          <w:color w:val="auto"/>
        </w:rPr>
        <w:t>The use of non-GAAP operating margin and free cash flow has certain limitations as they do not reflect all items of income, expense, and cash expenditures, as applicable, that affect Dropbox’s operations. Dropbox compensates for these limitations by reconciling the non-GAAP financial measures to the most comparable GAAP financial measures. These non-GAAP financial measures should be considered in addition to, not as a substitute for or in isolation from, measures prepared in accordance with GAAP. Further, these non-GAAP measures may differ from the non-GAAP information used by other companies, including peer companies, and therefore comparability may be limited. Management encourages stockholders and others to review Dropbox’s financial information in its entirety and not rely on a single financial measure.</w:t>
      </w:r>
    </w:p>
    <w:p>
      <w:pPr>
        <w:spacing w:after="0" w:line="127" w:lineRule="exact"/>
        <w:rPr>
          <w:sz w:val="20"/>
          <w:szCs w:val="20"/>
          <w:color w:val="auto"/>
        </w:rPr>
      </w:pPr>
    </w:p>
    <w:p>
      <w:pPr>
        <w:ind w:right="340"/>
        <w:spacing w:after="0" w:line="266" w:lineRule="auto"/>
        <w:rPr>
          <w:sz w:val="20"/>
          <w:szCs w:val="20"/>
          <w:color w:val="auto"/>
        </w:rPr>
      </w:pPr>
      <w:r>
        <w:rPr>
          <w:rFonts w:ascii="Arial" w:cs="Arial" w:eastAsia="Arial" w:hAnsi="Arial"/>
          <w:sz w:val="16"/>
          <w:szCs w:val="16"/>
          <w:color w:val="auto"/>
        </w:rPr>
        <w:t>Stockholders should review the reconciliation of non-GAAP operating margin and free cash flow to their most directly comparable GAAP financial measures, as provided in the following tables (in millions, except for percentages, which may not foot due to rounding):</w:t>
      </w:r>
    </w:p>
    <w:p>
      <w:pPr>
        <w:spacing w:after="0" w:line="333" w:lineRule="exact"/>
        <w:rPr>
          <w:sz w:val="20"/>
          <w:szCs w:val="20"/>
          <w:color w:val="auto"/>
        </w:rPr>
      </w:pPr>
    </w:p>
    <w:p>
      <w:pPr>
        <w:spacing w:after="0"/>
        <w:rPr>
          <w:sz w:val="20"/>
          <w:szCs w:val="20"/>
          <w:color w:val="auto"/>
        </w:rPr>
      </w:pPr>
      <w:r>
        <w:rPr>
          <w:rFonts w:ascii="Arial" w:cs="Arial" w:eastAsia="Arial" w:hAnsi="Arial"/>
          <w:sz w:val="16"/>
          <w:szCs w:val="16"/>
          <w:b w:val="1"/>
          <w:bCs w:val="1"/>
          <w:color w:val="0063A6"/>
        </w:rPr>
        <w:t>Non-GAAP operating margin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6077585" cy="28460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6077585" cy="2846070"/>
                    </a:xfrm>
                    <a:prstGeom prst="rect">
                      <a:avLst/>
                    </a:prstGeom>
                    <a:noFill/>
                  </pic:spPr>
                </pic:pic>
              </a:graphicData>
            </a:graphic>
          </wp:anchor>
        </w:drawing>
      </w:r>
    </w:p>
    <w:p>
      <w:pPr>
        <w:spacing w:after="0" w:line="80" w:lineRule="exact"/>
        <w:rPr>
          <w:sz w:val="20"/>
          <w:szCs w:val="20"/>
          <w:color w:val="auto"/>
        </w:rPr>
      </w:pPr>
    </w:p>
    <w:tbl>
      <w:tblPr>
        <w:tblLayout w:type="fixed"/>
        <w:tblInd w:w="0" w:type="dxa"/>
        <w:tblCellMar>
          <w:top w:w="0" w:type="dxa"/>
          <w:left w:w="0" w:type="dxa"/>
          <w:bottom w:w="0" w:type="dxa"/>
          <w:right w:w="0" w:type="dxa"/>
        </w:tblCellMar>
      </w:tblPr>
      <w:tr>
        <w:trPr>
          <w:trHeight w:val="295"/>
        </w:trPr>
        <w:tc>
          <w:tcPr>
            <w:tcW w:w="5120" w:type="dxa"/>
            <w:vAlign w:val="bottom"/>
            <w:shd w:val="clear" w:color="auto" w:fill="0063A6"/>
          </w:tcPr>
          <w:p>
            <w:pPr>
              <w:spacing w:after="0"/>
              <w:rPr>
                <w:sz w:val="24"/>
                <w:szCs w:val="24"/>
                <w:color w:val="auto"/>
              </w:rPr>
            </w:pPr>
          </w:p>
        </w:tc>
        <w:tc>
          <w:tcPr>
            <w:tcW w:w="4440" w:type="dxa"/>
            <w:vAlign w:val="bottom"/>
            <w:gridSpan w:val="2"/>
            <w:shd w:val="clear" w:color="auto" w:fill="0063A6"/>
          </w:tcPr>
          <w:p>
            <w:pPr>
              <w:jc w:val="right"/>
              <w:ind w:right="100"/>
              <w:spacing w:after="0"/>
              <w:rPr>
                <w:sz w:val="20"/>
                <w:szCs w:val="20"/>
                <w:color w:val="auto"/>
              </w:rPr>
            </w:pPr>
            <w:r>
              <w:rPr>
                <w:rFonts w:ascii="Arial" w:cs="Arial" w:eastAsia="Arial" w:hAnsi="Arial"/>
                <w:sz w:val="14"/>
                <w:szCs w:val="14"/>
                <w:b w:val="1"/>
                <w:bCs w:val="1"/>
                <w:color w:val="FFFFFF"/>
              </w:rPr>
              <w:t>Twelve Months Ended December 31,</w:t>
            </w:r>
          </w:p>
        </w:tc>
      </w:tr>
      <w:tr>
        <w:trPr>
          <w:trHeight w:val="69"/>
        </w:trPr>
        <w:tc>
          <w:tcPr>
            <w:tcW w:w="5120" w:type="dxa"/>
            <w:vAlign w:val="bottom"/>
            <w:shd w:val="clear" w:color="auto" w:fill="0063A6"/>
          </w:tcPr>
          <w:p>
            <w:pPr>
              <w:spacing w:after="0"/>
              <w:rPr>
                <w:sz w:val="6"/>
                <w:szCs w:val="6"/>
                <w:color w:val="auto"/>
              </w:rPr>
            </w:pPr>
          </w:p>
        </w:tc>
        <w:tc>
          <w:tcPr>
            <w:tcW w:w="3000" w:type="dxa"/>
            <w:vAlign w:val="bottom"/>
            <w:shd w:val="clear" w:color="auto" w:fill="0063A6"/>
          </w:tcPr>
          <w:p>
            <w:pPr>
              <w:spacing w:after="0"/>
              <w:rPr>
                <w:sz w:val="6"/>
                <w:szCs w:val="6"/>
                <w:color w:val="auto"/>
              </w:rPr>
            </w:pPr>
          </w:p>
        </w:tc>
        <w:tc>
          <w:tcPr>
            <w:tcW w:w="1440" w:type="dxa"/>
            <w:vAlign w:val="bottom"/>
            <w:shd w:val="clear" w:color="auto" w:fill="0063A6"/>
          </w:tcPr>
          <w:p>
            <w:pPr>
              <w:spacing w:after="0"/>
              <w:rPr>
                <w:sz w:val="6"/>
                <w:szCs w:val="6"/>
                <w:color w:val="auto"/>
              </w:rPr>
            </w:pPr>
          </w:p>
        </w:tc>
      </w:tr>
      <w:tr>
        <w:trPr>
          <w:trHeight w:val="282"/>
        </w:trPr>
        <w:tc>
          <w:tcPr>
            <w:tcW w:w="5120" w:type="dxa"/>
            <w:vAlign w:val="bottom"/>
            <w:shd w:val="clear" w:color="auto" w:fill="E5EFFD"/>
          </w:tcPr>
          <w:p>
            <w:pPr>
              <w:spacing w:after="0"/>
              <w:rPr>
                <w:sz w:val="24"/>
                <w:szCs w:val="24"/>
                <w:color w:val="auto"/>
              </w:rPr>
            </w:pPr>
          </w:p>
        </w:tc>
        <w:tc>
          <w:tcPr>
            <w:tcW w:w="3000" w:type="dxa"/>
            <w:vAlign w:val="bottom"/>
            <w:shd w:val="clear" w:color="auto" w:fill="E5EFFD"/>
          </w:tcPr>
          <w:p>
            <w:pPr>
              <w:jc w:val="right"/>
              <w:ind w:right="481"/>
              <w:spacing w:after="0"/>
              <w:rPr>
                <w:sz w:val="20"/>
                <w:szCs w:val="20"/>
                <w:color w:val="auto"/>
              </w:rPr>
            </w:pPr>
            <w:r>
              <w:rPr>
                <w:rFonts w:ascii="Arial" w:cs="Arial" w:eastAsia="Arial" w:hAnsi="Arial"/>
                <w:sz w:val="14"/>
                <w:szCs w:val="14"/>
                <w:b w:val="1"/>
                <w:bCs w:val="1"/>
                <w:color w:val="0063A6"/>
              </w:rPr>
              <w:t>2021</w:t>
            </w:r>
          </w:p>
        </w:tc>
        <w:tc>
          <w:tcPr>
            <w:tcW w:w="1440" w:type="dxa"/>
            <w:vAlign w:val="bottom"/>
            <w:shd w:val="clear" w:color="auto" w:fill="E5EFFD"/>
          </w:tcPr>
          <w:p>
            <w:pPr>
              <w:jc w:val="right"/>
              <w:ind w:right="460"/>
              <w:spacing w:after="0"/>
              <w:rPr>
                <w:sz w:val="20"/>
                <w:szCs w:val="20"/>
                <w:color w:val="auto"/>
              </w:rPr>
            </w:pPr>
            <w:r>
              <w:rPr>
                <w:rFonts w:ascii="Arial" w:cs="Arial" w:eastAsia="Arial" w:hAnsi="Arial"/>
                <w:sz w:val="14"/>
                <w:szCs w:val="14"/>
                <w:b w:val="1"/>
                <w:bCs w:val="1"/>
                <w:color w:val="0063A6"/>
              </w:rPr>
              <w:t>2020</w:t>
            </w:r>
          </w:p>
        </w:tc>
      </w:tr>
      <w:tr>
        <w:trPr>
          <w:trHeight w:val="70"/>
        </w:trPr>
        <w:tc>
          <w:tcPr>
            <w:tcW w:w="5120" w:type="dxa"/>
            <w:vAlign w:val="bottom"/>
            <w:shd w:val="clear" w:color="auto" w:fill="E5EFFD"/>
          </w:tcPr>
          <w:p>
            <w:pPr>
              <w:spacing w:after="0"/>
              <w:rPr>
                <w:sz w:val="6"/>
                <w:szCs w:val="6"/>
                <w:color w:val="auto"/>
              </w:rPr>
            </w:pPr>
          </w:p>
        </w:tc>
        <w:tc>
          <w:tcPr>
            <w:tcW w:w="3000" w:type="dxa"/>
            <w:vAlign w:val="bottom"/>
            <w:shd w:val="clear" w:color="auto" w:fill="E5EFFD"/>
          </w:tcPr>
          <w:p>
            <w:pPr>
              <w:spacing w:after="0"/>
              <w:rPr>
                <w:sz w:val="6"/>
                <w:szCs w:val="6"/>
                <w:color w:val="auto"/>
              </w:rPr>
            </w:pPr>
          </w:p>
        </w:tc>
        <w:tc>
          <w:tcPr>
            <w:tcW w:w="1440" w:type="dxa"/>
            <w:vAlign w:val="bottom"/>
            <w:shd w:val="clear" w:color="auto" w:fill="E5EFFD"/>
          </w:tcPr>
          <w:p>
            <w:pPr>
              <w:spacing w:after="0"/>
              <w:rPr>
                <w:sz w:val="6"/>
                <w:szCs w:val="6"/>
                <w:color w:val="auto"/>
              </w:rPr>
            </w:pPr>
          </w:p>
        </w:tc>
      </w:tr>
      <w:tr>
        <w:trPr>
          <w:trHeight w:val="295"/>
        </w:trPr>
        <w:tc>
          <w:tcPr>
            <w:tcW w:w="5120" w:type="dxa"/>
            <w:vAlign w:val="bottom"/>
            <w:shd w:val="clear" w:color="auto" w:fill="F2F2F2"/>
          </w:tcPr>
          <w:p>
            <w:pPr>
              <w:ind w:left="60"/>
              <w:spacing w:after="0"/>
              <w:rPr>
                <w:sz w:val="20"/>
                <w:szCs w:val="20"/>
                <w:color w:val="auto"/>
              </w:rPr>
            </w:pPr>
            <w:r>
              <w:rPr>
                <w:rFonts w:ascii="Arial" w:cs="Arial" w:eastAsia="Arial" w:hAnsi="Arial"/>
                <w:sz w:val="16"/>
                <w:szCs w:val="16"/>
                <w:color w:val="auto"/>
              </w:rPr>
              <w:t>GAAP income (loss) from operations</w:t>
            </w:r>
          </w:p>
        </w:tc>
        <w:tc>
          <w:tcPr>
            <w:tcW w:w="3000" w:type="dxa"/>
            <w:vAlign w:val="bottom"/>
            <w:shd w:val="clear" w:color="auto" w:fill="F2F2F2"/>
          </w:tcPr>
          <w:p>
            <w:pPr>
              <w:jc w:val="right"/>
              <w:ind w:right="361"/>
              <w:spacing w:after="0"/>
              <w:rPr>
                <w:sz w:val="20"/>
                <w:szCs w:val="20"/>
                <w:color w:val="auto"/>
              </w:rPr>
            </w:pPr>
            <w:r>
              <w:rPr>
                <w:rFonts w:ascii="Arial" w:cs="Arial" w:eastAsia="Arial" w:hAnsi="Arial"/>
                <w:sz w:val="16"/>
                <w:szCs w:val="16"/>
                <w:color w:val="auto"/>
              </w:rPr>
              <w:t>$ 274.4</w:t>
            </w:r>
          </w:p>
        </w:tc>
        <w:tc>
          <w:tcPr>
            <w:tcW w:w="1440" w:type="dxa"/>
            <w:vAlign w:val="bottom"/>
            <w:shd w:val="clear" w:color="auto" w:fill="F2F2F2"/>
          </w:tcPr>
          <w:p>
            <w:pPr>
              <w:jc w:val="right"/>
              <w:ind w:right="280"/>
              <w:spacing w:after="0"/>
              <w:rPr>
                <w:sz w:val="20"/>
                <w:szCs w:val="20"/>
                <w:color w:val="auto"/>
              </w:rPr>
            </w:pPr>
            <w:r>
              <w:rPr>
                <w:rFonts w:ascii="Arial" w:cs="Arial" w:eastAsia="Arial" w:hAnsi="Arial"/>
                <w:sz w:val="16"/>
                <w:szCs w:val="16"/>
                <w:color w:val="auto"/>
              </w:rPr>
              <w:t>$ (277.0)</w:t>
            </w:r>
          </w:p>
        </w:tc>
      </w:tr>
      <w:tr>
        <w:trPr>
          <w:trHeight w:val="83"/>
        </w:trPr>
        <w:tc>
          <w:tcPr>
            <w:tcW w:w="5120" w:type="dxa"/>
            <w:vAlign w:val="bottom"/>
            <w:shd w:val="clear" w:color="auto" w:fill="F2F2F2"/>
          </w:tcPr>
          <w:p>
            <w:pPr>
              <w:spacing w:after="0"/>
              <w:rPr>
                <w:sz w:val="7"/>
                <w:szCs w:val="7"/>
                <w:color w:val="auto"/>
              </w:rPr>
            </w:pPr>
          </w:p>
        </w:tc>
        <w:tc>
          <w:tcPr>
            <w:tcW w:w="3000" w:type="dxa"/>
            <w:vAlign w:val="bottom"/>
            <w:shd w:val="clear" w:color="auto" w:fill="F2F2F2"/>
          </w:tcPr>
          <w:p>
            <w:pPr>
              <w:spacing w:after="0"/>
              <w:rPr>
                <w:sz w:val="7"/>
                <w:szCs w:val="7"/>
                <w:color w:val="auto"/>
              </w:rPr>
            </w:pPr>
          </w:p>
        </w:tc>
        <w:tc>
          <w:tcPr>
            <w:tcW w:w="1440" w:type="dxa"/>
            <w:vAlign w:val="bottom"/>
            <w:shd w:val="clear" w:color="auto" w:fill="F2F2F2"/>
          </w:tcPr>
          <w:p>
            <w:pPr>
              <w:spacing w:after="0"/>
              <w:rPr>
                <w:sz w:val="7"/>
                <w:szCs w:val="7"/>
                <w:color w:val="auto"/>
              </w:rPr>
            </w:pPr>
          </w:p>
        </w:tc>
      </w:tr>
      <w:tr>
        <w:trPr>
          <w:trHeight w:val="295"/>
        </w:trPr>
        <w:tc>
          <w:tcPr>
            <w:tcW w:w="5120" w:type="dxa"/>
            <w:vAlign w:val="bottom"/>
          </w:tcPr>
          <w:p>
            <w:pPr>
              <w:ind w:left="340"/>
              <w:spacing w:after="0"/>
              <w:rPr>
                <w:sz w:val="20"/>
                <w:szCs w:val="20"/>
                <w:color w:val="auto"/>
              </w:rPr>
            </w:pPr>
            <w:r>
              <w:rPr>
                <w:rFonts w:ascii="Arial" w:cs="Arial" w:eastAsia="Arial" w:hAnsi="Arial"/>
                <w:sz w:val="16"/>
                <w:szCs w:val="16"/>
                <w:i w:val="1"/>
                <w:iCs w:val="1"/>
                <w:color w:val="auto"/>
              </w:rPr>
              <w:t>GAAP operating margin</w:t>
            </w:r>
          </w:p>
        </w:tc>
        <w:tc>
          <w:tcPr>
            <w:tcW w:w="3000" w:type="dxa"/>
            <w:vAlign w:val="bottom"/>
          </w:tcPr>
          <w:p>
            <w:pPr>
              <w:jc w:val="right"/>
              <w:ind w:right="361"/>
              <w:spacing w:after="0"/>
              <w:rPr>
                <w:sz w:val="20"/>
                <w:szCs w:val="20"/>
                <w:color w:val="auto"/>
              </w:rPr>
            </w:pPr>
            <w:r>
              <w:rPr>
                <w:rFonts w:ascii="Arial" w:cs="Arial" w:eastAsia="Arial" w:hAnsi="Arial"/>
                <w:sz w:val="16"/>
                <w:szCs w:val="16"/>
                <w:color w:val="auto"/>
              </w:rPr>
              <w:t>12.7%</w:t>
            </w:r>
          </w:p>
        </w:tc>
        <w:tc>
          <w:tcPr>
            <w:tcW w:w="1440" w:type="dxa"/>
            <w:vAlign w:val="bottom"/>
          </w:tcPr>
          <w:p>
            <w:pPr>
              <w:jc w:val="right"/>
              <w:ind w:right="280"/>
              <w:spacing w:after="0"/>
              <w:rPr>
                <w:sz w:val="20"/>
                <w:szCs w:val="20"/>
                <w:color w:val="auto"/>
              </w:rPr>
            </w:pPr>
            <w:r>
              <w:rPr>
                <w:rFonts w:ascii="Arial" w:cs="Arial" w:eastAsia="Arial" w:hAnsi="Arial"/>
                <w:sz w:val="16"/>
                <w:szCs w:val="16"/>
                <w:color w:val="auto"/>
              </w:rPr>
              <w:t>(14.5%)</w:t>
            </w:r>
          </w:p>
        </w:tc>
      </w:tr>
      <w:tr>
        <w:trPr>
          <w:trHeight w:val="83"/>
        </w:trPr>
        <w:tc>
          <w:tcPr>
            <w:tcW w:w="5120" w:type="dxa"/>
            <w:vAlign w:val="bottom"/>
          </w:tcPr>
          <w:p>
            <w:pPr>
              <w:spacing w:after="0"/>
              <w:rPr>
                <w:sz w:val="7"/>
                <w:szCs w:val="7"/>
                <w:color w:val="auto"/>
              </w:rPr>
            </w:pPr>
          </w:p>
        </w:tc>
        <w:tc>
          <w:tcPr>
            <w:tcW w:w="3000" w:type="dxa"/>
            <w:vAlign w:val="bottom"/>
          </w:tcPr>
          <w:p>
            <w:pPr>
              <w:spacing w:after="0"/>
              <w:rPr>
                <w:sz w:val="7"/>
                <w:szCs w:val="7"/>
                <w:color w:val="auto"/>
              </w:rPr>
            </w:pPr>
          </w:p>
        </w:tc>
        <w:tc>
          <w:tcPr>
            <w:tcW w:w="1440" w:type="dxa"/>
            <w:vAlign w:val="bottom"/>
          </w:tcPr>
          <w:p>
            <w:pPr>
              <w:spacing w:after="0"/>
              <w:rPr>
                <w:sz w:val="7"/>
                <w:szCs w:val="7"/>
                <w:color w:val="auto"/>
              </w:rPr>
            </w:pPr>
          </w:p>
        </w:tc>
      </w:tr>
      <w:tr>
        <w:trPr>
          <w:trHeight w:val="295"/>
        </w:trPr>
        <w:tc>
          <w:tcPr>
            <w:tcW w:w="5120" w:type="dxa"/>
            <w:vAlign w:val="bottom"/>
            <w:shd w:val="clear" w:color="auto" w:fill="F2F2F2"/>
          </w:tcPr>
          <w:p>
            <w:pPr>
              <w:ind w:left="60"/>
              <w:spacing w:after="0"/>
              <w:rPr>
                <w:sz w:val="20"/>
                <w:szCs w:val="20"/>
                <w:color w:val="auto"/>
              </w:rPr>
            </w:pPr>
            <w:r>
              <w:rPr>
                <w:rFonts w:ascii="Arial" w:cs="Arial" w:eastAsia="Arial" w:hAnsi="Arial"/>
                <w:sz w:val="16"/>
                <w:szCs w:val="16"/>
                <w:color w:val="auto"/>
              </w:rPr>
              <w:t>Plus:</w:t>
            </w:r>
          </w:p>
        </w:tc>
        <w:tc>
          <w:tcPr>
            <w:tcW w:w="3000" w:type="dxa"/>
            <w:vAlign w:val="bottom"/>
            <w:shd w:val="clear" w:color="auto" w:fill="F2F2F2"/>
          </w:tcPr>
          <w:p>
            <w:pPr>
              <w:spacing w:after="0"/>
              <w:rPr>
                <w:sz w:val="24"/>
                <w:szCs w:val="24"/>
                <w:color w:val="auto"/>
              </w:rPr>
            </w:pPr>
          </w:p>
        </w:tc>
        <w:tc>
          <w:tcPr>
            <w:tcW w:w="1440" w:type="dxa"/>
            <w:vAlign w:val="bottom"/>
            <w:shd w:val="clear" w:color="auto" w:fill="F2F2F2"/>
          </w:tcPr>
          <w:p>
            <w:pPr>
              <w:spacing w:after="0"/>
              <w:rPr>
                <w:sz w:val="24"/>
                <w:szCs w:val="24"/>
                <w:color w:val="auto"/>
              </w:rPr>
            </w:pPr>
          </w:p>
        </w:tc>
      </w:tr>
      <w:tr>
        <w:trPr>
          <w:trHeight w:val="83"/>
        </w:trPr>
        <w:tc>
          <w:tcPr>
            <w:tcW w:w="5120" w:type="dxa"/>
            <w:vAlign w:val="bottom"/>
            <w:shd w:val="clear" w:color="auto" w:fill="F2F2F2"/>
          </w:tcPr>
          <w:p>
            <w:pPr>
              <w:spacing w:after="0"/>
              <w:rPr>
                <w:sz w:val="7"/>
                <w:szCs w:val="7"/>
                <w:color w:val="auto"/>
              </w:rPr>
            </w:pPr>
          </w:p>
        </w:tc>
        <w:tc>
          <w:tcPr>
            <w:tcW w:w="3000" w:type="dxa"/>
            <w:vAlign w:val="bottom"/>
            <w:shd w:val="clear" w:color="auto" w:fill="F2F2F2"/>
          </w:tcPr>
          <w:p>
            <w:pPr>
              <w:spacing w:after="0"/>
              <w:rPr>
                <w:sz w:val="7"/>
                <w:szCs w:val="7"/>
                <w:color w:val="auto"/>
              </w:rPr>
            </w:pPr>
          </w:p>
        </w:tc>
        <w:tc>
          <w:tcPr>
            <w:tcW w:w="1440" w:type="dxa"/>
            <w:vAlign w:val="bottom"/>
            <w:shd w:val="clear" w:color="auto" w:fill="F2F2F2"/>
          </w:tcPr>
          <w:p>
            <w:pPr>
              <w:spacing w:after="0"/>
              <w:rPr>
                <w:sz w:val="7"/>
                <w:szCs w:val="7"/>
                <w:color w:val="auto"/>
              </w:rPr>
            </w:pPr>
          </w:p>
        </w:tc>
      </w:tr>
      <w:tr>
        <w:trPr>
          <w:trHeight w:val="295"/>
        </w:trPr>
        <w:tc>
          <w:tcPr>
            <w:tcW w:w="5120" w:type="dxa"/>
            <w:vAlign w:val="bottom"/>
          </w:tcPr>
          <w:p>
            <w:pPr>
              <w:ind w:left="340"/>
              <w:spacing w:after="0"/>
              <w:rPr>
                <w:sz w:val="20"/>
                <w:szCs w:val="20"/>
                <w:color w:val="auto"/>
              </w:rPr>
            </w:pPr>
            <w:r>
              <w:rPr>
                <w:rFonts w:ascii="Arial" w:cs="Arial" w:eastAsia="Arial" w:hAnsi="Arial"/>
                <w:sz w:val="16"/>
                <w:szCs w:val="16"/>
                <w:color w:val="auto"/>
              </w:rPr>
              <w:t>Stock-based compensation</w:t>
            </w:r>
          </w:p>
        </w:tc>
        <w:tc>
          <w:tcPr>
            <w:tcW w:w="3000" w:type="dxa"/>
            <w:vAlign w:val="bottom"/>
          </w:tcPr>
          <w:p>
            <w:pPr>
              <w:jc w:val="right"/>
              <w:ind w:right="361"/>
              <w:spacing w:after="0"/>
              <w:rPr>
                <w:sz w:val="20"/>
                <w:szCs w:val="20"/>
                <w:color w:val="auto"/>
              </w:rPr>
            </w:pPr>
            <w:r>
              <w:rPr>
                <w:rFonts w:ascii="Arial" w:cs="Arial" w:eastAsia="Arial" w:hAnsi="Arial"/>
                <w:sz w:val="16"/>
                <w:szCs w:val="16"/>
                <w:color w:val="auto"/>
              </w:rPr>
              <w:t>287.1</w:t>
            </w:r>
          </w:p>
        </w:tc>
        <w:tc>
          <w:tcPr>
            <w:tcW w:w="1440" w:type="dxa"/>
            <w:vAlign w:val="bottom"/>
          </w:tcPr>
          <w:p>
            <w:pPr>
              <w:jc w:val="right"/>
              <w:ind w:right="340"/>
              <w:spacing w:after="0"/>
              <w:rPr>
                <w:sz w:val="20"/>
                <w:szCs w:val="20"/>
                <w:color w:val="auto"/>
              </w:rPr>
            </w:pPr>
            <w:r>
              <w:rPr>
                <w:rFonts w:ascii="Arial" w:cs="Arial" w:eastAsia="Arial" w:hAnsi="Arial"/>
                <w:sz w:val="16"/>
                <w:szCs w:val="16"/>
                <w:color w:val="auto"/>
              </w:rPr>
              <w:t>261.5</w:t>
            </w:r>
          </w:p>
        </w:tc>
      </w:tr>
      <w:tr>
        <w:trPr>
          <w:trHeight w:val="83"/>
        </w:trPr>
        <w:tc>
          <w:tcPr>
            <w:tcW w:w="5120" w:type="dxa"/>
            <w:vAlign w:val="bottom"/>
          </w:tcPr>
          <w:p>
            <w:pPr>
              <w:spacing w:after="0"/>
              <w:rPr>
                <w:sz w:val="7"/>
                <w:szCs w:val="7"/>
                <w:color w:val="auto"/>
              </w:rPr>
            </w:pPr>
          </w:p>
        </w:tc>
        <w:tc>
          <w:tcPr>
            <w:tcW w:w="3000" w:type="dxa"/>
            <w:vAlign w:val="bottom"/>
          </w:tcPr>
          <w:p>
            <w:pPr>
              <w:spacing w:after="0"/>
              <w:rPr>
                <w:sz w:val="7"/>
                <w:szCs w:val="7"/>
                <w:color w:val="auto"/>
              </w:rPr>
            </w:pPr>
          </w:p>
        </w:tc>
        <w:tc>
          <w:tcPr>
            <w:tcW w:w="1440" w:type="dxa"/>
            <w:vAlign w:val="bottom"/>
          </w:tcPr>
          <w:p>
            <w:pPr>
              <w:spacing w:after="0"/>
              <w:rPr>
                <w:sz w:val="7"/>
                <w:szCs w:val="7"/>
                <w:color w:val="auto"/>
              </w:rPr>
            </w:pPr>
          </w:p>
        </w:tc>
      </w:tr>
      <w:tr>
        <w:trPr>
          <w:trHeight w:val="295"/>
        </w:trPr>
        <w:tc>
          <w:tcPr>
            <w:tcW w:w="5120" w:type="dxa"/>
            <w:vAlign w:val="bottom"/>
            <w:shd w:val="clear" w:color="auto" w:fill="F2F2F2"/>
          </w:tcPr>
          <w:p>
            <w:pPr>
              <w:ind w:left="340"/>
              <w:spacing w:after="0"/>
              <w:rPr>
                <w:sz w:val="20"/>
                <w:szCs w:val="20"/>
                <w:color w:val="auto"/>
              </w:rPr>
            </w:pPr>
            <w:r>
              <w:rPr>
                <w:rFonts w:ascii="Arial" w:cs="Arial" w:eastAsia="Arial" w:hAnsi="Arial"/>
                <w:sz w:val="16"/>
                <w:szCs w:val="16"/>
                <w:color w:val="auto"/>
              </w:rPr>
              <w:t>Acquisition-related and other expenses</w:t>
            </w:r>
          </w:p>
        </w:tc>
        <w:tc>
          <w:tcPr>
            <w:tcW w:w="3000" w:type="dxa"/>
            <w:vAlign w:val="bottom"/>
            <w:shd w:val="clear" w:color="auto" w:fill="F2F2F2"/>
          </w:tcPr>
          <w:p>
            <w:pPr>
              <w:jc w:val="right"/>
              <w:ind w:right="361"/>
              <w:spacing w:after="0"/>
              <w:rPr>
                <w:sz w:val="20"/>
                <w:szCs w:val="20"/>
                <w:color w:val="auto"/>
              </w:rPr>
            </w:pPr>
            <w:r>
              <w:rPr>
                <w:rFonts w:ascii="Arial" w:cs="Arial" w:eastAsia="Arial" w:hAnsi="Arial"/>
                <w:sz w:val="16"/>
                <w:szCs w:val="16"/>
                <w:color w:val="auto"/>
              </w:rPr>
              <w:t>26.8</w:t>
            </w:r>
          </w:p>
        </w:tc>
        <w:tc>
          <w:tcPr>
            <w:tcW w:w="1440" w:type="dxa"/>
            <w:vAlign w:val="bottom"/>
            <w:shd w:val="clear" w:color="auto" w:fill="F2F2F2"/>
          </w:tcPr>
          <w:p>
            <w:pPr>
              <w:jc w:val="right"/>
              <w:ind w:right="340"/>
              <w:spacing w:after="0"/>
              <w:rPr>
                <w:sz w:val="20"/>
                <w:szCs w:val="20"/>
                <w:color w:val="auto"/>
              </w:rPr>
            </w:pPr>
            <w:r>
              <w:rPr>
                <w:rFonts w:ascii="Arial" w:cs="Arial" w:eastAsia="Arial" w:hAnsi="Arial"/>
                <w:sz w:val="16"/>
                <w:szCs w:val="16"/>
                <w:color w:val="auto"/>
              </w:rPr>
              <w:t>16.9</w:t>
            </w:r>
          </w:p>
        </w:tc>
      </w:tr>
      <w:tr>
        <w:trPr>
          <w:trHeight w:val="83"/>
        </w:trPr>
        <w:tc>
          <w:tcPr>
            <w:tcW w:w="5120" w:type="dxa"/>
            <w:vAlign w:val="bottom"/>
            <w:shd w:val="clear" w:color="auto" w:fill="F2F2F2"/>
          </w:tcPr>
          <w:p>
            <w:pPr>
              <w:spacing w:after="0"/>
              <w:rPr>
                <w:sz w:val="7"/>
                <w:szCs w:val="7"/>
                <w:color w:val="auto"/>
              </w:rPr>
            </w:pPr>
          </w:p>
        </w:tc>
        <w:tc>
          <w:tcPr>
            <w:tcW w:w="3000" w:type="dxa"/>
            <w:vAlign w:val="bottom"/>
            <w:shd w:val="clear" w:color="auto" w:fill="F2F2F2"/>
          </w:tcPr>
          <w:p>
            <w:pPr>
              <w:spacing w:after="0"/>
              <w:rPr>
                <w:sz w:val="7"/>
                <w:szCs w:val="7"/>
                <w:color w:val="auto"/>
              </w:rPr>
            </w:pPr>
          </w:p>
        </w:tc>
        <w:tc>
          <w:tcPr>
            <w:tcW w:w="1440" w:type="dxa"/>
            <w:vAlign w:val="bottom"/>
            <w:shd w:val="clear" w:color="auto" w:fill="F2F2F2"/>
          </w:tcPr>
          <w:p>
            <w:pPr>
              <w:spacing w:after="0"/>
              <w:rPr>
                <w:sz w:val="7"/>
                <w:szCs w:val="7"/>
                <w:color w:val="auto"/>
              </w:rPr>
            </w:pPr>
          </w:p>
        </w:tc>
      </w:tr>
      <w:tr>
        <w:trPr>
          <w:trHeight w:val="295"/>
        </w:trPr>
        <w:tc>
          <w:tcPr>
            <w:tcW w:w="5120" w:type="dxa"/>
            <w:vAlign w:val="bottom"/>
          </w:tcPr>
          <w:p>
            <w:pPr>
              <w:ind w:left="340"/>
              <w:spacing w:after="0"/>
              <w:rPr>
                <w:sz w:val="20"/>
                <w:szCs w:val="20"/>
                <w:color w:val="auto"/>
              </w:rPr>
            </w:pPr>
            <w:r>
              <w:rPr>
                <w:rFonts w:ascii="Arial" w:cs="Arial" w:eastAsia="Arial" w:hAnsi="Arial"/>
                <w:sz w:val="16"/>
                <w:szCs w:val="16"/>
                <w:color w:val="auto"/>
              </w:rPr>
              <w:t>Amortization of acquired intangible assets</w:t>
            </w:r>
          </w:p>
        </w:tc>
        <w:tc>
          <w:tcPr>
            <w:tcW w:w="3000" w:type="dxa"/>
            <w:vAlign w:val="bottom"/>
          </w:tcPr>
          <w:p>
            <w:pPr>
              <w:jc w:val="right"/>
              <w:ind w:right="361"/>
              <w:spacing w:after="0"/>
              <w:rPr>
                <w:sz w:val="20"/>
                <w:szCs w:val="20"/>
                <w:color w:val="auto"/>
              </w:rPr>
            </w:pPr>
            <w:r>
              <w:rPr>
                <w:rFonts w:ascii="Arial" w:cs="Arial" w:eastAsia="Arial" w:hAnsi="Arial"/>
                <w:sz w:val="16"/>
                <w:szCs w:val="16"/>
                <w:color w:val="auto"/>
              </w:rPr>
              <w:t>13.1</w:t>
            </w:r>
          </w:p>
        </w:tc>
        <w:tc>
          <w:tcPr>
            <w:tcW w:w="1440" w:type="dxa"/>
            <w:vAlign w:val="bottom"/>
          </w:tcPr>
          <w:p>
            <w:pPr>
              <w:jc w:val="right"/>
              <w:ind w:right="320"/>
              <w:spacing w:after="0"/>
              <w:rPr>
                <w:sz w:val="20"/>
                <w:szCs w:val="20"/>
                <w:color w:val="auto"/>
              </w:rPr>
            </w:pPr>
            <w:r>
              <w:rPr>
                <w:rFonts w:ascii="Arial" w:cs="Arial" w:eastAsia="Arial" w:hAnsi="Arial"/>
                <w:sz w:val="16"/>
                <w:szCs w:val="16"/>
                <w:color w:val="auto"/>
              </w:rPr>
              <w:t>9.5</w:t>
            </w:r>
          </w:p>
        </w:tc>
      </w:tr>
      <w:tr>
        <w:trPr>
          <w:trHeight w:val="83"/>
        </w:trPr>
        <w:tc>
          <w:tcPr>
            <w:tcW w:w="5120" w:type="dxa"/>
            <w:vAlign w:val="bottom"/>
          </w:tcPr>
          <w:p>
            <w:pPr>
              <w:spacing w:after="0"/>
              <w:rPr>
                <w:sz w:val="7"/>
                <w:szCs w:val="7"/>
                <w:color w:val="auto"/>
              </w:rPr>
            </w:pPr>
          </w:p>
        </w:tc>
        <w:tc>
          <w:tcPr>
            <w:tcW w:w="3000" w:type="dxa"/>
            <w:vAlign w:val="bottom"/>
          </w:tcPr>
          <w:p>
            <w:pPr>
              <w:spacing w:after="0"/>
              <w:rPr>
                <w:sz w:val="7"/>
                <w:szCs w:val="7"/>
                <w:color w:val="auto"/>
              </w:rPr>
            </w:pPr>
          </w:p>
        </w:tc>
        <w:tc>
          <w:tcPr>
            <w:tcW w:w="1440" w:type="dxa"/>
            <w:vAlign w:val="bottom"/>
          </w:tcPr>
          <w:p>
            <w:pPr>
              <w:spacing w:after="0"/>
              <w:rPr>
                <w:sz w:val="7"/>
                <w:szCs w:val="7"/>
                <w:color w:val="auto"/>
              </w:rPr>
            </w:pPr>
          </w:p>
        </w:tc>
      </w:tr>
      <w:tr>
        <w:trPr>
          <w:trHeight w:val="295"/>
        </w:trPr>
        <w:tc>
          <w:tcPr>
            <w:tcW w:w="5120" w:type="dxa"/>
            <w:vAlign w:val="bottom"/>
            <w:shd w:val="clear" w:color="auto" w:fill="F2F2F2"/>
          </w:tcPr>
          <w:p>
            <w:pPr>
              <w:ind w:left="340"/>
              <w:spacing w:after="0"/>
              <w:rPr>
                <w:sz w:val="20"/>
                <w:szCs w:val="20"/>
                <w:color w:val="auto"/>
              </w:rPr>
            </w:pPr>
            <w:r>
              <w:rPr>
                <w:rFonts w:ascii="Arial" w:cs="Arial" w:eastAsia="Arial" w:hAnsi="Arial"/>
                <w:sz w:val="16"/>
                <w:szCs w:val="16"/>
                <w:color w:val="auto"/>
              </w:rPr>
              <w:t>Impairment related to real estate assets</w:t>
            </w:r>
          </w:p>
        </w:tc>
        <w:tc>
          <w:tcPr>
            <w:tcW w:w="3000" w:type="dxa"/>
            <w:vAlign w:val="bottom"/>
            <w:shd w:val="clear" w:color="auto" w:fill="F2F2F2"/>
          </w:tcPr>
          <w:p>
            <w:pPr>
              <w:jc w:val="right"/>
              <w:ind w:right="361"/>
              <w:spacing w:after="0"/>
              <w:rPr>
                <w:sz w:val="20"/>
                <w:szCs w:val="20"/>
                <w:color w:val="auto"/>
              </w:rPr>
            </w:pPr>
            <w:r>
              <w:rPr>
                <w:rFonts w:ascii="Arial" w:cs="Arial" w:eastAsia="Arial" w:hAnsi="Arial"/>
                <w:sz w:val="16"/>
                <w:szCs w:val="16"/>
                <w:color w:val="auto"/>
              </w:rPr>
              <w:t>31.3</w:t>
            </w:r>
          </w:p>
        </w:tc>
        <w:tc>
          <w:tcPr>
            <w:tcW w:w="1440" w:type="dxa"/>
            <w:vAlign w:val="bottom"/>
            <w:shd w:val="clear" w:color="auto" w:fill="F2F2F2"/>
          </w:tcPr>
          <w:p>
            <w:pPr>
              <w:jc w:val="right"/>
              <w:ind w:right="340"/>
              <w:spacing w:after="0"/>
              <w:rPr>
                <w:sz w:val="20"/>
                <w:szCs w:val="20"/>
                <w:color w:val="auto"/>
              </w:rPr>
            </w:pPr>
            <w:r>
              <w:rPr>
                <w:rFonts w:ascii="Arial" w:cs="Arial" w:eastAsia="Arial" w:hAnsi="Arial"/>
                <w:sz w:val="16"/>
                <w:szCs w:val="16"/>
                <w:color w:val="auto"/>
              </w:rPr>
              <w:t>398.2</w:t>
            </w:r>
          </w:p>
        </w:tc>
      </w:tr>
      <w:tr>
        <w:trPr>
          <w:trHeight w:val="83"/>
        </w:trPr>
        <w:tc>
          <w:tcPr>
            <w:tcW w:w="5120" w:type="dxa"/>
            <w:vAlign w:val="bottom"/>
            <w:shd w:val="clear" w:color="auto" w:fill="F2F2F2"/>
          </w:tcPr>
          <w:p>
            <w:pPr>
              <w:spacing w:after="0"/>
              <w:rPr>
                <w:sz w:val="7"/>
                <w:szCs w:val="7"/>
                <w:color w:val="auto"/>
              </w:rPr>
            </w:pPr>
          </w:p>
        </w:tc>
        <w:tc>
          <w:tcPr>
            <w:tcW w:w="3000" w:type="dxa"/>
            <w:vAlign w:val="bottom"/>
            <w:shd w:val="clear" w:color="auto" w:fill="F2F2F2"/>
          </w:tcPr>
          <w:p>
            <w:pPr>
              <w:spacing w:after="0"/>
              <w:rPr>
                <w:sz w:val="7"/>
                <w:szCs w:val="7"/>
                <w:color w:val="auto"/>
              </w:rPr>
            </w:pPr>
          </w:p>
        </w:tc>
        <w:tc>
          <w:tcPr>
            <w:tcW w:w="1440" w:type="dxa"/>
            <w:vAlign w:val="bottom"/>
            <w:shd w:val="clear" w:color="auto" w:fill="F2F2F2"/>
          </w:tcPr>
          <w:p>
            <w:pPr>
              <w:spacing w:after="0"/>
              <w:rPr>
                <w:sz w:val="7"/>
                <w:szCs w:val="7"/>
                <w:color w:val="auto"/>
              </w:rPr>
            </w:pPr>
          </w:p>
        </w:tc>
      </w:tr>
      <w:tr>
        <w:trPr>
          <w:trHeight w:val="295"/>
        </w:trPr>
        <w:tc>
          <w:tcPr>
            <w:tcW w:w="5120" w:type="dxa"/>
            <w:vAlign w:val="bottom"/>
          </w:tcPr>
          <w:p>
            <w:pPr>
              <w:ind w:left="340"/>
              <w:spacing w:after="0"/>
              <w:rPr>
                <w:sz w:val="20"/>
                <w:szCs w:val="20"/>
                <w:color w:val="auto"/>
              </w:rPr>
            </w:pPr>
            <w:r>
              <w:rPr>
                <w:rFonts w:ascii="Arial" w:cs="Arial" w:eastAsia="Arial" w:hAnsi="Arial"/>
                <w:sz w:val="16"/>
                <w:szCs w:val="16"/>
                <w:color w:val="auto"/>
              </w:rPr>
              <w:t>Workforce reduction expenses</w:t>
            </w:r>
          </w:p>
        </w:tc>
        <w:tc>
          <w:tcPr>
            <w:tcW w:w="3000" w:type="dxa"/>
            <w:vAlign w:val="bottom"/>
          </w:tcPr>
          <w:p>
            <w:pPr>
              <w:jc w:val="right"/>
              <w:ind w:right="361"/>
              <w:spacing w:after="0"/>
              <w:rPr>
                <w:sz w:val="20"/>
                <w:szCs w:val="20"/>
                <w:color w:val="auto"/>
              </w:rPr>
            </w:pPr>
            <w:r>
              <w:rPr>
                <w:rFonts w:ascii="Arial" w:cs="Arial" w:eastAsia="Arial" w:hAnsi="Arial"/>
                <w:sz w:val="16"/>
                <w:szCs w:val="16"/>
                <w:color w:val="auto"/>
              </w:rPr>
              <w:t>14.3</w:t>
            </w:r>
          </w:p>
        </w:tc>
        <w:tc>
          <w:tcPr>
            <w:tcW w:w="1440" w:type="dxa"/>
            <w:vAlign w:val="bottom"/>
          </w:tcPr>
          <w:p>
            <w:pPr>
              <w:jc w:val="right"/>
              <w:ind w:right="320"/>
              <w:spacing w:after="0"/>
              <w:rPr>
                <w:sz w:val="20"/>
                <w:szCs w:val="20"/>
                <w:color w:val="auto"/>
              </w:rPr>
            </w:pPr>
            <w:r>
              <w:rPr>
                <w:rFonts w:ascii="Arial" w:cs="Arial" w:eastAsia="Arial" w:hAnsi="Arial"/>
                <w:sz w:val="16"/>
                <w:szCs w:val="16"/>
                <w:color w:val="auto"/>
              </w:rPr>
              <w:t>0</w:t>
            </w:r>
          </w:p>
        </w:tc>
      </w:tr>
      <w:tr>
        <w:trPr>
          <w:trHeight w:val="83"/>
        </w:trPr>
        <w:tc>
          <w:tcPr>
            <w:tcW w:w="5120" w:type="dxa"/>
            <w:vAlign w:val="bottom"/>
          </w:tcPr>
          <w:p>
            <w:pPr>
              <w:spacing w:after="0"/>
              <w:rPr>
                <w:sz w:val="7"/>
                <w:szCs w:val="7"/>
                <w:color w:val="auto"/>
              </w:rPr>
            </w:pPr>
          </w:p>
        </w:tc>
        <w:tc>
          <w:tcPr>
            <w:tcW w:w="3000" w:type="dxa"/>
            <w:vAlign w:val="bottom"/>
          </w:tcPr>
          <w:p>
            <w:pPr>
              <w:spacing w:after="0"/>
              <w:rPr>
                <w:sz w:val="7"/>
                <w:szCs w:val="7"/>
                <w:color w:val="auto"/>
              </w:rPr>
            </w:pPr>
          </w:p>
        </w:tc>
        <w:tc>
          <w:tcPr>
            <w:tcW w:w="1440" w:type="dxa"/>
            <w:vAlign w:val="bottom"/>
          </w:tcPr>
          <w:p>
            <w:pPr>
              <w:spacing w:after="0"/>
              <w:rPr>
                <w:sz w:val="7"/>
                <w:szCs w:val="7"/>
                <w:color w:val="auto"/>
              </w:rPr>
            </w:pPr>
          </w:p>
        </w:tc>
      </w:tr>
      <w:tr>
        <w:trPr>
          <w:trHeight w:val="295"/>
        </w:trPr>
        <w:tc>
          <w:tcPr>
            <w:tcW w:w="5120" w:type="dxa"/>
            <w:vAlign w:val="bottom"/>
            <w:shd w:val="clear" w:color="auto" w:fill="F2F2F2"/>
          </w:tcPr>
          <w:p>
            <w:pPr>
              <w:ind w:left="60"/>
              <w:spacing w:after="0"/>
              <w:rPr>
                <w:sz w:val="20"/>
                <w:szCs w:val="20"/>
                <w:color w:val="auto"/>
              </w:rPr>
            </w:pPr>
            <w:r>
              <w:rPr>
                <w:rFonts w:ascii="Arial" w:cs="Arial" w:eastAsia="Arial" w:hAnsi="Arial"/>
                <w:sz w:val="16"/>
                <w:szCs w:val="16"/>
                <w:color w:val="auto"/>
              </w:rPr>
              <w:t>Non-GAAP income (loss) from operations</w:t>
            </w:r>
          </w:p>
        </w:tc>
        <w:tc>
          <w:tcPr>
            <w:tcW w:w="3000" w:type="dxa"/>
            <w:vAlign w:val="bottom"/>
            <w:shd w:val="clear" w:color="auto" w:fill="F2F2F2"/>
          </w:tcPr>
          <w:p>
            <w:pPr>
              <w:jc w:val="right"/>
              <w:ind w:right="361"/>
              <w:spacing w:after="0"/>
              <w:rPr>
                <w:sz w:val="20"/>
                <w:szCs w:val="20"/>
                <w:color w:val="auto"/>
              </w:rPr>
            </w:pPr>
            <w:r>
              <w:rPr>
                <w:rFonts w:ascii="Arial" w:cs="Arial" w:eastAsia="Arial" w:hAnsi="Arial"/>
                <w:sz w:val="16"/>
                <w:szCs w:val="16"/>
                <w:color w:val="auto"/>
              </w:rPr>
              <w:t>647.0</w:t>
            </w:r>
          </w:p>
        </w:tc>
        <w:tc>
          <w:tcPr>
            <w:tcW w:w="1440" w:type="dxa"/>
            <w:vAlign w:val="bottom"/>
            <w:shd w:val="clear" w:color="auto" w:fill="F2F2F2"/>
          </w:tcPr>
          <w:p>
            <w:pPr>
              <w:jc w:val="right"/>
              <w:ind w:right="340"/>
              <w:spacing w:after="0"/>
              <w:rPr>
                <w:sz w:val="20"/>
                <w:szCs w:val="20"/>
                <w:color w:val="auto"/>
              </w:rPr>
            </w:pPr>
            <w:r>
              <w:rPr>
                <w:rFonts w:ascii="Arial" w:cs="Arial" w:eastAsia="Arial" w:hAnsi="Arial"/>
                <w:sz w:val="16"/>
                <w:szCs w:val="16"/>
                <w:color w:val="auto"/>
              </w:rPr>
              <w:t>409.1</w:t>
            </w:r>
          </w:p>
        </w:tc>
      </w:tr>
      <w:tr>
        <w:trPr>
          <w:trHeight w:val="83"/>
        </w:trPr>
        <w:tc>
          <w:tcPr>
            <w:tcW w:w="5120" w:type="dxa"/>
            <w:vAlign w:val="bottom"/>
            <w:shd w:val="clear" w:color="auto" w:fill="F2F2F2"/>
          </w:tcPr>
          <w:p>
            <w:pPr>
              <w:spacing w:after="0"/>
              <w:rPr>
                <w:sz w:val="7"/>
                <w:szCs w:val="7"/>
                <w:color w:val="auto"/>
              </w:rPr>
            </w:pPr>
          </w:p>
        </w:tc>
        <w:tc>
          <w:tcPr>
            <w:tcW w:w="3000" w:type="dxa"/>
            <w:vAlign w:val="bottom"/>
            <w:shd w:val="clear" w:color="auto" w:fill="F2F2F2"/>
          </w:tcPr>
          <w:p>
            <w:pPr>
              <w:spacing w:after="0"/>
              <w:rPr>
                <w:sz w:val="7"/>
                <w:szCs w:val="7"/>
                <w:color w:val="auto"/>
              </w:rPr>
            </w:pPr>
          </w:p>
        </w:tc>
        <w:tc>
          <w:tcPr>
            <w:tcW w:w="1440" w:type="dxa"/>
            <w:vAlign w:val="bottom"/>
            <w:shd w:val="clear" w:color="auto" w:fill="F2F2F2"/>
          </w:tcPr>
          <w:p>
            <w:pPr>
              <w:spacing w:after="0"/>
              <w:rPr>
                <w:sz w:val="7"/>
                <w:szCs w:val="7"/>
                <w:color w:val="auto"/>
              </w:rPr>
            </w:pPr>
          </w:p>
        </w:tc>
      </w:tr>
      <w:tr>
        <w:trPr>
          <w:trHeight w:val="295"/>
        </w:trPr>
        <w:tc>
          <w:tcPr>
            <w:tcW w:w="5120" w:type="dxa"/>
            <w:vAlign w:val="bottom"/>
          </w:tcPr>
          <w:p>
            <w:pPr>
              <w:ind w:left="340"/>
              <w:spacing w:after="0"/>
              <w:rPr>
                <w:sz w:val="20"/>
                <w:szCs w:val="20"/>
                <w:color w:val="auto"/>
              </w:rPr>
            </w:pPr>
            <w:r>
              <w:rPr>
                <w:rFonts w:ascii="Arial" w:cs="Arial" w:eastAsia="Arial" w:hAnsi="Arial"/>
                <w:sz w:val="16"/>
                <w:szCs w:val="16"/>
                <w:i w:val="1"/>
                <w:iCs w:val="1"/>
                <w:color w:val="auto"/>
              </w:rPr>
              <w:t>Non-GAAP operating margin</w:t>
            </w:r>
          </w:p>
        </w:tc>
        <w:tc>
          <w:tcPr>
            <w:tcW w:w="3000" w:type="dxa"/>
            <w:vAlign w:val="bottom"/>
          </w:tcPr>
          <w:p>
            <w:pPr>
              <w:jc w:val="right"/>
              <w:ind w:right="361"/>
              <w:spacing w:after="0"/>
              <w:rPr>
                <w:sz w:val="20"/>
                <w:szCs w:val="20"/>
                <w:color w:val="auto"/>
              </w:rPr>
            </w:pPr>
            <w:r>
              <w:rPr>
                <w:rFonts w:ascii="Arial" w:cs="Arial" w:eastAsia="Arial" w:hAnsi="Arial"/>
                <w:sz w:val="16"/>
                <w:szCs w:val="16"/>
                <w:color w:val="auto"/>
              </w:rPr>
              <w:t>30.0%</w:t>
            </w:r>
          </w:p>
        </w:tc>
        <w:tc>
          <w:tcPr>
            <w:tcW w:w="1440" w:type="dxa"/>
            <w:vAlign w:val="bottom"/>
          </w:tcPr>
          <w:p>
            <w:pPr>
              <w:jc w:val="right"/>
              <w:ind w:right="340"/>
              <w:spacing w:after="0"/>
              <w:rPr>
                <w:sz w:val="20"/>
                <w:szCs w:val="20"/>
                <w:color w:val="auto"/>
              </w:rPr>
            </w:pPr>
            <w:r>
              <w:rPr>
                <w:rFonts w:ascii="Arial" w:cs="Arial" w:eastAsia="Arial" w:hAnsi="Arial"/>
                <w:sz w:val="16"/>
                <w:szCs w:val="16"/>
                <w:color w:val="auto"/>
              </w:rPr>
              <w:t>21.4%</w:t>
            </w:r>
          </w:p>
        </w:tc>
      </w:tr>
    </w:tbl>
    <w:p>
      <w:pPr>
        <w:spacing w:after="0" w:line="276"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-459105</wp:posOffset>
            </wp:positionH>
            <wp:positionV relativeFrom="paragraph">
              <wp:posOffset>118110</wp:posOffset>
            </wp:positionV>
            <wp:extent cx="6995160" cy="171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580"/>
          </w:cols>
          <w:pgMar w:left="1160" w:top="263" w:right="1159" w:bottom="1440" w:gutter="0" w:footer="0" w:header="0"/>
        </w:sectPr>
      </w:pPr>
    </w:p>
    <w:bookmarkStart w:id="65" w:name="page66"/>
    <w:bookmarkEnd w:id="65"/>
    <w:p>
      <w:pPr>
        <w:ind w:left="720"/>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0" w:lineRule="exact"/>
        <w:rPr>
          <w:sz w:val="20"/>
          <w:szCs w:val="20"/>
          <w:color w:val="auto"/>
        </w:rPr>
      </w:pPr>
    </w:p>
    <w:p>
      <w:pPr>
        <w:ind w:left="720"/>
        <w:spacing w:after="0"/>
        <w:rPr>
          <w:sz w:val="20"/>
          <w:szCs w:val="20"/>
          <w:color w:val="auto"/>
        </w:rPr>
      </w:pPr>
      <w:r>
        <w:rPr>
          <w:rFonts w:ascii="Arial" w:cs="Arial" w:eastAsia="Arial" w:hAnsi="Arial"/>
          <w:sz w:val="32"/>
          <w:szCs w:val="32"/>
          <w:color w:val="0063A6"/>
        </w:rPr>
        <w:t>APPENDIX A (continued)</w:t>
      </w:r>
    </w:p>
    <w:p>
      <w:pPr>
        <w:spacing w:after="0" w:line="200" w:lineRule="exact"/>
        <w:rPr>
          <w:sz w:val="20"/>
          <w:szCs w:val="20"/>
          <w:color w:val="auto"/>
        </w:rPr>
      </w:pPr>
    </w:p>
    <w:p>
      <w:pPr>
        <w:spacing w:after="0" w:line="202" w:lineRule="exact"/>
        <w:rPr>
          <w:sz w:val="20"/>
          <w:szCs w:val="20"/>
          <w:color w:val="auto"/>
        </w:rPr>
      </w:pPr>
    </w:p>
    <w:p>
      <w:pPr>
        <w:ind w:left="720"/>
        <w:spacing w:after="0"/>
        <w:rPr>
          <w:sz w:val="20"/>
          <w:szCs w:val="20"/>
          <w:color w:val="auto"/>
        </w:rPr>
      </w:pPr>
      <w:r>
        <w:rPr>
          <w:rFonts w:ascii="Arial" w:cs="Arial" w:eastAsia="Arial" w:hAnsi="Arial"/>
          <w:sz w:val="16"/>
          <w:szCs w:val="16"/>
          <w:b w:val="1"/>
          <w:bCs w:val="1"/>
          <w:color w:val="0063A6"/>
        </w:rPr>
        <w:t>Free cash flow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55245</wp:posOffset>
            </wp:positionV>
            <wp:extent cx="6077585" cy="1405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6077585" cy="1405890"/>
                    </a:xfrm>
                    <a:prstGeom prst="rect">
                      <a:avLst/>
                    </a:prstGeom>
                    <a:noFill/>
                  </pic:spPr>
                </pic:pic>
              </a:graphicData>
            </a:graphic>
          </wp:anchor>
        </w:drawing>
      </w:r>
    </w:p>
    <w:p>
      <w:pPr>
        <w:spacing w:after="0" w:line="67" w:lineRule="exact"/>
        <w:rPr>
          <w:sz w:val="20"/>
          <w:szCs w:val="20"/>
          <w:color w:val="auto"/>
        </w:rPr>
      </w:pPr>
    </w:p>
    <w:tbl>
      <w:tblPr>
        <w:tblLayout w:type="fixed"/>
        <w:tblInd w:w="0" w:type="dxa"/>
        <w:tblCellMar>
          <w:top w:w="0" w:type="dxa"/>
          <w:left w:w="0" w:type="dxa"/>
          <w:bottom w:w="0" w:type="dxa"/>
          <w:right w:w="0" w:type="dxa"/>
        </w:tblCellMar>
      </w:tblPr>
      <w:tr>
        <w:trPr>
          <w:trHeight w:val="295"/>
        </w:trPr>
        <w:tc>
          <w:tcPr>
            <w:tcW w:w="720" w:type="dxa"/>
            <w:vAlign w:val="bottom"/>
          </w:tcPr>
          <w:p>
            <w:pPr>
              <w:spacing w:after="0"/>
              <w:rPr>
                <w:sz w:val="24"/>
                <w:szCs w:val="24"/>
                <w:color w:val="auto"/>
              </w:rPr>
            </w:pPr>
          </w:p>
        </w:tc>
        <w:tc>
          <w:tcPr>
            <w:tcW w:w="4940" w:type="dxa"/>
            <w:vAlign w:val="bottom"/>
            <w:shd w:val="clear" w:color="auto" w:fill="0063A6"/>
          </w:tcPr>
          <w:p>
            <w:pPr>
              <w:spacing w:after="0"/>
              <w:rPr>
                <w:sz w:val="24"/>
                <w:szCs w:val="24"/>
                <w:color w:val="auto"/>
              </w:rPr>
            </w:pPr>
          </w:p>
        </w:tc>
        <w:tc>
          <w:tcPr>
            <w:tcW w:w="4620" w:type="dxa"/>
            <w:vAlign w:val="bottom"/>
            <w:gridSpan w:val="2"/>
            <w:shd w:val="clear" w:color="auto" w:fill="0063A6"/>
          </w:tcPr>
          <w:p>
            <w:pPr>
              <w:jc w:val="right"/>
              <w:ind w:right="101"/>
              <w:spacing w:after="0"/>
              <w:rPr>
                <w:sz w:val="20"/>
                <w:szCs w:val="20"/>
                <w:color w:val="auto"/>
              </w:rPr>
            </w:pPr>
            <w:r>
              <w:rPr>
                <w:rFonts w:ascii="Arial" w:cs="Arial" w:eastAsia="Arial" w:hAnsi="Arial"/>
                <w:sz w:val="14"/>
                <w:szCs w:val="14"/>
                <w:b w:val="1"/>
                <w:bCs w:val="1"/>
                <w:color w:val="FFFFFF"/>
              </w:rPr>
              <w:t>Twelve Months Ended December 31,</w:t>
            </w:r>
          </w:p>
        </w:tc>
        <w:tc>
          <w:tcPr>
            <w:tcW w:w="740" w:type="dxa"/>
            <w:vAlign w:val="bottom"/>
          </w:tcPr>
          <w:p>
            <w:pPr>
              <w:spacing w:after="0"/>
              <w:rPr>
                <w:sz w:val="24"/>
                <w:szCs w:val="24"/>
                <w:color w:val="auto"/>
              </w:rPr>
            </w:pPr>
          </w:p>
        </w:tc>
      </w:tr>
      <w:tr>
        <w:trPr>
          <w:trHeight w:val="351"/>
        </w:trPr>
        <w:tc>
          <w:tcPr>
            <w:tcW w:w="720" w:type="dxa"/>
            <w:vAlign w:val="bottom"/>
          </w:tcPr>
          <w:p>
            <w:pPr>
              <w:spacing w:after="0"/>
              <w:rPr>
                <w:sz w:val="24"/>
                <w:szCs w:val="24"/>
                <w:color w:val="auto"/>
              </w:rPr>
            </w:pPr>
          </w:p>
        </w:tc>
        <w:tc>
          <w:tcPr>
            <w:tcW w:w="4940" w:type="dxa"/>
            <w:vAlign w:val="bottom"/>
            <w:shd w:val="clear" w:color="auto" w:fill="0063A6"/>
          </w:tcPr>
          <w:p>
            <w:pPr>
              <w:spacing w:after="0"/>
              <w:rPr>
                <w:sz w:val="24"/>
                <w:szCs w:val="24"/>
                <w:color w:val="auto"/>
              </w:rPr>
            </w:pPr>
          </w:p>
        </w:tc>
        <w:tc>
          <w:tcPr>
            <w:tcW w:w="3220" w:type="dxa"/>
            <w:vAlign w:val="bottom"/>
            <w:shd w:val="clear" w:color="auto" w:fill="0063A6"/>
          </w:tcPr>
          <w:p>
            <w:pPr>
              <w:jc w:val="right"/>
              <w:ind w:right="503"/>
              <w:spacing w:after="0"/>
              <w:rPr>
                <w:sz w:val="20"/>
                <w:szCs w:val="20"/>
                <w:color w:val="auto"/>
              </w:rPr>
            </w:pPr>
            <w:r>
              <w:rPr>
                <w:rFonts w:ascii="Arial" w:cs="Arial" w:eastAsia="Arial" w:hAnsi="Arial"/>
                <w:sz w:val="14"/>
                <w:szCs w:val="14"/>
                <w:b w:val="1"/>
                <w:bCs w:val="1"/>
                <w:color w:val="FFFFFF"/>
              </w:rPr>
              <w:t>2021</w:t>
            </w:r>
          </w:p>
        </w:tc>
        <w:tc>
          <w:tcPr>
            <w:tcW w:w="1400" w:type="dxa"/>
            <w:vAlign w:val="bottom"/>
            <w:shd w:val="clear" w:color="auto" w:fill="0063A6"/>
          </w:tcPr>
          <w:p>
            <w:pPr>
              <w:jc w:val="right"/>
              <w:ind w:right="461"/>
              <w:spacing w:after="0"/>
              <w:rPr>
                <w:sz w:val="20"/>
                <w:szCs w:val="20"/>
                <w:color w:val="auto"/>
              </w:rPr>
            </w:pPr>
            <w:r>
              <w:rPr>
                <w:rFonts w:ascii="Arial" w:cs="Arial" w:eastAsia="Arial" w:hAnsi="Arial"/>
                <w:sz w:val="14"/>
                <w:szCs w:val="14"/>
                <w:b w:val="1"/>
                <w:bCs w:val="1"/>
                <w:color w:val="FFFFFF"/>
              </w:rPr>
              <w:t>2020</w:t>
            </w:r>
          </w:p>
        </w:tc>
        <w:tc>
          <w:tcPr>
            <w:tcW w:w="740" w:type="dxa"/>
            <w:vAlign w:val="bottom"/>
          </w:tcPr>
          <w:p>
            <w:pPr>
              <w:spacing w:after="0"/>
              <w:rPr>
                <w:sz w:val="24"/>
                <w:szCs w:val="24"/>
                <w:color w:val="auto"/>
              </w:rPr>
            </w:pPr>
          </w:p>
        </w:tc>
      </w:tr>
      <w:tr>
        <w:trPr>
          <w:trHeight w:val="70"/>
        </w:trPr>
        <w:tc>
          <w:tcPr>
            <w:tcW w:w="720" w:type="dxa"/>
            <w:vAlign w:val="bottom"/>
          </w:tcPr>
          <w:p>
            <w:pPr>
              <w:spacing w:after="0"/>
              <w:rPr>
                <w:sz w:val="6"/>
                <w:szCs w:val="6"/>
                <w:color w:val="auto"/>
              </w:rPr>
            </w:pPr>
          </w:p>
        </w:tc>
        <w:tc>
          <w:tcPr>
            <w:tcW w:w="4940" w:type="dxa"/>
            <w:vAlign w:val="bottom"/>
            <w:shd w:val="clear" w:color="auto" w:fill="0063A6"/>
          </w:tcPr>
          <w:p>
            <w:pPr>
              <w:spacing w:after="0"/>
              <w:rPr>
                <w:sz w:val="6"/>
                <w:szCs w:val="6"/>
                <w:color w:val="auto"/>
              </w:rPr>
            </w:pPr>
          </w:p>
        </w:tc>
        <w:tc>
          <w:tcPr>
            <w:tcW w:w="3220" w:type="dxa"/>
            <w:vAlign w:val="bottom"/>
            <w:shd w:val="clear" w:color="auto" w:fill="0063A6"/>
          </w:tcPr>
          <w:p>
            <w:pPr>
              <w:spacing w:after="0"/>
              <w:rPr>
                <w:sz w:val="6"/>
                <w:szCs w:val="6"/>
                <w:color w:val="auto"/>
              </w:rPr>
            </w:pPr>
          </w:p>
        </w:tc>
        <w:tc>
          <w:tcPr>
            <w:tcW w:w="1400" w:type="dxa"/>
            <w:vAlign w:val="bottom"/>
            <w:shd w:val="clear" w:color="auto" w:fill="0063A6"/>
          </w:tcPr>
          <w:p>
            <w:pPr>
              <w:spacing w:after="0"/>
              <w:rPr>
                <w:sz w:val="6"/>
                <w:szCs w:val="6"/>
                <w:color w:val="auto"/>
              </w:rPr>
            </w:pPr>
          </w:p>
        </w:tc>
        <w:tc>
          <w:tcPr>
            <w:tcW w:w="740" w:type="dxa"/>
            <w:vAlign w:val="bottom"/>
          </w:tcPr>
          <w:p>
            <w:pPr>
              <w:spacing w:after="0"/>
              <w:rPr>
                <w:sz w:val="6"/>
                <w:szCs w:val="6"/>
                <w:color w:val="auto"/>
              </w:rPr>
            </w:pPr>
          </w:p>
        </w:tc>
      </w:tr>
      <w:tr>
        <w:trPr>
          <w:trHeight w:val="295"/>
        </w:trPr>
        <w:tc>
          <w:tcPr>
            <w:tcW w:w="720" w:type="dxa"/>
            <w:vAlign w:val="bottom"/>
          </w:tcPr>
          <w:p>
            <w:pPr>
              <w:spacing w:after="0"/>
              <w:rPr>
                <w:sz w:val="24"/>
                <w:szCs w:val="24"/>
                <w:color w:val="auto"/>
              </w:rPr>
            </w:pPr>
          </w:p>
        </w:tc>
        <w:tc>
          <w:tcPr>
            <w:tcW w:w="4940" w:type="dxa"/>
            <w:vAlign w:val="bottom"/>
            <w:shd w:val="clear" w:color="auto" w:fill="F2F2F2"/>
          </w:tcPr>
          <w:p>
            <w:pPr>
              <w:ind w:left="60"/>
              <w:spacing w:after="0"/>
              <w:rPr>
                <w:sz w:val="20"/>
                <w:szCs w:val="20"/>
                <w:color w:val="auto"/>
              </w:rPr>
            </w:pPr>
            <w:r>
              <w:rPr>
                <w:rFonts w:ascii="Arial" w:cs="Arial" w:eastAsia="Arial" w:hAnsi="Arial"/>
                <w:sz w:val="16"/>
                <w:szCs w:val="16"/>
                <w:color w:val="auto"/>
              </w:rPr>
              <w:t>Net cash provided by operating activities</w:t>
            </w:r>
          </w:p>
        </w:tc>
        <w:tc>
          <w:tcPr>
            <w:tcW w:w="3220" w:type="dxa"/>
            <w:vAlign w:val="bottom"/>
            <w:shd w:val="clear" w:color="auto" w:fill="F2F2F2"/>
          </w:tcPr>
          <w:p>
            <w:pPr>
              <w:jc w:val="right"/>
              <w:ind w:right="423"/>
              <w:spacing w:after="0"/>
              <w:rPr>
                <w:sz w:val="20"/>
                <w:szCs w:val="20"/>
                <w:color w:val="auto"/>
              </w:rPr>
            </w:pPr>
            <w:r>
              <w:rPr>
                <w:rFonts w:ascii="Arial" w:cs="Arial" w:eastAsia="Arial" w:hAnsi="Arial"/>
                <w:sz w:val="16"/>
                <w:szCs w:val="16"/>
                <w:color w:val="auto"/>
              </w:rPr>
              <w:t>$729.8</w:t>
            </w:r>
          </w:p>
        </w:tc>
        <w:tc>
          <w:tcPr>
            <w:tcW w:w="1400" w:type="dxa"/>
            <w:vAlign w:val="bottom"/>
            <w:shd w:val="clear" w:color="auto" w:fill="F2F2F2"/>
          </w:tcPr>
          <w:p>
            <w:pPr>
              <w:jc w:val="right"/>
              <w:ind w:right="361"/>
              <w:spacing w:after="0"/>
              <w:rPr>
                <w:sz w:val="20"/>
                <w:szCs w:val="20"/>
                <w:color w:val="auto"/>
              </w:rPr>
            </w:pPr>
            <w:r>
              <w:rPr>
                <w:rFonts w:ascii="Arial" w:cs="Arial" w:eastAsia="Arial" w:hAnsi="Arial"/>
                <w:sz w:val="16"/>
                <w:szCs w:val="16"/>
                <w:color w:val="auto"/>
              </w:rPr>
              <w:t>$570.8</w:t>
            </w: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4940" w:type="dxa"/>
            <w:vAlign w:val="bottom"/>
            <w:shd w:val="clear" w:color="auto" w:fill="F2F2F2"/>
          </w:tcPr>
          <w:p>
            <w:pPr>
              <w:spacing w:after="0"/>
              <w:rPr>
                <w:sz w:val="7"/>
                <w:szCs w:val="7"/>
                <w:color w:val="auto"/>
              </w:rPr>
            </w:pPr>
          </w:p>
        </w:tc>
        <w:tc>
          <w:tcPr>
            <w:tcW w:w="3220" w:type="dxa"/>
            <w:vAlign w:val="bottom"/>
            <w:shd w:val="clear" w:color="auto" w:fill="F2F2F2"/>
          </w:tcPr>
          <w:p>
            <w:pPr>
              <w:spacing w:after="0"/>
              <w:rPr>
                <w:sz w:val="7"/>
                <w:szCs w:val="7"/>
                <w:color w:val="auto"/>
              </w:rPr>
            </w:pPr>
          </w:p>
        </w:tc>
        <w:tc>
          <w:tcPr>
            <w:tcW w:w="1400" w:type="dxa"/>
            <w:vAlign w:val="bottom"/>
            <w:shd w:val="clear" w:color="auto" w:fill="F2F2F2"/>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4940" w:type="dxa"/>
            <w:vAlign w:val="bottom"/>
          </w:tcPr>
          <w:p>
            <w:pPr>
              <w:ind w:left="60"/>
              <w:spacing w:after="0"/>
              <w:rPr>
                <w:sz w:val="20"/>
                <w:szCs w:val="20"/>
                <w:color w:val="auto"/>
              </w:rPr>
            </w:pPr>
            <w:r>
              <w:rPr>
                <w:rFonts w:ascii="Arial" w:cs="Arial" w:eastAsia="Arial" w:hAnsi="Arial"/>
                <w:sz w:val="16"/>
                <w:szCs w:val="16"/>
                <w:color w:val="auto"/>
              </w:rPr>
              <w:t>Less:</w:t>
            </w:r>
          </w:p>
        </w:tc>
        <w:tc>
          <w:tcPr>
            <w:tcW w:w="3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4940" w:type="dxa"/>
            <w:vAlign w:val="bottom"/>
          </w:tcPr>
          <w:p>
            <w:pPr>
              <w:spacing w:after="0"/>
              <w:rPr>
                <w:sz w:val="7"/>
                <w:szCs w:val="7"/>
                <w:color w:val="auto"/>
              </w:rPr>
            </w:pPr>
          </w:p>
        </w:tc>
        <w:tc>
          <w:tcPr>
            <w:tcW w:w="3220" w:type="dxa"/>
            <w:vAlign w:val="bottom"/>
          </w:tcPr>
          <w:p>
            <w:pPr>
              <w:spacing w:after="0"/>
              <w:rPr>
                <w:sz w:val="7"/>
                <w:szCs w:val="7"/>
                <w:color w:val="auto"/>
              </w:rPr>
            </w:pPr>
          </w:p>
        </w:tc>
        <w:tc>
          <w:tcPr>
            <w:tcW w:w="1400" w:type="dxa"/>
            <w:vAlign w:val="bottom"/>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4940" w:type="dxa"/>
            <w:vAlign w:val="bottom"/>
            <w:shd w:val="clear" w:color="auto" w:fill="F2F2F2"/>
          </w:tcPr>
          <w:p>
            <w:pPr>
              <w:ind w:left="340"/>
              <w:spacing w:after="0"/>
              <w:rPr>
                <w:sz w:val="20"/>
                <w:szCs w:val="20"/>
                <w:color w:val="auto"/>
              </w:rPr>
            </w:pPr>
            <w:r>
              <w:rPr>
                <w:rFonts w:ascii="Arial" w:cs="Arial" w:eastAsia="Arial" w:hAnsi="Arial"/>
                <w:sz w:val="16"/>
                <w:szCs w:val="16"/>
                <w:color w:val="auto"/>
              </w:rPr>
              <w:t>Capital expenditures</w:t>
            </w:r>
          </w:p>
        </w:tc>
        <w:tc>
          <w:tcPr>
            <w:tcW w:w="3220" w:type="dxa"/>
            <w:vAlign w:val="bottom"/>
            <w:shd w:val="clear" w:color="auto" w:fill="F2F2F2"/>
          </w:tcPr>
          <w:p>
            <w:pPr>
              <w:jc w:val="right"/>
              <w:ind w:right="363"/>
              <w:spacing w:after="0"/>
              <w:rPr>
                <w:sz w:val="20"/>
                <w:szCs w:val="20"/>
                <w:color w:val="auto"/>
              </w:rPr>
            </w:pPr>
            <w:r>
              <w:rPr>
                <w:rFonts w:ascii="Arial" w:cs="Arial" w:eastAsia="Arial" w:hAnsi="Arial"/>
                <w:sz w:val="16"/>
                <w:szCs w:val="16"/>
                <w:color w:val="auto"/>
              </w:rPr>
              <w:t>(22.1)</w:t>
            </w:r>
          </w:p>
        </w:tc>
        <w:tc>
          <w:tcPr>
            <w:tcW w:w="1400" w:type="dxa"/>
            <w:vAlign w:val="bottom"/>
            <w:shd w:val="clear" w:color="auto" w:fill="F2F2F2"/>
          </w:tcPr>
          <w:p>
            <w:pPr>
              <w:jc w:val="right"/>
              <w:ind w:right="321"/>
              <w:spacing w:after="0"/>
              <w:rPr>
                <w:sz w:val="20"/>
                <w:szCs w:val="20"/>
                <w:color w:val="auto"/>
              </w:rPr>
            </w:pPr>
            <w:r>
              <w:rPr>
                <w:rFonts w:ascii="Arial" w:cs="Arial" w:eastAsia="Arial" w:hAnsi="Arial"/>
                <w:sz w:val="16"/>
                <w:szCs w:val="16"/>
                <w:color w:val="auto"/>
              </w:rPr>
              <w:t>(80.1)</w:t>
            </w:r>
          </w:p>
        </w:tc>
        <w:tc>
          <w:tcPr>
            <w:tcW w:w="740" w:type="dxa"/>
            <w:vAlign w:val="bottom"/>
          </w:tcPr>
          <w:p>
            <w:pPr>
              <w:spacing w:after="0"/>
              <w:rPr>
                <w:sz w:val="24"/>
                <w:szCs w:val="24"/>
                <w:color w:val="auto"/>
              </w:rPr>
            </w:pPr>
          </w:p>
        </w:tc>
      </w:tr>
      <w:tr>
        <w:trPr>
          <w:trHeight w:val="83"/>
        </w:trPr>
        <w:tc>
          <w:tcPr>
            <w:tcW w:w="720" w:type="dxa"/>
            <w:vAlign w:val="bottom"/>
          </w:tcPr>
          <w:p>
            <w:pPr>
              <w:spacing w:after="0"/>
              <w:rPr>
                <w:sz w:val="7"/>
                <w:szCs w:val="7"/>
                <w:color w:val="auto"/>
              </w:rPr>
            </w:pPr>
          </w:p>
        </w:tc>
        <w:tc>
          <w:tcPr>
            <w:tcW w:w="4940" w:type="dxa"/>
            <w:vAlign w:val="bottom"/>
            <w:shd w:val="clear" w:color="auto" w:fill="F2F2F2"/>
          </w:tcPr>
          <w:p>
            <w:pPr>
              <w:spacing w:after="0"/>
              <w:rPr>
                <w:sz w:val="7"/>
                <w:szCs w:val="7"/>
                <w:color w:val="auto"/>
              </w:rPr>
            </w:pPr>
          </w:p>
        </w:tc>
        <w:tc>
          <w:tcPr>
            <w:tcW w:w="3220" w:type="dxa"/>
            <w:vAlign w:val="bottom"/>
            <w:shd w:val="clear" w:color="auto" w:fill="F2F2F2"/>
          </w:tcPr>
          <w:p>
            <w:pPr>
              <w:spacing w:after="0"/>
              <w:rPr>
                <w:sz w:val="7"/>
                <w:szCs w:val="7"/>
                <w:color w:val="auto"/>
              </w:rPr>
            </w:pPr>
          </w:p>
        </w:tc>
        <w:tc>
          <w:tcPr>
            <w:tcW w:w="1400" w:type="dxa"/>
            <w:vAlign w:val="bottom"/>
            <w:shd w:val="clear" w:color="auto" w:fill="F2F2F2"/>
          </w:tcPr>
          <w:p>
            <w:pPr>
              <w:spacing w:after="0"/>
              <w:rPr>
                <w:sz w:val="7"/>
                <w:szCs w:val="7"/>
                <w:color w:val="auto"/>
              </w:rPr>
            </w:pPr>
          </w:p>
        </w:tc>
        <w:tc>
          <w:tcPr>
            <w:tcW w:w="740" w:type="dxa"/>
            <w:vAlign w:val="bottom"/>
          </w:tcPr>
          <w:p>
            <w:pPr>
              <w:spacing w:after="0"/>
              <w:rPr>
                <w:sz w:val="7"/>
                <w:szCs w:val="7"/>
                <w:color w:val="auto"/>
              </w:rPr>
            </w:pPr>
          </w:p>
        </w:tc>
      </w:tr>
      <w:tr>
        <w:trPr>
          <w:trHeight w:val="295"/>
        </w:trPr>
        <w:tc>
          <w:tcPr>
            <w:tcW w:w="720" w:type="dxa"/>
            <w:vAlign w:val="bottom"/>
          </w:tcPr>
          <w:p>
            <w:pPr>
              <w:spacing w:after="0"/>
              <w:rPr>
                <w:sz w:val="24"/>
                <w:szCs w:val="24"/>
                <w:color w:val="auto"/>
              </w:rPr>
            </w:pPr>
          </w:p>
        </w:tc>
        <w:tc>
          <w:tcPr>
            <w:tcW w:w="4940" w:type="dxa"/>
            <w:vAlign w:val="bottom"/>
          </w:tcPr>
          <w:p>
            <w:pPr>
              <w:ind w:left="60"/>
              <w:spacing w:after="0"/>
              <w:rPr>
                <w:sz w:val="20"/>
                <w:szCs w:val="20"/>
                <w:color w:val="auto"/>
              </w:rPr>
            </w:pPr>
            <w:r>
              <w:rPr>
                <w:rFonts w:ascii="Arial" w:cs="Arial" w:eastAsia="Arial" w:hAnsi="Arial"/>
                <w:sz w:val="16"/>
                <w:szCs w:val="16"/>
                <w:color w:val="auto"/>
              </w:rPr>
              <w:t>Free cash flow</w:t>
            </w:r>
          </w:p>
        </w:tc>
        <w:tc>
          <w:tcPr>
            <w:tcW w:w="3220" w:type="dxa"/>
            <w:vAlign w:val="bottom"/>
          </w:tcPr>
          <w:p>
            <w:pPr>
              <w:jc w:val="right"/>
              <w:ind w:right="423"/>
              <w:spacing w:after="0"/>
              <w:rPr>
                <w:sz w:val="20"/>
                <w:szCs w:val="20"/>
                <w:color w:val="auto"/>
              </w:rPr>
            </w:pPr>
            <w:r>
              <w:rPr>
                <w:rFonts w:ascii="Arial" w:cs="Arial" w:eastAsia="Arial" w:hAnsi="Arial"/>
                <w:sz w:val="16"/>
                <w:szCs w:val="16"/>
                <w:color w:val="auto"/>
              </w:rPr>
              <w:t>707.7</w:t>
            </w:r>
          </w:p>
        </w:tc>
        <w:tc>
          <w:tcPr>
            <w:tcW w:w="1400" w:type="dxa"/>
            <w:vAlign w:val="bottom"/>
          </w:tcPr>
          <w:p>
            <w:pPr>
              <w:jc w:val="right"/>
              <w:ind w:right="381"/>
              <w:spacing w:after="0"/>
              <w:rPr>
                <w:sz w:val="20"/>
                <w:szCs w:val="20"/>
                <w:color w:val="auto"/>
              </w:rPr>
            </w:pPr>
            <w:r>
              <w:rPr>
                <w:rFonts w:ascii="Arial" w:cs="Arial" w:eastAsia="Arial" w:hAnsi="Arial"/>
                <w:sz w:val="16"/>
                <w:szCs w:val="16"/>
                <w:color w:val="auto"/>
              </w:rPr>
              <w:t>490.7</w:t>
            </w:r>
          </w:p>
        </w:tc>
        <w:tc>
          <w:tcPr>
            <w:tcW w:w="740" w:type="dxa"/>
            <w:vAlign w:val="bottom"/>
          </w:tcPr>
          <w:p>
            <w:pPr>
              <w:spacing w:after="0"/>
              <w:rPr>
                <w:sz w:val="24"/>
                <w:szCs w:val="24"/>
                <w:color w:val="auto"/>
              </w:rPr>
            </w:pPr>
          </w:p>
        </w:tc>
      </w:tr>
      <w:tr>
        <w:trPr>
          <w:trHeight w:val="473"/>
        </w:trPr>
        <w:tc>
          <w:tcPr>
            <w:tcW w:w="720" w:type="dxa"/>
            <w:vAlign w:val="bottom"/>
          </w:tcPr>
          <w:p>
            <w:pPr>
              <w:spacing w:after="0"/>
              <w:rPr>
                <w:sz w:val="24"/>
                <w:szCs w:val="24"/>
                <w:color w:val="auto"/>
              </w:rPr>
            </w:pPr>
          </w:p>
        </w:tc>
        <w:tc>
          <w:tcPr>
            <w:tcW w:w="4940" w:type="dxa"/>
            <w:vAlign w:val="bottom"/>
          </w:tcPr>
          <w:p>
            <w:pPr>
              <w:spacing w:after="0"/>
              <w:rPr>
                <w:sz w:val="20"/>
                <w:szCs w:val="20"/>
                <w:color w:val="auto"/>
              </w:rPr>
            </w:pPr>
            <w:r>
              <w:rPr>
                <w:rFonts w:ascii="Arial" w:cs="Arial" w:eastAsia="Arial" w:hAnsi="Arial"/>
                <w:sz w:val="14"/>
                <w:szCs w:val="14"/>
                <w:b w:val="1"/>
                <w:bCs w:val="1"/>
                <w:color w:val="auto"/>
              </w:rPr>
              <w:t>A-2</w:t>
            </w:r>
          </w:p>
        </w:tc>
        <w:tc>
          <w:tcPr>
            <w:tcW w:w="3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740" w:type="dxa"/>
            <w:vAlign w:val="bottom"/>
          </w:tcPr>
          <w:p>
            <w:pPr>
              <w:spacing w:after="0"/>
              <w:rPr>
                <w:sz w:val="24"/>
                <w:szCs w:val="24"/>
                <w:color w:val="auto"/>
              </w:rPr>
            </w:pPr>
          </w:p>
        </w:tc>
      </w:tr>
      <w:tr>
        <w:trPr>
          <w:trHeight w:val="158"/>
        </w:trPr>
        <w:tc>
          <w:tcPr>
            <w:tcW w:w="720" w:type="dxa"/>
            <w:vAlign w:val="bottom"/>
            <w:tcBorders>
              <w:bottom w:val="single" w:sz="8" w:color="auto"/>
            </w:tcBorders>
          </w:tcPr>
          <w:p>
            <w:pPr>
              <w:spacing w:after="0"/>
              <w:rPr>
                <w:sz w:val="13"/>
                <w:szCs w:val="13"/>
                <w:color w:val="auto"/>
              </w:rPr>
            </w:pPr>
          </w:p>
        </w:tc>
        <w:tc>
          <w:tcPr>
            <w:tcW w:w="4940" w:type="dxa"/>
            <w:vAlign w:val="bottom"/>
            <w:tcBorders>
              <w:bottom w:val="single" w:sz="8" w:color="auto"/>
            </w:tcBorders>
          </w:tcPr>
          <w:p>
            <w:pPr>
              <w:spacing w:after="0"/>
              <w:rPr>
                <w:sz w:val="13"/>
                <w:szCs w:val="13"/>
                <w:color w:val="auto"/>
              </w:rPr>
            </w:pPr>
          </w:p>
        </w:tc>
        <w:tc>
          <w:tcPr>
            <w:tcW w:w="3220" w:type="dxa"/>
            <w:vAlign w:val="bottom"/>
            <w:tcBorders>
              <w:bottom w:val="single" w:sz="8" w:color="auto"/>
            </w:tcBorders>
          </w:tcPr>
          <w:p>
            <w:pPr>
              <w:spacing w:after="0"/>
              <w:rPr>
                <w:sz w:val="13"/>
                <w:szCs w:val="13"/>
                <w:color w:val="auto"/>
              </w:rPr>
            </w:pPr>
          </w:p>
        </w:tc>
        <w:tc>
          <w:tcPr>
            <w:tcW w:w="1400" w:type="dxa"/>
            <w:vAlign w:val="bottom"/>
            <w:tcBorders>
              <w:bottom w:val="single" w:sz="8" w:color="auto"/>
            </w:tcBorders>
          </w:tcPr>
          <w:p>
            <w:pPr>
              <w:spacing w:after="0"/>
              <w:rPr>
                <w:sz w:val="13"/>
                <w:szCs w:val="13"/>
                <w:color w:val="auto"/>
              </w:rPr>
            </w:pPr>
          </w:p>
        </w:tc>
        <w:tc>
          <w:tcPr>
            <w:tcW w:w="740" w:type="dxa"/>
            <w:vAlign w:val="bottom"/>
            <w:tcBorders>
              <w:bottom w:val="single" w:sz="8" w:color="auto"/>
            </w:tcBorders>
          </w:tcPr>
          <w:p>
            <w:pPr>
              <w:spacing w:after="0"/>
              <w:rPr>
                <w:sz w:val="13"/>
                <w:szCs w:val="13"/>
                <w:color w:val="auto"/>
              </w:rPr>
            </w:pPr>
          </w:p>
        </w:tc>
      </w:tr>
    </w:tbl>
    <w:p>
      <w:pPr>
        <w:sectPr>
          <w:pgSz w:w="11900" w:h="16838" w:orient="portrait"/>
          <w:cols w:equalWidth="0" w:num="1">
            <w:col w:w="11020"/>
          </w:cols>
          <w:pgMar w:left="440" w:top="263" w:right="439" w:bottom="1440" w:gutter="0" w:footer="0" w:header="0"/>
        </w:sectPr>
      </w:pPr>
    </w:p>
    <w:bookmarkStart w:id="66" w:name="page67"/>
    <w:bookmarkEnd w:id="66"/>
    <w:p>
      <w:pPr>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10160</wp:posOffset>
            </wp:positionH>
            <wp:positionV relativeFrom="paragraph">
              <wp:posOffset>93345</wp:posOffset>
            </wp:positionV>
            <wp:extent cx="6995160" cy="84010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6995160" cy="8401050"/>
                    </a:xfrm>
                    <a:prstGeom prst="rect">
                      <a:avLst/>
                    </a:prstGeom>
                    <a:noFill/>
                  </pic:spPr>
                </pic:pic>
              </a:graphicData>
            </a:graphic>
          </wp:anchor>
        </w:drawing>
      </w:r>
    </w:p>
    <w:p>
      <w:pPr>
        <w:sectPr>
          <w:pgSz w:w="11900" w:h="16838" w:orient="portrait"/>
          <w:cols w:equalWidth="0" w:num="1">
            <w:col w:w="10039"/>
          </w:cols>
          <w:pgMar w:left="420" w:top="263" w:right="1440" w:bottom="1440" w:gutter="0" w:footer="0" w:header="0"/>
        </w:sectPr>
      </w:pPr>
    </w:p>
    <w:bookmarkStart w:id="67" w:name="page68"/>
    <w:bookmarkEnd w:id="67"/>
    <w:p>
      <w:pPr>
        <w:spacing w:after="0"/>
        <w:rPr>
          <w:rFonts w:ascii="Times New Roman" w:cs="Times New Roman" w:eastAsia="Times New Roman" w:hAnsi="Times New Roman"/>
          <w:sz w:val="14"/>
          <w:szCs w:val="14"/>
          <w:b w:val="1"/>
          <w:bCs w:val="1"/>
          <w:u w:val="single" w:color="auto"/>
          <w:color w:val="0000EE"/>
        </w:rPr>
      </w:pPr>
      <w:hyperlink w:anchor="page3">
        <w:r>
          <w:rPr>
            <w:rFonts w:ascii="Times New Roman" w:cs="Times New Roman" w:eastAsia="Times New Roman" w:hAnsi="Times New Roman"/>
            <w:sz w:val="14"/>
            <w:szCs w:val="14"/>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361315</wp:posOffset>
            </wp:positionH>
            <wp:positionV relativeFrom="paragraph">
              <wp:posOffset>93345</wp:posOffset>
            </wp:positionV>
            <wp:extent cx="6292215" cy="81438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6292215" cy="8143875"/>
                    </a:xfrm>
                    <a:prstGeom prst="rect">
                      <a:avLst/>
                    </a:prstGeom>
                    <a:noFill/>
                  </pic:spPr>
                </pic:pic>
              </a:graphicData>
            </a:graphic>
          </wp:anchor>
        </w:drawing>
      </w:r>
    </w:p>
    <w:sectPr>
      <w:pgSz w:w="11900" w:h="16838" w:orient="portrait"/>
      <w:cols w:equalWidth="0" w:num="1">
        <w:col w:w="10039"/>
      </w:cols>
      <w:pgMar w:left="420" w:top="263"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2CD89A32"/>
    <w:multiLevelType w:val="hybridMultilevel"/>
    <w:lvl w:ilvl="0">
      <w:lvlJc w:val="left"/>
      <w:lvlText w:val="☐"/>
      <w:numFmt w:val="bullet"/>
      <w:start w:val="1"/>
    </w:lvl>
  </w:abstractNum>
  <w:abstractNum w:abstractNumId="1">
    <w:nsid w:val="57E4CCAF"/>
    <w:multiLevelType w:val="hybridMultilevel"/>
    <w:lvl w:ilvl="0">
      <w:lvlJc w:val="left"/>
      <w:lvlText w:val="☒"/>
      <w:numFmt w:val="bullet"/>
      <w:start w:val="1"/>
    </w:lvl>
  </w:abstractNum>
  <w:abstractNum w:abstractNumId="2">
    <w:nsid w:val="7A6D8D3C"/>
    <w:multiLevelType w:val="hybridMultilevel"/>
    <w:lvl w:ilvl="0">
      <w:lvlJc w:val="left"/>
      <w:lvlText w:val="☐"/>
      <w:numFmt w:val="bullet"/>
      <w:start w:val="1"/>
    </w:lvl>
  </w:abstractNum>
  <w:abstractNum w:abstractNumId="3">
    <w:nsid w:val="4B588F54"/>
    <w:multiLevelType w:val="hybridMultilevel"/>
    <w:lvl w:ilvl="0">
      <w:lvlJc w:val="left"/>
      <w:lvlText w:val="☒"/>
      <w:numFmt w:val="bullet"/>
      <w:start w:val="1"/>
    </w:lvl>
  </w:abstractNum>
  <w:abstractNum w:abstractNumId="4">
    <w:nsid w:val="542289EC"/>
    <w:multiLevelType w:val="hybridMultilevel"/>
    <w:lvl w:ilvl="0">
      <w:lvlJc w:val="left"/>
      <w:lvlText w:val="☐"/>
      <w:numFmt w:val="bullet"/>
      <w:start w:val="1"/>
    </w:lvl>
  </w:abstractNum>
  <w:abstractNum w:abstractNumId="5">
    <w:nsid w:val="6DE91B18"/>
    <w:multiLevelType w:val="hybridMultilevel"/>
    <w:lvl w:ilvl="0">
      <w:lvlJc w:val="left"/>
      <w:lvlText w:val="%1."/>
      <w:numFmt w:val="decimal"/>
      <w:start w:val="1"/>
    </w:lvl>
  </w:abstractNum>
  <w:abstractNum w:abstractNumId="6">
    <w:nsid w:val="38437FDB"/>
    <w:multiLevelType w:val="hybridMultilevel"/>
    <w:lvl w:ilvl="0">
      <w:lvlJc w:val="left"/>
      <w:lvlText w:val="•"/>
      <w:numFmt w:val="bullet"/>
      <w:start w:val="1"/>
    </w:lvl>
  </w:abstractNum>
  <w:abstractNum w:abstractNumId="7">
    <w:nsid w:val="7644A45C"/>
    <w:multiLevelType w:val="hybridMultilevel"/>
    <w:lvl w:ilvl="0">
      <w:lvlJc w:val="left"/>
      <w:lvlText w:val="•"/>
      <w:numFmt w:val="bullet"/>
      <w:start w:val="1"/>
    </w:lvl>
  </w:abstractNum>
  <w:abstractNum w:abstractNumId="8">
    <w:nsid w:val="32FFF902"/>
    <w:multiLevelType w:val="hybridMultilevel"/>
    <w:lvl w:ilvl="0">
      <w:lvlJc w:val="left"/>
      <w:lvlText w:val="•"/>
      <w:numFmt w:val="bullet"/>
      <w:start w:val="1"/>
    </w:lvl>
  </w:abstractNum>
  <w:abstractNum w:abstractNumId="9">
    <w:nsid w:val="684A481A"/>
    <w:multiLevelType w:val="hybridMultilevel"/>
    <w:lvl w:ilvl="0">
      <w:lvlJc w:val="left"/>
      <w:lvlText w:val="•"/>
      <w:numFmt w:val="bullet"/>
      <w:start w:val="1"/>
    </w:lvl>
  </w:abstractNum>
  <w:abstractNum w:abstractNumId="10">
    <w:nsid w:val="579478FE"/>
    <w:multiLevelType w:val="hybridMultilevel"/>
    <w:lvl w:ilvl="0">
      <w:lvlJc w:val="left"/>
      <w:lvlText w:val="•"/>
      <w:numFmt w:val="bullet"/>
      <w:start w:val="1"/>
    </w:lvl>
  </w:abstractNum>
  <w:abstractNum w:abstractNumId="11">
    <w:nsid w:val="749ABB43"/>
    <w:multiLevelType w:val="hybridMultilevel"/>
    <w:lvl w:ilvl="0">
      <w:lvlJc w:val="left"/>
      <w:lvlText w:val="2"/>
      <w:numFmt w:val="bullet"/>
      <w:start w:val="1"/>
    </w:lvl>
  </w:abstractNum>
  <w:abstractNum w:abstractNumId="12">
    <w:nsid w:val="3DC240FB"/>
    <w:multiLevelType w:val="hybridMultilevel"/>
    <w:lvl w:ilvl="0">
      <w:lvlJc w:val="left"/>
      <w:lvlText w:val="•"/>
      <w:numFmt w:val="bullet"/>
      <w:start w:val="1"/>
    </w:lvl>
  </w:abstractNum>
  <w:abstractNum w:abstractNumId="13">
    <w:nsid w:val="1BA026FA"/>
    <w:multiLevelType w:val="hybridMultilevel"/>
    <w:lvl w:ilvl="0">
      <w:lvlJc w:val="left"/>
      <w:lvlText w:val="•"/>
      <w:numFmt w:val="bullet"/>
      <w:start w:val="1"/>
    </w:lvl>
  </w:abstractNum>
  <w:abstractNum w:abstractNumId="14">
    <w:nsid w:val="79A1DEAA"/>
    <w:multiLevelType w:val="hybridMultilevel"/>
    <w:lvl w:ilvl="0">
      <w:lvlJc w:val="left"/>
      <w:lvlText w:val="4"/>
      <w:numFmt w:val="bullet"/>
      <w:start w:val="1"/>
    </w:lvl>
  </w:abstractNum>
  <w:abstractNum w:abstractNumId="15">
    <w:nsid w:val="75C6C33A"/>
    <w:multiLevelType w:val="hybridMultilevel"/>
    <w:lvl w:ilvl="0">
      <w:lvlJc w:val="left"/>
      <w:lvlText w:val="(%1)"/>
      <w:numFmt w:val="lowerRoman"/>
      <w:start w:val="1"/>
    </w:lvl>
  </w:abstractNum>
  <w:abstractNum w:abstractNumId="16">
    <w:nsid w:val="12E685FB"/>
    <w:multiLevelType w:val="hybridMultilevel"/>
    <w:lvl w:ilvl="0">
      <w:lvlJc w:val="left"/>
      <w:lvlText w:val="•"/>
      <w:numFmt w:val="bullet"/>
      <w:start w:val="1"/>
    </w:lvl>
  </w:abstractNum>
  <w:abstractNum w:abstractNumId="17">
    <w:nsid w:val="70C6A529"/>
    <w:multiLevelType w:val="hybridMultilevel"/>
    <w:lvl w:ilvl="0">
      <w:lvlJc w:val="left"/>
      <w:lvlText w:val="•"/>
      <w:numFmt w:val="bullet"/>
      <w:start w:val="1"/>
    </w:lvl>
  </w:abstractNum>
  <w:abstractNum w:abstractNumId="18">
    <w:nsid w:val="520EEDD1"/>
    <w:multiLevelType w:val="hybridMultilevel"/>
    <w:lvl w:ilvl="0">
      <w:lvlJc w:val="left"/>
      <w:lvlText w:val="6"/>
      <w:numFmt w:val="bullet"/>
      <w:start w:val="1"/>
    </w:lvl>
  </w:abstractNum>
  <w:abstractNum w:abstractNumId="19">
    <w:nsid w:val="374A3FE6"/>
    <w:multiLevelType w:val="hybridMultilevel"/>
    <w:lvl w:ilvl="0">
      <w:lvlJc w:val="left"/>
      <w:lvlText w:val="8"/>
      <w:numFmt w:val="bullet"/>
      <w:start w:val="1"/>
    </w:lvl>
  </w:abstractNum>
  <w:abstractNum w:abstractNumId="20">
    <w:nsid w:val="4F4EF005"/>
    <w:multiLevelType w:val="hybridMultilevel"/>
    <w:lvl w:ilvl="0">
      <w:lvlJc w:val="left"/>
      <w:lvlText w:val="%1"/>
      <w:numFmt w:val="decimal"/>
      <w:start w:val="10"/>
    </w:lvl>
  </w:abstractNum>
  <w:abstractNum w:abstractNumId="21">
    <w:nsid w:val="23F9C13C"/>
    <w:multiLevelType w:val="hybridMultilevel"/>
    <w:lvl w:ilvl="0">
      <w:lvlJc w:val="left"/>
      <w:lvlText w:val="•"/>
      <w:numFmt w:val="bullet"/>
      <w:start w:val="1"/>
    </w:lvl>
  </w:abstractNum>
  <w:abstractNum w:abstractNumId="22">
    <w:nsid w:val="649BB77C"/>
    <w:multiLevelType w:val="hybridMultilevel"/>
    <w:lvl w:ilvl="0">
      <w:lvlJc w:val="left"/>
      <w:lvlText w:val="%1"/>
      <w:numFmt w:val="decimal"/>
      <w:start w:val="12"/>
    </w:lvl>
  </w:abstractNum>
  <w:abstractNum w:abstractNumId="23">
    <w:nsid w:val="275AC794"/>
    <w:multiLevelType w:val="hybridMultilevel"/>
    <w:lvl w:ilvl="0">
      <w:lvlJc w:val="left"/>
      <w:lvlText w:val="•"/>
      <w:numFmt w:val="bullet"/>
      <w:start w:val="1"/>
    </w:lvl>
  </w:abstractNum>
  <w:abstractNum w:abstractNumId="24">
    <w:nsid w:val="39386575"/>
    <w:multiLevelType w:val="hybridMultilevel"/>
    <w:lvl w:ilvl="0">
      <w:lvlJc w:val="left"/>
      <w:lvlText w:val="•"/>
      <w:numFmt w:val="bullet"/>
      <w:start w:val="1"/>
    </w:lvl>
  </w:abstractNum>
  <w:abstractNum w:abstractNumId="25">
    <w:nsid w:val="1CF10FD8"/>
    <w:multiLevelType w:val="hybridMultilevel"/>
    <w:lvl w:ilvl="0">
      <w:lvlJc w:val="left"/>
      <w:lvlText w:val="%1"/>
      <w:numFmt w:val="decimal"/>
      <w:start w:val="14"/>
    </w:lvl>
  </w:abstractNum>
  <w:abstractNum w:abstractNumId="26">
    <w:nsid w:val="180115BE"/>
    <w:multiLevelType w:val="hybridMultilevel"/>
    <w:lvl w:ilvl="0">
      <w:lvlJc w:val="left"/>
      <w:lvlText w:val="•"/>
      <w:numFmt w:val="bullet"/>
      <w:start w:val="1"/>
    </w:lvl>
    <w:lvl w:ilvl="1">
      <w:lvlJc w:val="left"/>
      <w:lvlText w:val="•"/>
      <w:numFmt w:val="bullet"/>
      <w:start w:val="1"/>
    </w:lvl>
  </w:abstractNum>
  <w:abstractNum w:abstractNumId="27">
    <w:nsid w:val="235BA861"/>
    <w:multiLevelType w:val="hybridMultilevel"/>
    <w:lvl w:ilvl="0">
      <w:lvlJc w:val="left"/>
      <w:lvlText w:val="%1"/>
      <w:numFmt w:val="decimal"/>
      <w:start w:val="16"/>
    </w:lvl>
  </w:abstractNum>
  <w:abstractNum w:abstractNumId="28">
    <w:nsid w:val="47398C89"/>
    <w:multiLevelType w:val="hybridMultilevel"/>
    <w:lvl w:ilvl="0">
      <w:lvlJc w:val="left"/>
      <w:lvlText w:val="•"/>
      <w:numFmt w:val="bullet"/>
      <w:start w:val="1"/>
    </w:lvl>
    <w:lvl w:ilvl="1">
      <w:lvlJc w:val="left"/>
      <w:lvlText w:val="•"/>
      <w:numFmt w:val="bullet"/>
      <w:start w:val="1"/>
    </w:lvl>
  </w:abstractNum>
  <w:abstractNum w:abstractNumId="29">
    <w:nsid w:val="354FE9F9"/>
    <w:multiLevelType w:val="hybridMultilevel"/>
    <w:lvl w:ilvl="0">
      <w:lvlJc w:val="left"/>
      <w:lvlText w:val="•"/>
      <w:numFmt w:val="bullet"/>
      <w:start w:val="1"/>
    </w:lvl>
  </w:abstractNum>
  <w:abstractNum w:abstractNumId="30">
    <w:nsid w:val="15B5AF5C"/>
    <w:multiLevelType w:val="hybridMultilevel"/>
    <w:lvl w:ilvl="0">
      <w:lvlJc w:val="left"/>
      <w:lvlText w:val="•"/>
      <w:numFmt w:val="bullet"/>
      <w:start w:val="1"/>
    </w:lvl>
  </w:abstractNum>
  <w:abstractNum w:abstractNumId="31">
    <w:nsid w:val="741226BB"/>
    <w:multiLevelType w:val="hybridMultilevel"/>
    <w:lvl w:ilvl="0">
      <w:lvlJc w:val="left"/>
      <w:lvlText w:val="•"/>
      <w:numFmt w:val="bullet"/>
      <w:start w:val="1"/>
    </w:lvl>
    <w:lvl w:ilvl="1">
      <w:lvlJc w:val="left"/>
      <w:lvlText w:val="•"/>
      <w:numFmt w:val="bullet"/>
      <w:start w:val="1"/>
    </w:lvl>
  </w:abstractNum>
  <w:abstractNum w:abstractNumId="32">
    <w:nsid w:val="D34B6A8"/>
    <w:multiLevelType w:val="hybridMultilevel"/>
    <w:lvl w:ilvl="0">
      <w:lvlJc w:val="left"/>
      <w:lvlText w:val="•"/>
      <w:numFmt w:val="bullet"/>
      <w:start w:val="1"/>
    </w:lvl>
    <w:lvl w:ilvl="1">
      <w:lvlJc w:val="left"/>
      <w:lvlText w:val="•"/>
      <w:numFmt w:val="bullet"/>
      <w:start w:val="1"/>
    </w:lvl>
  </w:abstractNum>
  <w:abstractNum w:abstractNumId="33">
    <w:nsid w:val="10233C99"/>
    <w:multiLevelType w:val="hybridMultilevel"/>
    <w:lvl w:ilvl="0">
      <w:lvlJc w:val="left"/>
      <w:lvlText w:val="•"/>
      <w:numFmt w:val="bullet"/>
      <w:start w:val="1"/>
    </w:lvl>
    <w:lvl w:ilvl="1">
      <w:lvlJc w:val="left"/>
      <w:lvlText w:val="•"/>
      <w:numFmt w:val="bullet"/>
      <w:start w:val="1"/>
    </w:lvl>
  </w:abstractNum>
  <w:abstractNum w:abstractNumId="34">
    <w:nsid w:val="3F6AB60F"/>
    <w:multiLevelType w:val="hybridMultilevel"/>
    <w:lvl w:ilvl="0">
      <w:lvlJc w:val="left"/>
      <w:lvlText w:val="%1"/>
      <w:numFmt w:val="decimal"/>
      <w:start w:val="18"/>
    </w:lvl>
  </w:abstractNum>
  <w:abstractNum w:abstractNumId="35">
    <w:nsid w:val="61574095"/>
    <w:multiLevelType w:val="hybridMultilevel"/>
    <w:lvl w:ilvl="0">
      <w:lvlJc w:val="left"/>
      <w:lvlText w:val="•"/>
      <w:numFmt w:val="bullet"/>
      <w:start w:val="1"/>
    </w:lvl>
  </w:abstractNum>
  <w:abstractNum w:abstractNumId="36">
    <w:nsid w:val="7E0C57B1"/>
    <w:multiLevelType w:val="hybridMultilevel"/>
    <w:lvl w:ilvl="0">
      <w:lvlJc w:val="left"/>
      <w:lvlText w:val="•"/>
      <w:numFmt w:val="bullet"/>
      <w:start w:val="1"/>
    </w:lvl>
  </w:abstractNum>
  <w:abstractNum w:abstractNumId="37">
    <w:nsid w:val="77AE35EB"/>
    <w:multiLevelType w:val="hybridMultilevel"/>
    <w:lvl w:ilvl="0">
      <w:lvlJc w:val="left"/>
      <w:lvlText w:val="%1"/>
      <w:numFmt w:val="decimal"/>
      <w:start w:val="20"/>
    </w:lvl>
  </w:abstractNum>
  <w:abstractNum w:abstractNumId="38">
    <w:nsid w:val="579BE4F1"/>
    <w:multiLevelType w:val="hybridMultilevel"/>
    <w:lvl w:ilvl="0">
      <w:lvlJc w:val="left"/>
      <w:lvlText w:val="(%1)"/>
      <w:numFmt w:val="decimal"/>
      <w:start w:val="1"/>
    </w:lvl>
  </w:abstractNum>
  <w:abstractNum w:abstractNumId="39">
    <w:nsid w:val="310C50B3"/>
    <w:multiLevelType w:val="hybridMultilevel"/>
    <w:lvl w:ilvl="0">
      <w:lvlJc w:val="left"/>
      <w:lvlText w:val="(%1)"/>
      <w:numFmt w:val="decimal"/>
      <w:start w:val="4"/>
    </w:lvl>
  </w:abstractNum>
  <w:abstractNum w:abstractNumId="40">
    <w:nsid w:val="5FF87E05"/>
    <w:multiLevelType w:val="hybridMultilevel"/>
    <w:lvl w:ilvl="0">
      <w:lvlJc w:val="left"/>
      <w:lvlText w:val="(%1)"/>
      <w:numFmt w:val="decimal"/>
      <w:start w:val="1"/>
    </w:lvl>
  </w:abstractNum>
  <w:abstractNum w:abstractNumId="41">
    <w:nsid w:val="2F305DEF"/>
    <w:multiLevelType w:val="hybridMultilevel"/>
    <w:lvl w:ilvl="0">
      <w:lvlJc w:val="left"/>
      <w:lvlText w:val="%1"/>
      <w:numFmt w:val="decimal"/>
      <w:start w:val="22"/>
    </w:lvl>
  </w:abstractNum>
  <w:abstractNum w:abstractNumId="42">
    <w:nsid w:val="25A70BF7"/>
    <w:multiLevelType w:val="hybridMultilevel"/>
    <w:lvl w:ilvl="0">
      <w:lvlJc w:val="left"/>
      <w:lvlText w:val="(%1)"/>
      <w:numFmt w:val="decimal"/>
      <w:start w:val="1"/>
    </w:lvl>
  </w:abstractNum>
  <w:abstractNum w:abstractNumId="43">
    <w:nsid w:val="1DBABF00"/>
    <w:multiLevelType w:val="hybridMultilevel"/>
    <w:lvl w:ilvl="0">
      <w:lvlJc w:val="left"/>
      <w:lvlText w:val="%1"/>
      <w:numFmt w:val="decimal"/>
      <w:start w:val="24"/>
    </w:lvl>
  </w:abstractNum>
  <w:abstractNum w:abstractNumId="44">
    <w:nsid w:val="4AD084E9"/>
    <w:multiLevelType w:val="hybridMultilevel"/>
    <w:lvl w:ilvl="0">
      <w:lvlJc w:val="left"/>
      <w:lvlText w:val="(%1)"/>
      <w:numFmt w:val="decimal"/>
      <w:start w:val="1"/>
    </w:lvl>
    <w:lvl w:ilvl="1">
      <w:lvlJc w:val="left"/>
      <w:lvlText w:val="•"/>
      <w:numFmt w:val="bullet"/>
      <w:start w:val="1"/>
    </w:lvl>
  </w:abstractNum>
  <w:abstractNum w:abstractNumId="45">
    <w:nsid w:val="1F48EAA1"/>
    <w:multiLevelType w:val="hybridMultilevel"/>
    <w:lvl w:ilvl="0">
      <w:lvlJc w:val="left"/>
      <w:lvlText w:val="%1"/>
      <w:numFmt w:val="decimal"/>
      <w:start w:val="26"/>
    </w:lvl>
  </w:abstractNum>
  <w:abstractNum w:abstractNumId="46">
    <w:nsid w:val="1381823A"/>
    <w:multiLevelType w:val="hybridMultilevel"/>
    <w:lvl w:ilvl="0">
      <w:lvlJc w:val="left"/>
      <w:lvlText w:val="%1"/>
      <w:numFmt w:val="decimal"/>
      <w:start w:val="28"/>
    </w:lvl>
  </w:abstractNum>
  <w:abstractNum w:abstractNumId="47">
    <w:nsid w:val="5DB70AE5"/>
    <w:multiLevelType w:val="hybridMultilevel"/>
    <w:lvl w:ilvl="0">
      <w:lvlJc w:val="left"/>
      <w:lvlText w:val="(%1)"/>
      <w:numFmt w:val="decimal"/>
      <w:start w:val="1"/>
    </w:lvl>
  </w:abstractNum>
  <w:abstractNum w:abstractNumId="48">
    <w:nsid w:val="100F8FCA"/>
    <w:multiLevelType w:val="hybridMultilevel"/>
    <w:lvl w:ilvl="0">
      <w:lvlJc w:val="left"/>
      <w:lvlText w:val="%1"/>
      <w:numFmt w:val="decimal"/>
      <w:start w:val="30"/>
    </w:lvl>
  </w:abstractNum>
  <w:abstractNum w:abstractNumId="49">
    <w:nsid w:val="6590700B"/>
    <w:multiLevelType w:val="hybridMultilevel"/>
    <w:lvl w:ilvl="0">
      <w:lvlJc w:val="left"/>
      <w:lvlText w:val="✔"/>
      <w:numFmt w:val="bullet"/>
      <w:start w:val="1"/>
    </w:lvl>
  </w:abstractNum>
  <w:abstractNum w:abstractNumId="50">
    <w:nsid w:val="15014ACB"/>
    <w:multiLevelType w:val="hybridMultilevel"/>
    <w:lvl w:ilvl="0">
      <w:lvlJc w:val="left"/>
      <w:lvlText w:val="✗"/>
      <w:numFmt w:val="bullet"/>
      <w:start w:val="1"/>
    </w:lvl>
  </w:abstractNum>
  <w:abstractNum w:abstractNumId="51">
    <w:nsid w:val="5F5E7FD0"/>
    <w:multiLevelType w:val="hybridMultilevel"/>
    <w:lvl w:ilvl="0">
      <w:lvlJc w:val="left"/>
      <w:lvlText w:val="•"/>
      <w:numFmt w:val="bullet"/>
      <w:start w:val="1"/>
    </w:lvl>
  </w:abstractNum>
  <w:abstractNum w:abstractNumId="52">
    <w:nsid w:val="98A3148"/>
    <w:multiLevelType w:val="hybridMultilevel"/>
    <w:lvl w:ilvl="0">
      <w:lvlJc w:val="left"/>
      <w:lvlText w:val="•"/>
      <w:numFmt w:val="bullet"/>
      <w:start w:val="1"/>
    </w:lvl>
  </w:abstractNum>
  <w:abstractNum w:abstractNumId="53">
    <w:nsid w:val="799D0247"/>
    <w:multiLevelType w:val="hybridMultilevel"/>
    <w:lvl w:ilvl="0">
      <w:lvlJc w:val="left"/>
      <w:lvlText w:val="•"/>
      <w:numFmt w:val="bullet"/>
      <w:start w:val="1"/>
    </w:lvl>
  </w:abstractNum>
  <w:abstractNum w:abstractNumId="54">
    <w:nsid w:val="6B94764"/>
    <w:multiLevelType w:val="hybridMultilevel"/>
    <w:lvl w:ilvl="0">
      <w:lvlJc w:val="left"/>
      <w:lvlText w:val="%1"/>
      <w:numFmt w:val="decimal"/>
      <w:start w:val="32"/>
    </w:lvl>
  </w:abstractNum>
  <w:abstractNum w:abstractNumId="55">
    <w:nsid w:val="42C296BD"/>
    <w:multiLevelType w:val="hybridMultilevel"/>
    <w:lvl w:ilvl="0">
      <w:lvlJc w:val="left"/>
      <w:lvlText w:val="•"/>
      <w:numFmt w:val="bullet"/>
      <w:start w:val="1"/>
    </w:lvl>
  </w:abstractNum>
  <w:abstractNum w:abstractNumId="56">
    <w:nsid w:val="168E121F"/>
    <w:multiLevelType w:val="hybridMultilevel"/>
    <w:lvl w:ilvl="0">
      <w:lvlJc w:val="left"/>
      <w:lvlText w:val="•"/>
      <w:numFmt w:val="bullet"/>
      <w:start w:val="1"/>
    </w:lvl>
  </w:abstractNum>
  <w:abstractNum w:abstractNumId="57">
    <w:nsid w:val="1EBA5D23"/>
    <w:multiLevelType w:val="hybridMultilevel"/>
    <w:lvl w:ilvl="0">
      <w:lvlJc w:val="left"/>
      <w:lvlText w:val="%1"/>
      <w:numFmt w:val="decimal"/>
      <w:start w:val="34"/>
    </w:lvl>
  </w:abstractNum>
  <w:abstractNum w:abstractNumId="58">
    <w:nsid w:val="661E3F1E"/>
    <w:multiLevelType w:val="hybridMultilevel"/>
    <w:lvl w:ilvl="0">
      <w:lvlJc w:val="left"/>
      <w:lvlText w:val="•"/>
      <w:numFmt w:val="bullet"/>
      <w:start w:val="1"/>
    </w:lvl>
  </w:abstractNum>
  <w:abstractNum w:abstractNumId="59">
    <w:nsid w:val="5DC79EA8"/>
    <w:multiLevelType w:val="hybridMultilevel"/>
    <w:lvl w:ilvl="0">
      <w:lvlJc w:val="left"/>
      <w:lvlText w:val="•"/>
      <w:numFmt w:val="bullet"/>
      <w:start w:val="1"/>
    </w:lvl>
  </w:abstractNum>
  <w:abstractNum w:abstractNumId="60">
    <w:nsid w:val="540A471C"/>
    <w:multiLevelType w:val="hybridMultilevel"/>
    <w:lvl w:ilvl="0">
      <w:lvlJc w:val="left"/>
      <w:lvlText w:val="%1"/>
      <w:numFmt w:val="decimal"/>
      <w:start w:val="36"/>
    </w:lvl>
  </w:abstractNum>
  <w:abstractNum w:abstractNumId="61">
    <w:nsid w:val="7BD3EE7B"/>
    <w:multiLevelType w:val="hybridMultilevel"/>
    <w:lvl w:ilvl="0">
      <w:lvlJc w:val="left"/>
      <w:lvlText w:val="(%1)"/>
      <w:numFmt w:val="decimal"/>
      <w:start w:val="1"/>
    </w:lvl>
  </w:abstractNum>
  <w:abstractNum w:abstractNumId="62">
    <w:nsid w:val="51D9C564"/>
    <w:multiLevelType w:val="hybridMultilevel"/>
    <w:lvl w:ilvl="0">
      <w:lvlJc w:val="left"/>
      <w:lvlText w:val="(%1)"/>
      <w:numFmt w:val="decimal"/>
      <w:start w:val="1"/>
    </w:lvl>
  </w:abstractNum>
  <w:abstractNum w:abstractNumId="63">
    <w:nsid w:val="613EFDC5"/>
    <w:multiLevelType w:val="hybridMultilevel"/>
    <w:lvl w:ilvl="0">
      <w:lvlJc w:val="left"/>
      <w:lvlText w:val="%1"/>
      <w:numFmt w:val="decimal"/>
      <w:start w:val="38"/>
    </w:lvl>
  </w:abstractNum>
  <w:abstractNum w:abstractNumId="64">
    <w:nsid w:val="BF72B14"/>
    <w:multiLevelType w:val="hybridMultilevel"/>
    <w:lvl w:ilvl="0">
      <w:lvlJc w:val="left"/>
      <w:lvlText w:val="(%1)"/>
      <w:numFmt w:val="decimal"/>
      <w:start w:val="1"/>
    </w:lvl>
  </w:abstractNum>
  <w:abstractNum w:abstractNumId="65">
    <w:nsid w:val="11447B73"/>
    <w:multiLevelType w:val="hybridMultilevel"/>
    <w:lvl w:ilvl="0">
      <w:lvlJc w:val="left"/>
      <w:lvlText w:val="(%1)"/>
      <w:numFmt w:val="decimal"/>
      <w:start w:val="1"/>
    </w:lvl>
  </w:abstractNum>
  <w:abstractNum w:abstractNumId="66">
    <w:nsid w:val="42963E5A"/>
    <w:multiLevelType w:val="hybridMultilevel"/>
    <w:lvl w:ilvl="0">
      <w:lvlJc w:val="left"/>
      <w:lvlText w:val="%1"/>
      <w:numFmt w:val="decimal"/>
      <w:start w:val="40"/>
    </w:lvl>
  </w:abstractNum>
  <w:abstractNum w:abstractNumId="67">
    <w:nsid w:val="A0382C5"/>
    <w:multiLevelType w:val="hybridMultilevel"/>
    <w:lvl w:ilvl="0">
      <w:lvlJc w:val="left"/>
      <w:lvlText w:val="%1"/>
      <w:numFmt w:val="decimal"/>
      <w:start w:val="42"/>
    </w:lvl>
  </w:abstractNum>
  <w:abstractNum w:abstractNumId="68">
    <w:nsid w:val="8F2B15E"/>
    <w:multiLevelType w:val="hybridMultilevel"/>
    <w:lvl w:ilvl="0">
      <w:lvlJc w:val="left"/>
      <w:lvlText w:val="%1"/>
      <w:numFmt w:val="decimal"/>
      <w:start w:val="44"/>
    </w:lvl>
  </w:abstractNum>
  <w:abstractNum w:abstractNumId="69">
    <w:nsid w:val="1A32234B"/>
    <w:multiLevelType w:val="hybridMultilevel"/>
    <w:lvl w:ilvl="0">
      <w:lvlJc w:val="left"/>
      <w:lvlText w:val="%1"/>
      <w:numFmt w:val="decimal"/>
      <w:start w:val="46"/>
    </w:lvl>
  </w:abstractNum>
  <w:abstractNum w:abstractNumId="70">
    <w:nsid w:val="3B0FD379"/>
    <w:multiLevelType w:val="hybridMultilevel"/>
    <w:lvl w:ilvl="0">
      <w:lvlJc w:val="left"/>
      <w:lvlText w:val="(%1)"/>
      <w:numFmt w:val="decimal"/>
      <w:start w:val="1"/>
    </w:lvl>
  </w:abstractNum>
  <w:abstractNum w:abstractNumId="71">
    <w:nsid w:val="68EB2F63"/>
    <w:multiLevelType w:val="hybridMultilevel"/>
    <w:lvl w:ilvl="0">
      <w:lvlJc w:val="left"/>
      <w:lvlText w:val="%1"/>
      <w:numFmt w:val="decimal"/>
      <w:start w:val="48"/>
    </w:lvl>
  </w:abstractNum>
  <w:abstractNum w:abstractNumId="72">
    <w:nsid w:val="4962813B"/>
    <w:multiLevelType w:val="hybridMultilevel"/>
    <w:lvl w:ilvl="0">
      <w:lvlJc w:val="left"/>
      <w:lvlText w:val="(%1)"/>
      <w:numFmt w:val="decimal"/>
      <w:start w:val="1"/>
    </w:lvl>
  </w:abstractNum>
  <w:abstractNum w:abstractNumId="73">
    <w:nsid w:val="60B6DF70"/>
    <w:multiLevelType w:val="hybridMultilevel"/>
    <w:lvl w:ilvl="0">
      <w:lvlJc w:val="left"/>
      <w:lvlText w:val="(%1)"/>
      <w:numFmt w:val="decimal"/>
      <w:start w:val="1"/>
    </w:lvl>
  </w:abstractNum>
  <w:abstractNum w:abstractNumId="74">
    <w:nsid w:val="6A5EE64"/>
    <w:multiLevelType w:val="hybridMultilevel"/>
    <w:lvl w:ilvl="0">
      <w:lvlJc w:val="left"/>
      <w:lvlText w:val="%1"/>
      <w:numFmt w:val="decimal"/>
      <w:start w:val="50"/>
    </w:lvl>
  </w:abstractNum>
  <w:abstractNum w:abstractNumId="75">
    <w:nsid w:val="14330624"/>
    <w:multiLevelType w:val="hybridMultilevel"/>
    <w:lvl w:ilvl="0">
      <w:lvlJc w:val="left"/>
      <w:lvlText w:val="(%1)"/>
      <w:numFmt w:val="decimal"/>
      <w:start w:val="1"/>
    </w:lvl>
  </w:abstractNum>
  <w:abstractNum w:abstractNumId="76">
    <w:nsid w:val="7FFFCA11"/>
    <w:multiLevelType w:val="hybridMultilevel"/>
    <w:lvl w:ilvl="0">
      <w:lvlJc w:val="left"/>
      <w:lvlText w:val="•"/>
      <w:numFmt w:val="bullet"/>
      <w:start w:val="1"/>
    </w:lvl>
  </w:abstractNum>
  <w:abstractNum w:abstractNumId="77">
    <w:nsid w:val="1A27709E"/>
    <w:multiLevelType w:val="hybridMultilevel"/>
    <w:lvl w:ilvl="0">
      <w:lvlJc w:val="left"/>
      <w:lvlText w:val="%1"/>
      <w:numFmt w:val="decimal"/>
      <w:start w:val="52"/>
    </w:lvl>
  </w:abstractNum>
  <w:abstractNum w:abstractNumId="78">
    <w:nsid w:val="71EA1109"/>
    <w:multiLevelType w:val="hybridMultilevel"/>
    <w:lvl w:ilvl="0">
      <w:lvlJc w:val="left"/>
      <w:lvlText w:val="•"/>
      <w:numFmt w:val="bullet"/>
      <w:start w:val="1"/>
    </w:lvl>
  </w:abstractNum>
  <w:abstractNum w:abstractNumId="79">
    <w:nsid w:val="100F59DC"/>
    <w:multiLevelType w:val="hybridMultilevel"/>
    <w:lvl w:ilvl="0">
      <w:lvlJc w:val="left"/>
      <w:lvlText w:val="(%1)"/>
      <w:numFmt w:val="decimal"/>
      <w:start w:val="1"/>
    </w:lvl>
  </w:abstractNum>
  <w:abstractNum w:abstractNumId="80">
    <w:nsid w:val="7FB7E0AA"/>
    <w:multiLevelType w:val="hybridMultilevel"/>
    <w:lvl w:ilvl="0">
      <w:lvlJc w:val="left"/>
      <w:lvlText w:val="(%1)"/>
      <w:numFmt w:val="decimal"/>
      <w:start w:val="1"/>
    </w:lvl>
  </w:abstractNum>
  <w:abstractNum w:abstractNumId="81">
    <w:nsid w:val="6EB5BD4"/>
    <w:multiLevelType w:val="hybridMultilevel"/>
    <w:lvl w:ilvl="0">
      <w:lvlJc w:val="left"/>
      <w:lvlText w:val="%1"/>
      <w:numFmt w:val="decimal"/>
      <w:start w:val="54"/>
    </w:lvl>
  </w:abstractNum>
  <w:abstractNum w:abstractNumId="82">
    <w:nsid w:val="6F6DD9AC"/>
    <w:multiLevelType w:val="hybridMultilevel"/>
    <w:lvl w:ilvl="0">
      <w:lvlJc w:val="left"/>
      <w:lvlText w:val="(%1)"/>
      <w:numFmt w:val="decimal"/>
      <w:start w:val="1"/>
    </w:lvl>
  </w:abstractNum>
  <w:abstractNum w:abstractNumId="83">
    <w:nsid w:val="94211F2"/>
    <w:multiLevelType w:val="hybridMultilevel"/>
    <w:lvl w:ilvl="0">
      <w:lvlJc w:val="left"/>
      <w:lvlText w:val="%1"/>
      <w:numFmt w:val="decimal"/>
      <w:start w:val="56"/>
    </w:lvl>
  </w:abstractNum>
  <w:abstractNum w:abstractNumId="84">
    <w:nsid w:val="885E1B"/>
    <w:multiLevelType w:val="hybridMultilevel"/>
    <w:lvl w:ilvl="0">
      <w:lvlJc w:val="left"/>
      <w:lvlText w:val="•"/>
      <w:numFmt w:val="bullet"/>
      <w:start w:val="1"/>
    </w:lvl>
  </w:abstractNum>
  <w:abstractNum w:abstractNumId="85">
    <w:nsid w:val="76272110"/>
    <w:multiLevelType w:val="hybridMultilevel"/>
    <w:lvl w:ilvl="0">
      <w:lvlJc w:val="left"/>
      <w:lvlText w:val="(%1)"/>
      <w:numFmt w:val="lowerRoman"/>
      <w:start w:val="5"/>
    </w:lvl>
  </w:abstractNum>
  <w:abstractNum w:abstractNumId="86">
    <w:nsid w:val="4C04A8AF"/>
    <w:multiLevelType w:val="hybridMultilevel"/>
    <w:lvl w:ilvl="0">
      <w:lvlJc w:val="left"/>
      <w:lvlText w:val="•"/>
      <w:numFmt w:val="bullet"/>
      <w:start w:val="1"/>
    </w:lvl>
  </w:abstractNum>
  <w:abstractNum w:abstractNumId="87">
    <w:nsid w:val="1716703B"/>
    <w:multiLevelType w:val="hybridMultilevel"/>
    <w:lvl w:ilvl="0">
      <w:lvlJc w:val="left"/>
      <w:lvlText w:val="%1"/>
      <w:numFmt w:val="decimal"/>
      <w:start w:val="60"/>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jpe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jpe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jpe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2022-04-05T15:28:00Z</dcterms:created>
  <dcterms:modified xsi:type="dcterms:W3CDTF">2022-04-05T15:28:00Z</dcterms:modified>
</cp:coreProperties>
</file>