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2374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237480"/>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11"/>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JACOBS PAUL E</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20" w:type="dxa"/>
            <w:vAlign w:val="bottom"/>
            <w:gridSpan w:val="5"/>
          </w:tcPr>
          <w:p>
            <w:pPr>
              <w:spacing w:after="0" w:line="107"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DROPBOX,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DBX</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5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5"/>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4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40" w:type="dxa"/>
            <w:vAlign w:val="bottom"/>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58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5"/>
            <w:vMerge w:val="continue"/>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68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6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280" w:type="dxa"/>
            <w:vAlign w:val="bottom"/>
          </w:tcPr>
          <w:p>
            <w:pPr>
              <w:spacing w:after="0"/>
              <w:rPr>
                <w:sz w:val="2"/>
                <w:szCs w:val="2"/>
                <w:color w:val="auto"/>
              </w:rPr>
            </w:pPr>
          </w:p>
        </w:tc>
        <w:tc>
          <w:tcPr>
            <w:tcW w:w="1560" w:type="dxa"/>
            <w:vAlign w:val="bottom"/>
            <w:gridSpan w:val="5"/>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30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100" w:type="dxa"/>
            <w:vAlign w:val="bottom"/>
            <w:tcBorders>
              <w:top w:val="single" w:sz="8" w:color="0000EE"/>
            </w:tcBorders>
          </w:tcPr>
          <w:p>
            <w:pPr>
              <w:spacing w:after="0"/>
              <w:rPr>
                <w:sz w:val="8"/>
                <w:szCs w:val="8"/>
                <w:color w:val="auto"/>
              </w:rPr>
            </w:pPr>
          </w:p>
        </w:tc>
        <w:tc>
          <w:tcPr>
            <w:tcW w:w="7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300" w:type="dxa"/>
            <w:vAlign w:val="bottom"/>
            <w:gridSpan w:val="3"/>
            <w:vMerge w:val="continue"/>
          </w:tcPr>
          <w:p>
            <w:pPr>
              <w:spacing w:after="0"/>
              <w:rPr>
                <w:sz w:val="8"/>
                <w:szCs w:val="8"/>
                <w:color w:val="auto"/>
              </w:rPr>
            </w:pPr>
          </w:p>
        </w:tc>
        <w:tc>
          <w:tcPr>
            <w:tcW w:w="280" w:type="dxa"/>
            <w:vAlign w:val="bottom"/>
          </w:tcPr>
          <w:p>
            <w:pPr>
              <w:spacing w:after="0"/>
              <w:rPr>
                <w:sz w:val="8"/>
                <w:szCs w:val="8"/>
                <w:color w:val="auto"/>
              </w:rPr>
            </w:pPr>
          </w:p>
        </w:tc>
        <w:tc>
          <w:tcPr>
            <w:tcW w:w="15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7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40" w:type="dxa"/>
            <w:vAlign w:val="bottom"/>
          </w:tcPr>
          <w:p>
            <w:pPr>
              <w:spacing w:after="0"/>
              <w:rPr>
                <w:sz w:val="6"/>
                <w:szCs w:val="6"/>
                <w:color w:val="auto"/>
              </w:rPr>
            </w:pP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vMerge w:val="restart"/>
          </w:tcPr>
          <w:p>
            <w:pPr>
              <w:spacing w:after="0"/>
              <w:rPr>
                <w:sz w:val="6"/>
                <w:szCs w:val="6"/>
                <w:color w:val="auto"/>
              </w:rPr>
            </w:pPr>
          </w:p>
        </w:tc>
        <w:tc>
          <w:tcPr>
            <w:tcW w:w="1200" w:type="dxa"/>
            <w:vAlign w:val="bottom"/>
            <w:gridSpan w:val="2"/>
            <w:vMerge w:val="restart"/>
          </w:tcPr>
          <w:p>
            <w:pPr>
              <w:ind w:left="22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6"/>
                <w:szCs w:val="6"/>
                <w:color w:val="auto"/>
              </w:rPr>
            </w:pPr>
          </w:p>
        </w:tc>
        <w:tc>
          <w:tcPr>
            <w:tcW w:w="1560" w:type="dxa"/>
            <w:vAlign w:val="bottom"/>
            <w:gridSpan w:val="5"/>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156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6"/>
                <w:szCs w:val="16"/>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60" w:type="dxa"/>
            <w:vAlign w:val="bottom"/>
            <w:gridSpan w:val="6"/>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ind w:left="220"/>
              <w:spacing w:after="0"/>
              <w:rPr>
                <w:sz w:val="20"/>
                <w:szCs w:val="20"/>
                <w:color w:val="auto"/>
              </w:rPr>
            </w:pPr>
            <w:r>
              <w:rPr>
                <w:rFonts w:ascii="Arial" w:cs="Arial" w:eastAsia="Arial" w:hAnsi="Arial"/>
                <w:sz w:val="13"/>
                <w:szCs w:val="13"/>
                <w:color w:val="auto"/>
              </w:rPr>
              <w:t>below)</w:t>
            </w:r>
          </w:p>
        </w:tc>
        <w:tc>
          <w:tcPr>
            <w:tcW w:w="280" w:type="dxa"/>
            <w:vAlign w:val="bottom"/>
          </w:tcPr>
          <w:p>
            <w:pPr>
              <w:spacing w:after="0"/>
              <w:rPr>
                <w:sz w:val="16"/>
                <w:szCs w:val="16"/>
                <w:color w:val="auto"/>
              </w:rPr>
            </w:pPr>
          </w:p>
        </w:tc>
        <w:tc>
          <w:tcPr>
            <w:tcW w:w="780" w:type="dxa"/>
            <w:vAlign w:val="bottom"/>
            <w:gridSpan w:val="2"/>
          </w:tcPr>
          <w:p>
            <w:pPr>
              <w:ind w:left="30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1800 OWENS STREET</w:t>
            </w:r>
          </w:p>
        </w:tc>
        <w:tc>
          <w:tcPr>
            <w:tcW w:w="1340" w:type="dxa"/>
            <w:vAlign w:val="bottom"/>
          </w:tcPr>
          <w:p>
            <w:pPr>
              <w:spacing w:after="0"/>
              <w:rPr>
                <w:sz w:val="19"/>
                <w:szCs w:val="19"/>
                <w:color w:val="auto"/>
              </w:rPr>
            </w:pPr>
          </w:p>
        </w:tc>
        <w:tc>
          <w:tcPr>
            <w:tcW w:w="154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05/19/2022</w:t>
            </w: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5"/>
            <w:vMerge w:val="continue"/>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40" w:type="dxa"/>
            <w:vAlign w:val="bottom"/>
          </w:tcPr>
          <w:p>
            <w:pPr>
              <w:spacing w:after="0"/>
              <w:rPr>
                <w:sz w:val="6"/>
                <w:szCs w:val="6"/>
                <w:color w:val="auto"/>
              </w:rPr>
            </w:pP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SUITE 200</w:t>
            </w: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16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34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100" w:type="dxa"/>
            <w:vAlign w:val="bottom"/>
            <w:tcBorders>
              <w:bottom w:val="single" w:sz="8" w:color="2C2C2C"/>
            </w:tcBorders>
          </w:tcPr>
          <w:p>
            <w:pPr>
              <w:spacing w:after="0"/>
              <w:rPr>
                <w:sz w:val="21"/>
                <w:szCs w:val="21"/>
                <w:color w:val="auto"/>
              </w:rPr>
            </w:pPr>
          </w:p>
        </w:tc>
        <w:tc>
          <w:tcPr>
            <w:tcW w:w="600" w:type="dxa"/>
            <w:vAlign w:val="bottom"/>
            <w:tcBorders>
              <w:bottom w:val="single" w:sz="8" w:color="2C2C2C"/>
            </w:tcBorders>
          </w:tcPr>
          <w:p>
            <w:pPr>
              <w:spacing w:after="0"/>
              <w:rPr>
                <w:sz w:val="21"/>
                <w:szCs w:val="21"/>
                <w:color w:val="auto"/>
              </w:rPr>
            </w:pPr>
          </w:p>
        </w:tc>
        <w:tc>
          <w:tcPr>
            <w:tcW w:w="60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66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0" w:type="dxa"/>
            <w:vAlign w:val="bottom"/>
            <w:gridSpan w:val="7"/>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13"/>
                <w:szCs w:val="13"/>
                <w:color w:val="auto"/>
              </w:rPr>
            </w:pPr>
          </w:p>
        </w:tc>
        <w:tc>
          <w:tcPr>
            <w:tcW w:w="3420" w:type="dxa"/>
            <w:vAlign w:val="bottom"/>
            <w:gridSpan w:val="11"/>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gridSpan w:val="4"/>
          </w:tcPr>
          <w:p>
            <w:pPr>
              <w:ind w:left="8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40" w:type="dxa"/>
            <w:vAlign w:val="bottom"/>
          </w:tcPr>
          <w:p>
            <w:pPr>
              <w:spacing w:after="0"/>
              <w:rPr>
                <w:sz w:val="6"/>
                <w:szCs w:val="6"/>
                <w:color w:val="auto"/>
              </w:rPr>
            </w:pP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3140" w:type="dxa"/>
            <w:vAlign w:val="bottom"/>
            <w:gridSpan w:val="9"/>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w:t>
            </w:r>
          </w:p>
        </w:tc>
        <w:tc>
          <w:tcPr>
            <w:tcW w:w="560" w:type="dxa"/>
            <w:vAlign w:val="bottom"/>
          </w:tcPr>
          <w:p>
            <w:pPr>
              <w:spacing w:after="0"/>
              <w:rPr>
                <w:sz w:val="13"/>
                <w:szCs w:val="13"/>
                <w:color w:val="auto"/>
              </w:rPr>
            </w:pP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94158</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140" w:type="dxa"/>
            <w:vAlign w:val="bottom"/>
            <w:gridSpan w:val="9"/>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3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40" w:type="dxa"/>
            <w:vAlign w:val="bottom"/>
            <w:gridSpan w:val="8"/>
            <w:vMerge w:val="restart"/>
          </w:tcPr>
          <w:p>
            <w:pPr>
              <w:ind w:left="2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line="175" w:lineRule="exact"/>
              <w:rPr>
                <w:sz w:val="20"/>
                <w:szCs w:val="20"/>
                <w:color w:val="auto"/>
              </w:rPr>
            </w:pPr>
            <w:r>
              <w:rPr>
                <w:rFonts w:ascii="Times New Roman" w:cs="Times New Roman" w:eastAsia="Times New Roman" w:hAnsi="Times New Roman"/>
                <w:sz w:val="17"/>
                <w:szCs w:val="17"/>
                <w:color w:val="0000FF"/>
              </w:rPr>
              <w:t>FRANCISCO</w:t>
            </w:r>
          </w:p>
        </w:tc>
        <w:tc>
          <w:tcPr>
            <w:tcW w:w="3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4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4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40" w:type="dxa"/>
            <w:vAlign w:val="bottom"/>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40" w:type="dxa"/>
            <w:vAlign w:val="bottom"/>
            <w:gridSpan w:val="8"/>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ind w:left="220"/>
              <w:spacing w:after="0"/>
              <w:rPr>
                <w:sz w:val="20"/>
                <w:szCs w:val="20"/>
                <w:color w:val="auto"/>
              </w:rPr>
            </w:pPr>
            <w:r>
              <w:rPr>
                <w:rFonts w:ascii="Arial" w:cs="Arial" w:eastAsia="Arial" w:hAnsi="Arial"/>
                <w:sz w:val="13"/>
                <w:szCs w:val="13"/>
                <w:color w:val="auto"/>
              </w:rPr>
              <w:t>Person</w:t>
            </w: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9A9A9A"/>
            </w:tcBorders>
          </w:tcPr>
          <w:p>
            <w:pPr>
              <w:spacing w:after="0"/>
              <w:rPr>
                <w:sz w:val="2"/>
                <w:szCs w:val="2"/>
                <w:color w:val="auto"/>
              </w:rPr>
            </w:pPr>
          </w:p>
        </w:tc>
        <w:tc>
          <w:tcPr>
            <w:tcW w:w="560" w:type="dxa"/>
            <w:vAlign w:val="bottom"/>
            <w:tcBorders>
              <w:bottom w:val="single" w:sz="8" w:color="9A9A9A"/>
            </w:tcBorders>
          </w:tcPr>
          <w:p>
            <w:pPr>
              <w:spacing w:after="0"/>
              <w:rPr>
                <w:sz w:val="2"/>
                <w:szCs w:val="2"/>
                <w:color w:val="auto"/>
              </w:rPr>
            </w:pPr>
          </w:p>
        </w:tc>
        <w:tc>
          <w:tcPr>
            <w:tcW w:w="400" w:type="dxa"/>
            <w:vAlign w:val="bottom"/>
            <w:tcBorders>
              <w:bottom w:val="single" w:sz="8" w:color="9A9A9A"/>
            </w:tcBorders>
            <w:gridSpan w:val="2"/>
          </w:tcPr>
          <w:p>
            <w:pPr>
              <w:spacing w:after="0"/>
              <w:rPr>
                <w:sz w:val="2"/>
                <w:szCs w:val="2"/>
                <w:color w:val="auto"/>
              </w:rPr>
            </w:pPr>
          </w:p>
        </w:tc>
        <w:tc>
          <w:tcPr>
            <w:tcW w:w="720" w:type="dxa"/>
            <w:vAlign w:val="bottom"/>
            <w:tcBorders>
              <w:bottom w:val="single" w:sz="8" w:color="9A9A9A"/>
            </w:tcBorders>
          </w:tcPr>
          <w:p>
            <w:pPr>
              <w:spacing w:after="0"/>
              <w:rPr>
                <w:sz w:val="2"/>
                <w:szCs w:val="2"/>
                <w:color w:val="auto"/>
              </w:rPr>
            </w:pPr>
          </w:p>
        </w:tc>
        <w:tc>
          <w:tcPr>
            <w:tcW w:w="1340" w:type="dxa"/>
            <w:vAlign w:val="bottom"/>
            <w:tcBorders>
              <w:bottom w:val="single" w:sz="8" w:color="9A9A9A"/>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8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40" w:type="dxa"/>
            <w:vAlign w:val="bottom"/>
            <w:tcBorders>
              <w:bottom w:val="single" w:sz="8" w:color="2C2C2C"/>
            </w:tcBorders>
            <w:gridSpan w:val="4"/>
          </w:tcPr>
          <w:p>
            <w:pPr>
              <w:spacing w:after="0"/>
              <w:rPr>
                <w:sz w:val="10"/>
                <w:szCs w:val="10"/>
                <w:color w:val="auto"/>
              </w:rPr>
            </w:pPr>
          </w:p>
        </w:tc>
        <w:tc>
          <w:tcPr>
            <w:tcW w:w="2200" w:type="dxa"/>
            <w:vAlign w:val="bottom"/>
            <w:tcBorders>
              <w:bottom w:val="single" w:sz="8" w:color="2C2C2C"/>
            </w:tcBorders>
            <w:gridSpan w:val="4"/>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8"/>
          </w:tcPr>
          <w:p>
            <w:pPr>
              <w:ind w:left="5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4"/>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5"/>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780" w:type="dxa"/>
            <w:vAlign w:val="bottom"/>
            <w:gridSpan w:val="5"/>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4"/>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80" w:type="dxa"/>
            <w:vAlign w:val="bottom"/>
            <w:tcBorders>
              <w:bottom w:val="single" w:sz="8" w:color="2C2C2C"/>
            </w:tcBorders>
            <w:gridSpan w:val="5"/>
          </w:tcPr>
          <w:p>
            <w:pPr>
              <w:ind w:left="800"/>
              <w:spacing w:after="0"/>
              <w:rPr>
                <w:sz w:val="20"/>
                <w:szCs w:val="20"/>
                <w:color w:val="auto"/>
              </w:rPr>
            </w:pPr>
            <w:r>
              <w:rPr>
                <w:rFonts w:ascii="Times New Roman" w:cs="Times New Roman" w:eastAsia="Times New Roman" w:hAnsi="Times New Roman"/>
                <w:sz w:val="17"/>
                <w:szCs w:val="17"/>
                <w:color w:val="0000FF"/>
              </w:rPr>
              <w:t>05/19/2022</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473"/>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12,297</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gridSpan w:val="3"/>
          </w:tcPr>
          <w:p>
            <w:pPr>
              <w:ind w:left="2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300" w:type="dxa"/>
            <w:vAlign w:val="bottom"/>
            <w:tcBorders>
              <w:bottom w:val="single" w:sz="8" w:color="2C2C2C"/>
            </w:tcBorders>
            <w:gridSpan w:val="3"/>
          </w:tcPr>
          <w:p>
            <w:pPr>
              <w:jc w:val="center"/>
              <w:ind w:right="200"/>
              <w:spacing w:after="0"/>
              <w:rPr>
                <w:sz w:val="20"/>
                <w:szCs w:val="20"/>
                <w:color w:val="auto"/>
              </w:rPr>
            </w:pPr>
            <w:r>
              <w:rPr>
                <w:rFonts w:ascii="Times New Roman" w:cs="Times New Roman" w:eastAsia="Times New Roman" w:hAnsi="Times New Roman"/>
                <w:sz w:val="17"/>
                <w:szCs w:val="17"/>
                <w:color w:val="0000FF"/>
              </w:rPr>
              <w:t>113,846</w:t>
            </w:r>
            <w:r>
              <w:rPr>
                <w:rFonts w:ascii="Times New Roman" w:cs="Times New Roman" w:eastAsia="Times New Roman" w:hAnsi="Times New Roman"/>
                <w:sz w:val="22"/>
                <w:szCs w:val="22"/>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gridSpan w:val="6"/>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00" w:type="dxa"/>
            <w:vAlign w:val="bottom"/>
            <w:gridSpan w:val="3"/>
            <w:vMerge w:val="restart"/>
          </w:tcPr>
          <w:p>
            <w:pPr>
              <w:jc w:val="right"/>
              <w:ind w:right="280"/>
              <w:spacing w:after="0"/>
              <w:rPr>
                <w:sz w:val="20"/>
                <w:szCs w:val="20"/>
                <w:color w:val="auto"/>
              </w:rPr>
            </w:pPr>
            <w:r>
              <w:rPr>
                <w:rFonts w:ascii="Times New Roman" w:cs="Times New Roman" w:eastAsia="Times New Roman" w:hAnsi="Times New Roman"/>
                <w:sz w:val="17"/>
                <w:szCs w:val="17"/>
                <w:color w:val="0000FF"/>
              </w:rPr>
              <w:t>178,058</w:t>
            </w:r>
          </w:p>
        </w:tc>
        <w:tc>
          <w:tcPr>
            <w:tcW w:w="280" w:type="dxa"/>
            <w:vAlign w:val="bottom"/>
          </w:tcPr>
          <w:p>
            <w:pPr>
              <w:spacing w:after="0"/>
              <w:rPr>
                <w:sz w:val="21"/>
                <w:szCs w:val="21"/>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00" w:type="dxa"/>
            <w:vAlign w:val="bottom"/>
            <w:gridSpan w:val="6"/>
            <w:vMerge w:val="continue"/>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00" w:type="dxa"/>
            <w:vAlign w:val="bottom"/>
            <w:gridSpan w:val="3"/>
            <w:vMerge w:val="continue"/>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134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20" w:type="dxa"/>
            <w:vAlign w:val="bottom"/>
            <w:gridSpan w:val="17"/>
          </w:tcPr>
          <w:p>
            <w:pPr>
              <w:jc w:val="center"/>
              <w:ind w:right="5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520" w:type="dxa"/>
            <w:vAlign w:val="bottom"/>
            <w:gridSpan w:val="14"/>
          </w:tcPr>
          <w:p>
            <w:pPr>
              <w:jc w:val="center"/>
              <w:ind w:left="67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10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restricted stock units. Each restricted stock unit represents the Reporting Person's right to receive one share of Class A Common Stock. The restricted stock units vest in full on the earlier of May 19, 2023 or the day prior to the date of the Issuer's next annual meeting of stockholders.</w:t>
      </w:r>
    </w:p>
    <w:p>
      <w:pPr>
        <w:spacing w:after="0" w:line="7" w:lineRule="exact"/>
        <w:rPr>
          <w:rFonts w:ascii="Times New Roman" w:cs="Times New Roman" w:eastAsia="Times New Roman" w:hAnsi="Times New Roman"/>
          <w:sz w:val="13"/>
          <w:szCs w:val="13"/>
          <w:color w:val="008000"/>
        </w:rPr>
      </w:pPr>
    </w:p>
    <w:p>
      <w:pPr>
        <w:jc w:val="both"/>
        <w:ind w:left="40" w:right="3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Certain of these securities are restricted stock units. Each restricted stock unit represents the Reporting Person's right to receive one share of Class A Common Stock, subject to the applicable vesting schedule through May 19, 2023 or the day prior to the date of the Issuer's next annual meeting of stockholders. In the event the Reporting Person ceases to be a Service Provider, the unvested restricted stock units will be cancelled by the Issuer.</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are held by Paul E. Jacobs Trust u/a/d November 7, 2014, for which the Reporting Person serves as trustee.</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Cara Angelmar, Attorney-</w:t>
            </w:r>
          </w:p>
        </w:tc>
        <w:tc>
          <w:tcPr>
            <w:tcW w:w="80" w:type="dxa"/>
            <w:vAlign w:val="bottom"/>
          </w:tcPr>
          <w:p>
            <w:pPr>
              <w:spacing w:after="0"/>
              <w:rPr>
                <w:sz w:val="17"/>
                <w:szCs w:val="17"/>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05/23/2022</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191310"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2022-05-23T17:49:18Z</dcterms:created>
  <dcterms:modified xsi:type="dcterms:W3CDTF">2022-05-23T17:49:18Z</dcterms:modified>
</cp:coreProperties>
</file>