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304165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#1</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Securities and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295910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Dropbox,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26210C104</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296545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Schedule is filed pursuant to Rule 13d-1(b)</w:t>
      </w:r>
    </w:p>
    <w:p>
      <w:pPr>
        <w:spacing w:after="0" w:line="225"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(except any items to which the form provides a cross-reference)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26210C104</w:t>
      </w:r>
    </w:p>
    <w:p>
      <w:pPr>
        <w:spacing w:after="0" w:line="266" w:lineRule="exact"/>
        <w:rPr>
          <w:sz w:val="20"/>
          <w:szCs w:val="20"/>
          <w:color w:val="auto"/>
        </w:rPr>
      </w:pPr>
    </w:p>
    <w:p>
      <w:pPr>
        <w:ind w:left="260" w:hanging="95"/>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Name of Reporting Person</w:t>
      </w:r>
    </w:p>
    <w:p>
      <w:pPr>
        <w:spacing w:after="0" w:line="27" w:lineRule="exact"/>
        <w:rPr>
          <w:rFonts w:ascii="Times New Roman" w:cs="Times New Roman" w:eastAsia="Times New Roman" w:hAnsi="Times New Roman"/>
          <w:sz w:val="18"/>
          <w:szCs w:val="18"/>
          <w:color w:val="auto"/>
        </w:rPr>
      </w:pPr>
    </w:p>
    <w:p>
      <w:pPr>
        <w:ind w:left="680" w:hanging="78"/>
        <w:spacing w:after="0"/>
        <w:tabs>
          <w:tab w:leader="none" w:pos="680" w:val="left"/>
        </w:tabs>
        <w:numPr>
          <w:ilvl w:val="1"/>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Ameriprise Financial, Inc.</w:t>
      </w:r>
    </w:p>
    <w:p>
      <w:pPr>
        <w:spacing w:after="0" w:line="268" w:lineRule="exact"/>
        <w:rPr>
          <w:rFonts w:ascii="Times New Roman" w:cs="Times New Roman" w:eastAsia="Times New Roman" w:hAnsi="Times New Roman"/>
          <w:sz w:val="15"/>
          <w:szCs w:val="15"/>
          <w:color w:val="auto"/>
        </w:rPr>
      </w:pPr>
    </w:p>
    <w:p>
      <w:pPr>
        <w:ind w:left="700" w:hanging="98"/>
        <w:spacing w:after="0"/>
        <w:tabs>
          <w:tab w:leader="none" w:pos="7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 or I.R.S. Identification No. of Above Person</w:t>
      </w:r>
    </w:p>
    <w:p>
      <w:pPr>
        <w:spacing w:after="0" w:line="27" w:lineRule="exact"/>
        <w:rPr>
          <w:rFonts w:ascii="Times New Roman" w:cs="Times New Roman" w:eastAsia="Times New Roman" w:hAnsi="Times New Roman"/>
          <w:sz w:val="18"/>
          <w:szCs w:val="18"/>
          <w:color w:val="auto"/>
        </w:rPr>
      </w:pPr>
    </w:p>
    <w:p>
      <w:pPr>
        <w:ind w:left="700" w:hanging="98"/>
        <w:spacing w:after="0"/>
        <w:tabs>
          <w:tab w:leader="none" w:pos="7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No. 13-3180631</w:t>
      </w:r>
    </w:p>
    <w:p>
      <w:pPr>
        <w:spacing w:after="0" w:line="17" w:lineRule="exact"/>
        <w:rPr>
          <w:rFonts w:ascii="Times New Roman" w:cs="Times New Roman" w:eastAsia="Times New Roman" w:hAnsi="Times New Roman"/>
          <w:sz w:val="18"/>
          <w:szCs w:val="18"/>
          <w:color w:val="auto"/>
        </w:rPr>
      </w:pPr>
    </w:p>
    <w:p>
      <w:pPr>
        <w:ind w:left="260" w:hanging="95"/>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Check the Appropriate Box if a Member of a Group</w:t>
      </w:r>
    </w:p>
    <w:p>
      <w:pPr>
        <w:spacing w:after="0" w:line="211" w:lineRule="exact"/>
        <w:rPr>
          <w:rFonts w:ascii="Times New Roman" w:cs="Times New Roman" w:eastAsia="Times New Roman" w:hAnsi="Times New Roman"/>
          <w:sz w:val="18"/>
          <w:szCs w:val="18"/>
          <w:color w:val="auto"/>
        </w:rPr>
      </w:pPr>
    </w:p>
    <w:p>
      <w:pPr>
        <w:ind w:left="700" w:hanging="98"/>
        <w:spacing w:after="0" w:line="207" w:lineRule="exact"/>
        <w:tabs>
          <w:tab w:leader="none" w:pos="7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92"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This filing describes the reporting person’s relationship with other persons, but the reporting person does not affirm the existence of a group.</w:t>
      </w:r>
    </w:p>
    <w:p>
      <w:pPr>
        <w:spacing w:after="0" w:line="36" w:lineRule="exact"/>
        <w:rPr>
          <w:rFonts w:ascii="Times New Roman" w:cs="Times New Roman" w:eastAsia="Times New Roman" w:hAnsi="Times New Roman"/>
          <w:sz w:val="18"/>
          <w:szCs w:val="18"/>
          <w:color w:val="auto"/>
        </w:rPr>
      </w:pPr>
    </w:p>
    <w:p>
      <w:pPr>
        <w:ind w:left="260" w:hanging="95"/>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SEC Use Only</w:t>
      </w:r>
    </w:p>
    <w:p>
      <w:pPr>
        <w:spacing w:after="0" w:line="279" w:lineRule="exact"/>
        <w:rPr>
          <w:rFonts w:ascii="Times New Roman" w:cs="Times New Roman" w:eastAsia="Times New Roman" w:hAnsi="Times New Roman"/>
          <w:sz w:val="18"/>
          <w:szCs w:val="18"/>
          <w:color w:val="auto"/>
        </w:rPr>
      </w:pPr>
    </w:p>
    <w:p>
      <w:pPr>
        <w:ind w:left="260" w:hanging="95"/>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Citizenship or Place of Organization</w:t>
      </w:r>
    </w:p>
    <w:p>
      <w:pPr>
        <w:spacing w:after="0" w:line="252" w:lineRule="exact"/>
        <w:rPr>
          <w:rFonts w:ascii="Times New Roman" w:cs="Times New Roman" w:eastAsia="Times New Roman" w:hAnsi="Times New Roman"/>
          <w:sz w:val="18"/>
          <w:szCs w:val="18"/>
          <w:color w:val="auto"/>
        </w:rPr>
      </w:pPr>
    </w:p>
    <w:p>
      <w:pPr>
        <w:ind w:left="700" w:hanging="98"/>
        <w:spacing w:after="0"/>
        <w:tabs>
          <w:tab w:leader="none" w:pos="7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960" w:hanging="359"/>
        <w:spacing w:after="0"/>
        <w:tabs>
          <w:tab w:leader="none" w:pos="196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-2339340</wp:posOffset>
            </wp:positionV>
            <wp:extent cx="7063740" cy="57861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63740" cy="5786120"/>
                    </a:xfrm>
                    <a:prstGeom prst="rect">
                      <a:avLst/>
                    </a:prstGeom>
                    <a:noFill/>
                  </pic:spPr>
                </pic:pic>
              </a:graphicData>
            </a:graphic>
          </wp:anchor>
        </w:drawing>
      </w: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BENEFICIALLY</w:t>
            </w:r>
          </w:p>
        </w:tc>
        <w:tc>
          <w:tcPr>
            <w:tcW w:w="360" w:type="dxa"/>
            <w:vAlign w:val="bottom"/>
          </w:tcPr>
          <w:p>
            <w:pPr>
              <w:spacing w:after="0"/>
              <w:rPr>
                <w:sz w:val="18"/>
                <w:szCs w:val="18"/>
                <w:color w:val="auto"/>
              </w:rPr>
            </w:pPr>
          </w:p>
        </w:tc>
        <w:tc>
          <w:tcPr>
            <w:tcW w:w="9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17,099,105</w:t>
            </w:r>
          </w:p>
        </w:tc>
        <w:tc>
          <w:tcPr>
            <w:tcW w:w="0" w:type="dxa"/>
            <w:vAlign w:val="bottom"/>
          </w:tcPr>
          <w:p>
            <w:pPr>
              <w:spacing w:after="0"/>
              <w:rPr>
                <w:sz w:val="1"/>
                <w:szCs w:val="1"/>
                <w:color w:val="auto"/>
              </w:rPr>
            </w:pPr>
          </w:p>
        </w:tc>
      </w:tr>
      <w:tr>
        <w:trPr>
          <w:trHeight w:val="234"/>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28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3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40" w:hanging="88"/>
        <w:spacing w:after="0"/>
        <w:tabs>
          <w:tab w:leader="none" w:pos="2040" w:val="left"/>
        </w:tabs>
        <w:numPr>
          <w:ilvl w:val="2"/>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19,144,616</w:t>
      </w:r>
    </w:p>
    <w:p>
      <w:pPr>
        <w:spacing w:after="0" w:line="47" w:lineRule="exact"/>
        <w:rPr>
          <w:rFonts w:ascii="Times New Roman" w:cs="Times New Roman" w:eastAsia="Times New Roman" w:hAnsi="Times New Roman"/>
          <w:sz w:val="17"/>
          <w:szCs w:val="17"/>
          <w:color w:val="auto"/>
        </w:rPr>
      </w:pPr>
    </w:p>
    <w:p>
      <w:pPr>
        <w:ind w:left="260" w:hanging="95"/>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700" w:hanging="98"/>
        <w:spacing w:after="0"/>
        <w:tabs>
          <w:tab w:leader="none" w:pos="7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19,144,616</w:t>
      </w:r>
    </w:p>
    <w:p>
      <w:pPr>
        <w:spacing w:after="0" w:line="36" w:lineRule="exact"/>
        <w:rPr>
          <w:sz w:val="20"/>
          <w:szCs w:val="20"/>
          <w:color w:val="auto"/>
        </w:rPr>
      </w:pPr>
    </w:p>
    <w:p>
      <w:pPr>
        <w:ind w:left="600" w:hanging="435"/>
        <w:spacing w:after="0"/>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w:t>
      </w:r>
    </w:p>
    <w:p>
      <w:pPr>
        <w:spacing w:after="0" w:line="252" w:lineRule="exact"/>
        <w:rPr>
          <w:rFonts w:ascii="Times New Roman" w:cs="Times New Roman" w:eastAsia="Times New Roman" w:hAnsi="Times New Roman"/>
          <w:sz w:val="18"/>
          <w:szCs w:val="18"/>
          <w:color w:val="auto"/>
        </w:rPr>
      </w:pPr>
    </w:p>
    <w:p>
      <w:pPr>
        <w:ind w:left="700" w:hanging="98"/>
        <w:spacing w:after="0"/>
        <w:tabs>
          <w:tab w:leader="none" w:pos="7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6" w:lineRule="exact"/>
        <w:rPr>
          <w:rFonts w:ascii="Times New Roman" w:cs="Times New Roman" w:eastAsia="Times New Roman" w:hAnsi="Times New Roman"/>
          <w:sz w:val="18"/>
          <w:szCs w:val="18"/>
          <w:color w:val="auto"/>
        </w:rPr>
      </w:pPr>
    </w:p>
    <w:p>
      <w:pPr>
        <w:ind w:left="600" w:hanging="435"/>
        <w:spacing w:after="0"/>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52" w:lineRule="exact"/>
        <w:rPr>
          <w:rFonts w:ascii="Times New Roman" w:cs="Times New Roman" w:eastAsia="Times New Roman" w:hAnsi="Times New Roman"/>
          <w:sz w:val="18"/>
          <w:szCs w:val="18"/>
          <w:color w:val="auto"/>
        </w:rPr>
      </w:pPr>
    </w:p>
    <w:p>
      <w:pPr>
        <w:ind w:left="700" w:hanging="98"/>
        <w:spacing w:after="0"/>
        <w:tabs>
          <w:tab w:leader="none" w:pos="7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7.22%</w:t>
      </w:r>
    </w:p>
    <w:p>
      <w:pPr>
        <w:spacing w:after="0" w:line="36" w:lineRule="exact"/>
        <w:rPr>
          <w:rFonts w:ascii="Times New Roman" w:cs="Times New Roman" w:eastAsia="Times New Roman" w:hAnsi="Times New Roman"/>
          <w:sz w:val="18"/>
          <w:szCs w:val="18"/>
          <w:color w:val="auto"/>
        </w:rPr>
      </w:pPr>
    </w:p>
    <w:p>
      <w:pPr>
        <w:ind w:left="600" w:hanging="435"/>
        <w:spacing w:after="0"/>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w:t>
      </w:r>
    </w:p>
    <w:p>
      <w:pPr>
        <w:spacing w:after="0" w:line="252" w:lineRule="exact"/>
        <w:rPr>
          <w:rFonts w:ascii="Times New Roman" w:cs="Times New Roman" w:eastAsia="Times New Roman" w:hAnsi="Times New Roman"/>
          <w:sz w:val="18"/>
          <w:szCs w:val="18"/>
          <w:color w:val="auto"/>
        </w:rPr>
      </w:pPr>
    </w:p>
    <w:p>
      <w:pPr>
        <w:ind w:left="700" w:hanging="98"/>
        <w:spacing w:after="0"/>
        <w:tabs>
          <w:tab w:leader="none" w:pos="7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w:t>
      </w:r>
    </w:p>
    <w:p>
      <w:pPr>
        <w:sectPr>
          <w:pgSz w:w="11900" w:h="16838" w:orient="portrait"/>
          <w:cols w:equalWidth="0" w:num="1">
            <w:col w:w="11140"/>
          </w:cols>
          <w:pgMar w:left="320" w:top="270"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26210C104</w:t>
      </w:r>
    </w:p>
    <w:p>
      <w:pPr>
        <w:spacing w:after="0" w:line="266" w:lineRule="exact"/>
        <w:rPr>
          <w:sz w:val="20"/>
          <w:szCs w:val="20"/>
          <w:color w:val="auto"/>
        </w:rPr>
      </w:pPr>
    </w:p>
    <w:p>
      <w:pPr>
        <w:ind w:left="260" w:hanging="95"/>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Name of Reporting Person</w:t>
      </w:r>
    </w:p>
    <w:p>
      <w:pPr>
        <w:spacing w:after="0" w:line="27" w:lineRule="exact"/>
        <w:rPr>
          <w:rFonts w:ascii="Times New Roman" w:cs="Times New Roman" w:eastAsia="Times New Roman" w:hAnsi="Times New Roman"/>
          <w:sz w:val="18"/>
          <w:szCs w:val="18"/>
          <w:color w:val="auto"/>
        </w:rPr>
      </w:pPr>
    </w:p>
    <w:p>
      <w:pPr>
        <w:ind w:left="700" w:hanging="98"/>
        <w:spacing w:after="0"/>
        <w:tabs>
          <w:tab w:leader="none" w:pos="7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Columbia Management Investment Advisers, LLC</w:t>
      </w:r>
    </w:p>
    <w:p>
      <w:pPr>
        <w:spacing w:after="0" w:line="233" w:lineRule="exact"/>
        <w:rPr>
          <w:rFonts w:ascii="Times New Roman" w:cs="Times New Roman" w:eastAsia="Times New Roman" w:hAnsi="Times New Roman"/>
          <w:sz w:val="18"/>
          <w:szCs w:val="18"/>
          <w:color w:val="auto"/>
        </w:rPr>
      </w:pPr>
    </w:p>
    <w:p>
      <w:pPr>
        <w:ind w:left="700" w:hanging="98"/>
        <w:spacing w:after="0"/>
        <w:tabs>
          <w:tab w:leader="none" w:pos="7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 or I.R.S. Identification No. of Above Person</w:t>
      </w:r>
    </w:p>
    <w:p>
      <w:pPr>
        <w:spacing w:after="0" w:line="27" w:lineRule="exact"/>
        <w:rPr>
          <w:rFonts w:ascii="Times New Roman" w:cs="Times New Roman" w:eastAsia="Times New Roman" w:hAnsi="Times New Roman"/>
          <w:sz w:val="18"/>
          <w:szCs w:val="18"/>
          <w:color w:val="auto"/>
        </w:rPr>
      </w:pPr>
    </w:p>
    <w:p>
      <w:pPr>
        <w:ind w:left="700" w:hanging="98"/>
        <w:spacing w:after="0"/>
        <w:tabs>
          <w:tab w:leader="none" w:pos="7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No. 41-1533211</w:t>
      </w:r>
    </w:p>
    <w:p>
      <w:pPr>
        <w:spacing w:after="0" w:line="17" w:lineRule="exact"/>
        <w:rPr>
          <w:rFonts w:ascii="Times New Roman" w:cs="Times New Roman" w:eastAsia="Times New Roman" w:hAnsi="Times New Roman"/>
          <w:sz w:val="18"/>
          <w:szCs w:val="18"/>
          <w:color w:val="auto"/>
        </w:rPr>
      </w:pPr>
    </w:p>
    <w:p>
      <w:pPr>
        <w:ind w:left="260" w:hanging="95"/>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Check the Appropriate Box if a Member of a Group</w:t>
      </w:r>
    </w:p>
    <w:p>
      <w:pPr>
        <w:spacing w:after="0" w:line="211" w:lineRule="exact"/>
        <w:rPr>
          <w:rFonts w:ascii="Times New Roman" w:cs="Times New Roman" w:eastAsia="Times New Roman" w:hAnsi="Times New Roman"/>
          <w:sz w:val="18"/>
          <w:szCs w:val="18"/>
          <w:color w:val="auto"/>
        </w:rPr>
      </w:pPr>
    </w:p>
    <w:p>
      <w:pPr>
        <w:ind w:left="700" w:hanging="98"/>
        <w:spacing w:after="0" w:line="207" w:lineRule="exact"/>
        <w:tabs>
          <w:tab w:leader="none" w:pos="7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92"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This filing describes the reporting person’s relationship with other persons, but the reporting person does not affirm the existence of a group.</w:t>
      </w:r>
    </w:p>
    <w:p>
      <w:pPr>
        <w:spacing w:after="0" w:line="36" w:lineRule="exact"/>
        <w:rPr>
          <w:rFonts w:ascii="Times New Roman" w:cs="Times New Roman" w:eastAsia="Times New Roman" w:hAnsi="Times New Roman"/>
          <w:sz w:val="18"/>
          <w:szCs w:val="18"/>
          <w:color w:val="auto"/>
        </w:rPr>
      </w:pPr>
    </w:p>
    <w:p>
      <w:pPr>
        <w:ind w:left="260" w:hanging="95"/>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SEC Use Only</w:t>
      </w:r>
    </w:p>
    <w:p>
      <w:pPr>
        <w:spacing w:after="0" w:line="279" w:lineRule="exact"/>
        <w:rPr>
          <w:rFonts w:ascii="Times New Roman" w:cs="Times New Roman" w:eastAsia="Times New Roman" w:hAnsi="Times New Roman"/>
          <w:sz w:val="18"/>
          <w:szCs w:val="18"/>
          <w:color w:val="auto"/>
        </w:rPr>
      </w:pPr>
    </w:p>
    <w:p>
      <w:pPr>
        <w:ind w:left="260" w:hanging="95"/>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Citizenship or Place of Organization</w:t>
      </w:r>
    </w:p>
    <w:p>
      <w:pPr>
        <w:spacing w:after="0" w:line="252" w:lineRule="exact"/>
        <w:rPr>
          <w:rFonts w:ascii="Times New Roman" w:cs="Times New Roman" w:eastAsia="Times New Roman" w:hAnsi="Times New Roman"/>
          <w:sz w:val="18"/>
          <w:szCs w:val="18"/>
          <w:color w:val="auto"/>
        </w:rPr>
      </w:pPr>
    </w:p>
    <w:p>
      <w:pPr>
        <w:ind w:left="700" w:hanging="98"/>
        <w:spacing w:after="0"/>
        <w:tabs>
          <w:tab w:leader="none" w:pos="7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Minnesota</w:t>
      </w:r>
    </w:p>
    <w:p>
      <w:pPr>
        <w:spacing w:after="0" w:line="36" w:lineRule="exact"/>
        <w:rPr>
          <w:rFonts w:ascii="Times New Roman" w:cs="Times New Roman" w:eastAsia="Times New Roman" w:hAnsi="Times New Roman"/>
          <w:sz w:val="18"/>
          <w:szCs w:val="18"/>
          <w:color w:val="auto"/>
        </w:rPr>
      </w:pPr>
    </w:p>
    <w:p>
      <w:pPr>
        <w:ind w:left="1960" w:hanging="359"/>
        <w:spacing w:after="0"/>
        <w:tabs>
          <w:tab w:leader="none" w:pos="196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-2339340</wp:posOffset>
            </wp:positionV>
            <wp:extent cx="7063740" cy="57861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63740" cy="5786120"/>
                    </a:xfrm>
                    <a:prstGeom prst="rect">
                      <a:avLst/>
                    </a:prstGeom>
                    <a:noFill/>
                  </pic:spPr>
                </pic:pic>
              </a:graphicData>
            </a:graphic>
          </wp:anchor>
        </w:drawing>
      </w: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BENEFICIALLY</w:t>
            </w:r>
          </w:p>
        </w:tc>
        <w:tc>
          <w:tcPr>
            <w:tcW w:w="360" w:type="dxa"/>
            <w:vAlign w:val="bottom"/>
          </w:tcPr>
          <w:p>
            <w:pPr>
              <w:spacing w:after="0"/>
              <w:rPr>
                <w:sz w:val="18"/>
                <w:szCs w:val="18"/>
                <w:color w:val="auto"/>
              </w:rPr>
            </w:pPr>
          </w:p>
        </w:tc>
        <w:tc>
          <w:tcPr>
            <w:tcW w:w="9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16,911,757</w:t>
            </w:r>
          </w:p>
        </w:tc>
        <w:tc>
          <w:tcPr>
            <w:tcW w:w="0" w:type="dxa"/>
            <w:vAlign w:val="bottom"/>
          </w:tcPr>
          <w:p>
            <w:pPr>
              <w:spacing w:after="0"/>
              <w:rPr>
                <w:sz w:val="1"/>
                <w:szCs w:val="1"/>
                <w:color w:val="auto"/>
              </w:rPr>
            </w:pPr>
          </w:p>
        </w:tc>
      </w:tr>
      <w:tr>
        <w:trPr>
          <w:trHeight w:val="234"/>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28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3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40" w:hanging="88"/>
        <w:spacing w:after="0"/>
        <w:tabs>
          <w:tab w:leader="none" w:pos="2040" w:val="left"/>
        </w:tabs>
        <w:numPr>
          <w:ilvl w:val="2"/>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18,085,218</w:t>
      </w:r>
    </w:p>
    <w:p>
      <w:pPr>
        <w:spacing w:after="0" w:line="47" w:lineRule="exact"/>
        <w:rPr>
          <w:rFonts w:ascii="Times New Roman" w:cs="Times New Roman" w:eastAsia="Times New Roman" w:hAnsi="Times New Roman"/>
          <w:sz w:val="17"/>
          <w:szCs w:val="17"/>
          <w:color w:val="auto"/>
        </w:rPr>
      </w:pPr>
    </w:p>
    <w:p>
      <w:pPr>
        <w:ind w:left="260" w:hanging="95"/>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700" w:hanging="98"/>
        <w:spacing w:after="0"/>
        <w:tabs>
          <w:tab w:leader="none" w:pos="7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18,085,218</w:t>
      </w:r>
    </w:p>
    <w:p>
      <w:pPr>
        <w:spacing w:after="0" w:line="36" w:lineRule="exact"/>
        <w:rPr>
          <w:sz w:val="20"/>
          <w:szCs w:val="20"/>
          <w:color w:val="auto"/>
        </w:rPr>
      </w:pPr>
    </w:p>
    <w:p>
      <w:pPr>
        <w:ind w:left="600" w:hanging="435"/>
        <w:spacing w:after="0"/>
        <w:tabs>
          <w:tab w:leader="none" w:pos="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w:t>
      </w:r>
    </w:p>
    <w:p>
      <w:pPr>
        <w:spacing w:after="0" w:line="252" w:lineRule="exact"/>
        <w:rPr>
          <w:rFonts w:ascii="Times New Roman" w:cs="Times New Roman" w:eastAsia="Times New Roman" w:hAnsi="Times New Roman"/>
          <w:sz w:val="18"/>
          <w:szCs w:val="18"/>
          <w:color w:val="auto"/>
        </w:rPr>
      </w:pPr>
    </w:p>
    <w:p>
      <w:pPr>
        <w:ind w:left="700" w:hanging="98"/>
        <w:spacing w:after="0"/>
        <w:tabs>
          <w:tab w:leader="none" w:pos="7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6" w:lineRule="exact"/>
        <w:rPr>
          <w:rFonts w:ascii="Times New Roman" w:cs="Times New Roman" w:eastAsia="Times New Roman" w:hAnsi="Times New Roman"/>
          <w:sz w:val="18"/>
          <w:szCs w:val="18"/>
          <w:color w:val="auto"/>
        </w:rPr>
      </w:pPr>
    </w:p>
    <w:p>
      <w:pPr>
        <w:ind w:left="600" w:hanging="435"/>
        <w:spacing w:after="0"/>
        <w:tabs>
          <w:tab w:leader="none" w:pos="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52" w:lineRule="exact"/>
        <w:rPr>
          <w:rFonts w:ascii="Times New Roman" w:cs="Times New Roman" w:eastAsia="Times New Roman" w:hAnsi="Times New Roman"/>
          <w:sz w:val="18"/>
          <w:szCs w:val="18"/>
          <w:color w:val="auto"/>
        </w:rPr>
      </w:pPr>
    </w:p>
    <w:p>
      <w:pPr>
        <w:ind w:left="700" w:hanging="98"/>
        <w:spacing w:after="0"/>
        <w:tabs>
          <w:tab w:leader="none" w:pos="7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6.82%</w:t>
      </w:r>
    </w:p>
    <w:p>
      <w:pPr>
        <w:spacing w:after="0" w:line="36" w:lineRule="exact"/>
        <w:rPr>
          <w:rFonts w:ascii="Times New Roman" w:cs="Times New Roman" w:eastAsia="Times New Roman" w:hAnsi="Times New Roman"/>
          <w:sz w:val="18"/>
          <w:szCs w:val="18"/>
          <w:color w:val="auto"/>
        </w:rPr>
      </w:pPr>
    </w:p>
    <w:p>
      <w:pPr>
        <w:ind w:left="600" w:hanging="435"/>
        <w:spacing w:after="0"/>
        <w:tabs>
          <w:tab w:leader="none" w:pos="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w:t>
      </w:r>
    </w:p>
    <w:p>
      <w:pPr>
        <w:spacing w:after="0" w:line="252" w:lineRule="exact"/>
        <w:rPr>
          <w:rFonts w:ascii="Times New Roman" w:cs="Times New Roman" w:eastAsia="Times New Roman" w:hAnsi="Times New Roman"/>
          <w:sz w:val="18"/>
          <w:szCs w:val="18"/>
          <w:color w:val="auto"/>
        </w:rPr>
      </w:pPr>
    </w:p>
    <w:p>
      <w:pPr>
        <w:ind w:left="700" w:hanging="98"/>
        <w:spacing w:after="0"/>
        <w:tabs>
          <w:tab w:leader="none" w:pos="7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ectPr>
          <w:pgSz w:w="11900" w:h="16838" w:orient="portrait"/>
          <w:cols w:equalWidth="0" w:num="1">
            <w:col w:w="11140"/>
          </w:cols>
          <w:pgMar w:left="320" w:top="27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1(a)</w:t>
            </w:r>
          </w:p>
        </w:tc>
        <w:tc>
          <w:tcPr>
            <w:tcW w:w="4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Name of Issuer:</w:t>
            </w:r>
          </w:p>
        </w:tc>
        <w:tc>
          <w:tcPr>
            <w:tcW w:w="4180" w:type="dxa"/>
            <w:vAlign w:val="bottom"/>
          </w:tcPr>
          <w:p>
            <w:pPr>
              <w:spacing w:after="0"/>
              <w:rPr>
                <w:sz w:val="18"/>
                <w:szCs w:val="18"/>
                <w:color w:val="auto"/>
              </w:rPr>
            </w:pPr>
          </w:p>
        </w:tc>
      </w:t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Dropbox, Inc.</w:t>
            </w:r>
          </w:p>
        </w:tc>
        <w:tc>
          <w:tcPr>
            <w:tcW w:w="4180" w:type="dxa"/>
            <w:vAlign w:val="bottom"/>
          </w:tcPr>
          <w:p>
            <w:pPr>
              <w:spacing w:after="0"/>
              <w:rPr>
                <w:sz w:val="20"/>
                <w:szCs w:val="20"/>
                <w:color w:val="auto"/>
              </w:rPr>
            </w:pPr>
          </w:p>
        </w:tc>
      </w:tr>
      <w:tr>
        <w:trPr>
          <w:trHeight w:val="30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1(b)</w:t>
            </w:r>
          </w:p>
        </w:tc>
        <w:tc>
          <w:tcPr>
            <w:tcW w:w="4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Address of Issuer’s Principal</w:t>
            </w:r>
          </w:p>
        </w:tc>
        <w:tc>
          <w:tcPr>
            <w:tcW w:w="41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1800 Owens Street</w:t>
            </w:r>
          </w:p>
        </w:tc>
      </w:tr>
      <w:tr>
        <w:trPr>
          <w:trHeight w:val="234"/>
        </w:trPr>
        <w:tc>
          <w:tcPr>
            <w:tcW w:w="380" w:type="dxa"/>
            <w:vAlign w:val="bottom"/>
          </w:tcPr>
          <w:p>
            <w:pPr>
              <w:spacing w:after="0"/>
              <w:rPr>
                <w:sz w:val="20"/>
                <w:szCs w:val="20"/>
                <w:color w:val="auto"/>
              </w:rPr>
            </w:pPr>
          </w:p>
        </w:tc>
        <w:tc>
          <w:tcPr>
            <w:tcW w:w="4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Offices:</w:t>
            </w:r>
          </w:p>
        </w:tc>
        <w:tc>
          <w:tcPr>
            <w:tcW w:w="41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San Francisco, California 94158</w:t>
            </w:r>
          </w:p>
        </w:tc>
      </w:tr>
      <w:tr>
        <w:trPr>
          <w:trHeight w:val="30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2(a)</w:t>
            </w:r>
          </w:p>
        </w:tc>
        <w:tc>
          <w:tcPr>
            <w:tcW w:w="4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Name of Person Filing:</w:t>
            </w:r>
          </w:p>
        </w:tc>
        <w:tc>
          <w:tcPr>
            <w:tcW w:w="41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(a) Ameriprise Financial, Inc. (“AFI”)</w:t>
            </w:r>
          </w:p>
        </w:tc>
      </w:tr>
      <w:tr>
        <w:trPr>
          <w:trHeight w:val="216"/>
        </w:trPr>
        <w:tc>
          <w:tcPr>
            <w:tcW w:w="3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18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9"/>
              </w:rPr>
              <w:t>(b) Columbia Management Investment</w:t>
            </w:r>
          </w:p>
        </w:tc>
      </w:tr>
      <w:tr>
        <w:trPr>
          <w:trHeight w:val="234"/>
        </w:trPr>
        <w:tc>
          <w:tcPr>
            <w:tcW w:w="3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1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Advisers, LLC (“CMIA”)</w:t>
            </w:r>
          </w:p>
        </w:tc>
      </w:tr>
      <w:tr>
        <w:trPr>
          <w:trHeight w:val="30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2(b)</w:t>
            </w:r>
          </w:p>
        </w:tc>
        <w:tc>
          <w:tcPr>
            <w:tcW w:w="4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Address of Principal Business Office:</w:t>
            </w:r>
          </w:p>
        </w:tc>
        <w:tc>
          <w:tcPr>
            <w:tcW w:w="41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(a) Ameriprise Financial, Inc.</w:t>
            </w:r>
          </w:p>
        </w:tc>
      </w:tr>
      <w:tr>
        <w:trPr>
          <w:trHeight w:val="216"/>
        </w:trPr>
        <w:tc>
          <w:tcPr>
            <w:tcW w:w="3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1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145 Ameriprise Financial Center</w:t>
            </w:r>
          </w:p>
        </w:tc>
      </w:tr>
      <w:tr>
        <w:trPr>
          <w:trHeight w:val="216"/>
        </w:trPr>
        <w:tc>
          <w:tcPr>
            <w:tcW w:w="3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1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Minneapolis, MN 55474</w:t>
            </w:r>
          </w:p>
        </w:tc>
      </w:tr>
      <w:tr>
        <w:trPr>
          <w:trHeight w:val="216"/>
        </w:trPr>
        <w:tc>
          <w:tcPr>
            <w:tcW w:w="3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1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(b) 290 Congress Street</w:t>
            </w:r>
          </w:p>
        </w:tc>
      </w:tr>
      <w:tr>
        <w:trPr>
          <w:trHeight w:val="234"/>
        </w:trPr>
        <w:tc>
          <w:tcPr>
            <w:tcW w:w="3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1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Boston, MA 02210</w:t>
            </w:r>
          </w:p>
        </w:tc>
      </w:tr>
      <w:tr>
        <w:trPr>
          <w:trHeight w:val="30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2(c)</w:t>
            </w:r>
          </w:p>
        </w:tc>
        <w:tc>
          <w:tcPr>
            <w:tcW w:w="4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Citizenship:</w:t>
            </w:r>
          </w:p>
        </w:tc>
        <w:tc>
          <w:tcPr>
            <w:tcW w:w="41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(a) Delaware</w:t>
            </w:r>
          </w:p>
        </w:tc>
      </w:tr>
      <w:tr>
        <w:trPr>
          <w:trHeight w:val="234"/>
        </w:trPr>
        <w:tc>
          <w:tcPr>
            <w:tcW w:w="3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1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(b) Minnesota</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2(d)</w:t>
            </w:r>
          </w:p>
        </w:tc>
        <w:tc>
          <w:tcPr>
            <w:tcW w:w="4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Title of Class of Securities:</w:t>
            </w:r>
          </w:p>
        </w:tc>
        <w:tc>
          <w:tcPr>
            <w:tcW w:w="41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Class A Common Stock</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2(e)</w:t>
            </w:r>
          </w:p>
        </w:tc>
        <w:tc>
          <w:tcPr>
            <w:tcW w:w="4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Cusip Number:</w:t>
            </w:r>
          </w:p>
        </w:tc>
        <w:tc>
          <w:tcPr>
            <w:tcW w:w="41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26210C104</w:t>
            </w: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if statement is filed pursuant to Rules 13d-1(b) or 13d-2(b):</w:t>
      </w:r>
    </w:p>
    <w:p>
      <w:pPr>
        <w:spacing w:after="0" w:line="117" w:lineRule="exact"/>
        <w:rPr>
          <w:rFonts w:ascii="Times New Roman" w:cs="Times New Roman" w:eastAsia="Times New Roman" w:hAnsi="Times New Roman"/>
          <w:sz w:val="18"/>
          <w:szCs w:val="18"/>
          <w:color w:val="auto"/>
        </w:rPr>
      </w:pPr>
    </w:p>
    <w:p>
      <w:pPr>
        <w:ind w:left="1260" w:hanging="241"/>
        <w:spacing w:after="0"/>
        <w:tabs>
          <w:tab w:leader="none" w:pos="12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Ameriprise Financial, Inc.</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parent holding company in accordance with Rule 13d-1(b)(1)(ii)(G). (Note: See Item 7)</w:t>
      </w:r>
    </w:p>
    <w:p>
      <w:pPr>
        <w:spacing w:after="0" w:line="117" w:lineRule="exact"/>
        <w:rPr>
          <w:sz w:val="20"/>
          <w:szCs w:val="20"/>
          <w:color w:val="auto"/>
        </w:rPr>
      </w:pPr>
    </w:p>
    <w:p>
      <w:pPr>
        <w:ind w:left="460" w:right="5640" w:firstLine="559"/>
        <w:spacing w:after="0" w:line="383" w:lineRule="auto"/>
        <w:tabs>
          <w:tab w:leader="none" w:pos="127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Columbia Management Investment Advisers, LLC An investment adviser in accordance with Rule 13d-1(b)(1)(ii)(E).</w:t>
      </w:r>
    </w:p>
    <w:p>
      <w:pPr>
        <w:spacing w:after="0" w:line="1"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Items (5)-(9) and (11) of the cover page pertaining to each reporting person.</w:t>
      </w:r>
    </w:p>
    <w:p>
      <w:pPr>
        <w:spacing w:after="0" w:line="117" w:lineRule="exact"/>
        <w:rPr>
          <w:rFonts w:ascii="Times New Roman" w:cs="Times New Roman" w:eastAsia="Times New Roman" w:hAnsi="Times New Roman"/>
          <w:sz w:val="18"/>
          <w:szCs w:val="18"/>
          <w:color w:val="auto"/>
        </w:rPr>
      </w:pPr>
    </w:p>
    <w:p>
      <w:pPr>
        <w:ind w:left="4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AFI, as the parent company of CMIA, may be deemed to beneficially own the shares reported herein by CMIA. Accordingly, the shares reported herein by AFI include those shares separately reported herein by CMIA.</w:t>
      </w:r>
    </w:p>
    <w:p>
      <w:pPr>
        <w:spacing w:after="0" w:line="53"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AFI and CMIA disclaims beneficial ownership of any shares reported on this Schedule.</w:t>
      </w:r>
    </w:p>
    <w:p>
      <w:pPr>
        <w:spacing w:after="0" w:line="131"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5% or Less of a Class: Not Applicable</w:t>
      </w:r>
    </w:p>
    <w:p>
      <w:pPr>
        <w:spacing w:after="0" w:line="131"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more than 5% on Behalf of Another Person: Not Applicable</w:t>
      </w:r>
    </w:p>
    <w:p>
      <w:pPr>
        <w:sectPr>
          <w:pgSz w:w="11900" w:h="16838" w:orient="portrait"/>
          <w:cols w:equalWidth="0" w:num="1">
            <w:col w:w="10880"/>
          </w:cols>
          <w:pgMar w:left="320" w:top="270" w:right="699" w:bottom="1440" w:gutter="0" w:footer="0" w:header="0"/>
        </w:sectPr>
      </w:pPr>
    </w:p>
    <w:bookmarkStart w:id="4" w:name="page5"/>
    <w:bookmarkEnd w:id="4"/>
    <w:p>
      <w:pPr>
        <w:ind w:left="1012" w:right="920" w:hanging="1012"/>
        <w:spacing w:after="0" w:line="383" w:lineRule="auto"/>
        <w:tabs>
          <w:tab w:leader="none" w:pos="44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Identification and Classification of the Subsidiary Which Acquired the Security Being Reported on by the Parent Holding Company: AFI: See Exhibit I</w:t>
      </w:r>
    </w:p>
    <w:p>
      <w:pPr>
        <w:spacing w:after="0" w:line="1" w:lineRule="exact"/>
        <w:rPr>
          <w:sz w:val="20"/>
          <w:szCs w:val="20"/>
          <w:color w:val="auto"/>
        </w:rPr>
      </w:pPr>
    </w:p>
    <w:p>
      <w:pPr>
        <w:ind w:left="1012" w:right="6240" w:hanging="1012"/>
        <w:spacing w:after="0" w:line="383" w:lineRule="auto"/>
        <w:tabs>
          <w:tab w:leader="none" w:pos="44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Classification of Members of the Group: Not Applicable</w:t>
      </w:r>
    </w:p>
    <w:p>
      <w:pPr>
        <w:spacing w:after="0" w:line="1" w:lineRule="exact"/>
        <w:rPr>
          <w:sz w:val="20"/>
          <w:szCs w:val="20"/>
          <w:color w:val="auto"/>
        </w:rPr>
      </w:pPr>
    </w:p>
    <w:p>
      <w:pPr>
        <w:ind w:left="1012" w:right="8180" w:hanging="1012"/>
        <w:spacing w:after="0" w:line="383" w:lineRule="auto"/>
        <w:tabs>
          <w:tab w:leader="none" w:pos="44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Dissolution of Group: Not Applicable</w:t>
      </w:r>
    </w:p>
    <w:p>
      <w:pPr>
        <w:spacing w:after="0" w:line="1" w:lineRule="exact"/>
        <w:rPr>
          <w:sz w:val="20"/>
          <w:szCs w:val="20"/>
          <w:color w:val="auto"/>
        </w:rPr>
      </w:pPr>
    </w:p>
    <w:p>
      <w:pPr>
        <w:ind w:left="452" w:hanging="452"/>
        <w:spacing w:after="0"/>
        <w:tabs>
          <w:tab w:leader="none" w:pos="4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w:t>
      </w:r>
    </w:p>
    <w:p>
      <w:pPr>
        <w:spacing w:after="0" w:line="117" w:lineRule="exact"/>
        <w:rPr>
          <w:rFonts w:ascii="Times New Roman" w:cs="Times New Roman" w:eastAsia="Times New Roman" w:hAnsi="Times New Roman"/>
          <w:sz w:val="18"/>
          <w:szCs w:val="18"/>
          <w:color w:val="auto"/>
        </w:rPr>
      </w:pPr>
    </w:p>
    <w:p>
      <w:pPr>
        <w:ind w:left="45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ectPr>
          <w:pgSz w:w="11900" w:h="16838" w:orient="portrait"/>
          <w:cols w:equalWidth="0" w:num="1">
            <w:col w:w="10932"/>
          </w:cols>
          <w:pgMar w:left="328" w:top="270"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117" w:lineRule="exact"/>
        <w:rPr>
          <w:sz w:val="20"/>
          <w:szCs w:val="20"/>
          <w:color w:val="auto"/>
        </w:rPr>
      </w:pPr>
    </w:p>
    <w:p>
      <w:pPr>
        <w:ind w:left="460" w:right="32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Ameriprise Financial, Inc.</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G. Clarke</w:t>
            </w:r>
          </w:p>
        </w:tc>
      </w:tr>
      <w:tr>
        <w:trPr>
          <w:trHeight w:val="205"/>
        </w:trPr>
        <w:tc>
          <w:tcPr>
            <w:tcW w:w="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Michael G. Clarke</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North America Head of</w:t>
            </w:r>
          </w:p>
        </w:tc>
      </w:tr>
      <w:tr>
        <w:trPr>
          <w:trHeight w:val="234"/>
        </w:trPr>
        <w:tc>
          <w:tcPr>
            <w:tcW w:w="6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Operations &amp; Investor Services</w:t>
            </w:r>
          </w:p>
        </w:tc>
      </w:tr>
      <w:tr>
        <w:trPr>
          <w:trHeight w:val="432"/>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Columbia Management Investment Advisers, LLC</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G. Clarke</w:t>
            </w:r>
          </w:p>
        </w:tc>
      </w:tr>
      <w:tr>
        <w:trPr>
          <w:trHeight w:val="205"/>
        </w:trPr>
        <w:tc>
          <w:tcPr>
            <w:tcW w:w="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Michael G. Clarke</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North America Head of</w:t>
            </w:r>
          </w:p>
        </w:tc>
      </w:tr>
      <w:tr>
        <w:trPr>
          <w:trHeight w:val="234"/>
        </w:trPr>
        <w:tc>
          <w:tcPr>
            <w:tcW w:w="6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Operations &amp; Investor Services</w:t>
            </w:r>
          </w:p>
        </w:tc>
      </w:tr>
    </w:tbl>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Contact Information</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Dominic Geddes</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Global Head of Reporting</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Global Operations and Investor Services</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Telephone: +442074645779</w:t>
      </w:r>
    </w:p>
    <w:p>
      <w:pPr>
        <w:sectPr>
          <w:pgSz w:w="11900" w:h="16838" w:orient="portrait"/>
          <w:cols w:equalWidth="0" w:num="1">
            <w:col w:w="11240"/>
          </w:cols>
          <w:pgMar w:left="320" w:top="270" w:right="339" w:bottom="1440" w:gutter="0" w:footer="0" w:header="0"/>
        </w:sectPr>
      </w:pPr>
    </w:p>
    <w:bookmarkStart w:id="6" w:name="page7"/>
    <w:bookmarkEnd w:id="6"/>
    <w:p>
      <w:pPr>
        <w:ind w:left="514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I</w:t>
      </w:r>
      <w:r>
        <w:rPr>
          <w:sz w:val="20"/>
          <w:szCs w:val="20"/>
          <w:color w:val="auto"/>
        </w:rPr>
        <w:tab/>
      </w:r>
      <w:r>
        <w:rPr>
          <w:rFonts w:ascii="Times New Roman" w:cs="Times New Roman" w:eastAsia="Times New Roman" w:hAnsi="Times New Roman"/>
          <w:sz w:val="17"/>
          <w:szCs w:val="17"/>
          <w:color w:val="auto"/>
        </w:rPr>
        <w:t>Identification and Classification of the Subsidiary which Acquired the Security Being Reported on by the Parent Holding Company.</w:t>
      </w:r>
    </w:p>
    <w:p>
      <w:pPr>
        <w:spacing w:after="0" w:line="11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II</w:t>
      </w:r>
      <w:r>
        <w:rPr>
          <w:sz w:val="20"/>
          <w:szCs w:val="20"/>
          <w:color w:val="auto"/>
        </w:rPr>
        <w:tab/>
      </w:r>
      <w:r>
        <w:rPr>
          <w:rFonts w:ascii="Times New Roman" w:cs="Times New Roman" w:eastAsia="Times New Roman" w:hAnsi="Times New Roman"/>
          <w:sz w:val="18"/>
          <w:szCs w:val="18"/>
          <w:color w:val="auto"/>
        </w:rPr>
        <w:t>Joint Filing Agreement</w:t>
      </w:r>
    </w:p>
    <w:p>
      <w:pPr>
        <w:sectPr>
          <w:pgSz w:w="11900" w:h="16838" w:orient="portrait"/>
          <w:cols w:equalWidth="0" w:num="1">
            <w:col w:w="10640"/>
          </w:cols>
          <w:pgMar w:left="320" w:top="270" w:right="939" w:bottom="1440" w:gutter="0" w:footer="0" w:header="0"/>
        </w:sectPr>
      </w:pPr>
    </w:p>
    <w:bookmarkStart w:id="7" w:name="page8"/>
    <w:bookmarkEnd w:id="7"/>
    <w:p>
      <w:pPr>
        <w:jc w:val="center"/>
        <w:ind w:right="-13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to</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Schedule 13G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Ameriprise Financial, Inc., a Delaware Corporation, is a parent holding company. The classification and identity of the relevant subsidiaries is as follows: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Investment Adviser – Columbia Management Investment Advisers, LLC is an investment adviser registered under section 203 of the Investment Advisers Act of 1940.</w:t>
      </w:r>
    </w:p>
    <w:p>
      <w:pPr>
        <w:sectPr>
          <w:pgSz w:w="11900" w:h="16838" w:orient="portrait"/>
          <w:cols w:equalWidth="0" w:num="1">
            <w:col w:w="11100"/>
          </w:cols>
          <w:pgMar w:left="320" w:top="121" w:right="479" w:bottom="1440" w:gutter="0" w:footer="0" w:header="0"/>
        </w:sectPr>
      </w:pPr>
    </w:p>
    <w:bookmarkStart w:id="8" w:name="page9"/>
    <w:bookmarkEnd w:id="8"/>
    <w:p>
      <w:pPr>
        <w:jc w:val="center"/>
        <w:ind w:right="-319"/>
        <w:spacing w:after="0"/>
        <w:rPr>
          <w:sz w:val="20"/>
          <w:szCs w:val="20"/>
          <w:color w:val="auto"/>
        </w:rPr>
      </w:pPr>
      <w:r>
        <w:rPr>
          <w:rFonts w:ascii="Times New Roman" w:cs="Times New Roman" w:eastAsia="Times New Roman" w:hAnsi="Times New Roman"/>
          <w:sz w:val="18"/>
          <w:szCs w:val="18"/>
          <w:color w:val="auto"/>
        </w:rPr>
        <w:t>Exhibit II</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to</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Schedule 13G</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undersigned persons agree and consent to the joint filing on their behalf of this Schedule 13G dated February 14, 2024 in connection with their beneficial ownership of Dropbox, Inc. Columbia Management Investment Advisers, LLC authorizes Ameriprise Financial, Inc. to execute the Schedule 13G to which this Exhibit is attached and make any necessary amendments thereto.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Ameriprise Financial,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G.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17145</wp:posOffset>
            </wp:positionV>
            <wp:extent cx="26142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Michael G. Clarke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Senior Vice President, North America Head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&amp; Investor Services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Columbia Management Investment Advisers,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G.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17145</wp:posOffset>
            </wp:positionV>
            <wp:extent cx="26142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Michael G. Clarke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Senior Vice President, North America Head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&amp; Investor Services</w:t>
      </w:r>
    </w:p>
    <w:sectPr>
      <w:pgSz w:w="11900" w:h="16838" w:orient="portrait"/>
      <w:cols w:equalWidth="0" w:num="1">
        <w:col w:w="10920"/>
      </w:cols>
      <w:pgMar w:left="320" w:top="121"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
      <w:numFmt w:val="bullet"/>
      <w:start w:val="1"/>
    </w:lvl>
    <w:lvl w:ilvl="1">
      <w:lvlJc w:val="left"/>
      <w:lvlText w:val=" "/>
      <w:numFmt w:val="bullet"/>
      <w:start w:val="1"/>
    </w:lvl>
    <w:lvl w:ilvl="2">
      <w:lvlJc w:val="left"/>
      <w:lvlText w:val="%3)"/>
      <w:numFmt w:val="decimal"/>
      <w:start w:val="5"/>
    </w:lvl>
  </w:abstractNum>
  <w:abstractNum w:abstractNumId="1">
    <w:nsid w:val="515F007C"/>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
    <w:nsid w:val="5BD062C2"/>
    <w:multiLevelType w:val="hybridMultilevel"/>
    <w:lvl w:ilvl="0">
      <w:lvlJc w:val="left"/>
      <w:lvlText w:val="%1)"/>
      <w:numFmt w:val="decimal"/>
      <w:start w:val="10"/>
    </w:lvl>
    <w:lvl w:ilvl="1">
      <w:lvlJc w:val="left"/>
      <w:lvlText w:val=" "/>
      <w:numFmt w:val="bullet"/>
      <w:start w:val="1"/>
    </w:lvl>
  </w:abstractNum>
  <w:abstractNum w:abstractNumId="3">
    <w:nsid w:val="12200854"/>
    <w:multiLevelType w:val="hybridMultilevel"/>
    <w:lvl w:ilvl="0">
      <w:lvlJc w:val="left"/>
      <w:lvlText w:val=" "/>
      <w:numFmt w:val="bullet"/>
      <w:start w:val="1"/>
    </w:lvl>
    <w:lvl w:ilvl="1">
      <w:lvlJc w:val="left"/>
      <w:lvlText w:val=" "/>
      <w:numFmt w:val="bullet"/>
      <w:start w:val="1"/>
    </w:lvl>
    <w:lvl w:ilvl="2">
      <w:lvlJc w:val="left"/>
      <w:lvlText w:val="%3)"/>
      <w:numFmt w:val="decimal"/>
      <w:start w:val="5"/>
    </w:lvl>
  </w:abstractNum>
  <w:abstractNum w:abstractNumId="4">
    <w:nsid w:val="4DB127F8"/>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5">
    <w:nsid w:val="216231B"/>
    <w:multiLevelType w:val="hybridMultilevel"/>
    <w:lvl w:ilvl="0">
      <w:lvlJc w:val="left"/>
      <w:lvlText w:val="%1)"/>
      <w:numFmt w:val="decimal"/>
      <w:start w:val="10"/>
    </w:lvl>
    <w:lvl w:ilvl="1">
      <w:lvlJc w:val="left"/>
      <w:lvlText w:val=" "/>
      <w:numFmt w:val="bullet"/>
      <w:start w:val="1"/>
    </w:lvl>
  </w:abstractNum>
  <w:abstractNum w:abstractNumId="6">
    <w:nsid w:val="1F16E9E8"/>
    <w:multiLevelType w:val="hybridMultilevel"/>
    <w:lvl w:ilvl="0">
      <w:lvlJc w:val="left"/>
      <w:lvlText w:val="3"/>
      <w:numFmt w:val="bullet"/>
      <w:start w:val="1"/>
    </w:lvl>
    <w:lvl w:ilvl="1">
      <w:lvlJc w:val="left"/>
      <w:lvlText w:val="(%2)"/>
      <w:numFmt w:val="lowerLetter"/>
      <w:start w:val="1"/>
    </w:lvl>
  </w:abstractNum>
  <w:abstractNum w:abstractNumId="7">
    <w:nsid w:val="1190CDE7"/>
    <w:multiLevelType w:val="hybridMultilevel"/>
    <w:lvl w:ilvl="0">
      <w:lvlJc w:val="left"/>
      <w:lvlText w:val="(%1)"/>
      <w:numFmt w:val="lowerLetter"/>
      <w:start w:val="2"/>
    </w:lvl>
  </w:abstractNum>
  <w:abstractNum w:abstractNumId="8">
    <w:nsid w:val="66EF438D"/>
    <w:multiLevelType w:val="hybridMultilevel"/>
    <w:lvl w:ilvl="0">
      <w:lvlJc w:val="left"/>
      <w:lvlText w:val="4"/>
      <w:numFmt w:val="bullet"/>
      <w:start w:val="1"/>
    </w:lvl>
  </w:abstractNum>
  <w:abstractNum w:abstractNumId="9">
    <w:nsid w:val="140E0F76"/>
    <w:multiLevelType w:val="hybridMultilevel"/>
    <w:lvl w:ilvl="0">
      <w:lvlJc w:val="left"/>
      <w:lvlText w:val="5"/>
      <w:numFmt w:val="bullet"/>
      <w:start w:val="1"/>
    </w:lvl>
  </w:abstractNum>
  <w:abstractNum w:abstractNumId="10">
    <w:nsid w:val="3352255A"/>
    <w:multiLevelType w:val="hybridMultilevel"/>
    <w:lvl w:ilvl="0">
      <w:lvlJc w:val="left"/>
      <w:lvlText w:val="6"/>
      <w:numFmt w:val="bullet"/>
      <w:start w:val="1"/>
    </w:lvl>
  </w:abstractNum>
  <w:abstractNum w:abstractNumId="11">
    <w:nsid w:val="109CF92E"/>
    <w:multiLevelType w:val="hybridMultilevel"/>
    <w:lvl w:ilvl="0">
      <w:lvlJc w:val="left"/>
      <w:lvlText w:val="7"/>
      <w:numFmt w:val="bullet"/>
      <w:start w:val="1"/>
    </w:lvl>
  </w:abstractNum>
  <w:abstractNum w:abstractNumId="12">
    <w:nsid w:val="DED7263"/>
    <w:multiLevelType w:val="hybridMultilevel"/>
    <w:lvl w:ilvl="0">
      <w:lvlJc w:val="left"/>
      <w:lvlText w:val="8"/>
      <w:numFmt w:val="bullet"/>
      <w:start w:val="1"/>
    </w:lvl>
  </w:abstractNum>
  <w:abstractNum w:abstractNumId="13">
    <w:nsid w:val="7FDCC233"/>
    <w:multiLevelType w:val="hybridMultilevel"/>
    <w:lvl w:ilvl="0">
      <w:lvlJc w:val="left"/>
      <w:lvlText w:val="9"/>
      <w:numFmt w:val="bullet"/>
      <w:start w:val="1"/>
    </w:lvl>
  </w:abstractNum>
  <w:abstractNum w:abstractNumId="14">
    <w:nsid w:val="1BEFD79F"/>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2024-02-14T10:01:04Z</dcterms:created>
  <dcterms:modified xsi:type="dcterms:W3CDTF">2024-02-14T10:01:04Z</dcterms:modified>
</cp:coreProperties>
</file>