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spacing w:after="0" w:line="187" w:lineRule="exact"/>
              <w:rPr>
                <w:rFonts w:ascii="Times New Roman" w:cs="Times New Roman" w:eastAsia="Times New Roman" w:hAnsi="Times New Roman"/>
                <w:sz w:val="17"/>
                <w:szCs w:val="17"/>
                <w:color w:val="0000EE"/>
                <w:w w:val="91"/>
              </w:rPr>
            </w:pPr>
            <w:hyperlink r:id="rId13">
              <w:r>
                <w:rPr>
                  <w:rFonts w:ascii="Times New Roman" w:cs="Times New Roman" w:eastAsia="Times New Roman" w:hAnsi="Times New Roman"/>
                  <w:sz w:val="17"/>
                  <w:szCs w:val="17"/>
                  <w:color w:val="0000EE"/>
                  <w:w w:val="91"/>
                </w:rPr>
                <w:t>Cox Eric</w:t>
              </w:r>
            </w:hyperlink>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6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DROPBOX,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DBX</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0000EE"/>
            </w:tcBorders>
            <w:vMerge w:val="continue"/>
          </w:tcPr>
          <w:p>
            <w:pPr>
              <w:spacing w:after="0"/>
              <w:rPr>
                <w:sz w:val="3"/>
                <w:szCs w:val="3"/>
                <w:color w:val="auto"/>
              </w:rPr>
            </w:pPr>
          </w:p>
        </w:tc>
        <w:tc>
          <w:tcPr>
            <w:tcW w:w="540" w:type="dxa"/>
            <w:vAlign w:val="bottom"/>
            <w:vMerge w:val="restart"/>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ind w:left="40"/>
              <w:spacing w:after="0" w:line="113" w:lineRule="exact"/>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9"/>
                <w:szCs w:val="9"/>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top w:val="single" w:sz="8" w:color="EEEEEE"/>
            </w:tcBorders>
          </w:tcPr>
          <w:p>
            <w:pPr>
              <w:spacing w:after="0"/>
              <w:rPr>
                <w:sz w:val="6"/>
                <w:szCs w:val="6"/>
                <w:color w:val="auto"/>
              </w:rPr>
            </w:pPr>
          </w:p>
        </w:tc>
        <w:tc>
          <w:tcPr>
            <w:tcW w:w="540" w:type="dxa"/>
            <w:vAlign w:val="bottom"/>
            <w:tcBorders>
              <w:top w:val="single" w:sz="8" w:color="EEEEEE"/>
            </w:tcBorders>
          </w:tcPr>
          <w:p>
            <w:pPr>
              <w:spacing w:after="0"/>
              <w:rPr>
                <w:sz w:val="6"/>
                <w:szCs w:val="6"/>
                <w:color w:val="auto"/>
              </w:rPr>
            </w:pPr>
          </w:p>
        </w:tc>
        <w:tc>
          <w:tcPr>
            <w:tcW w:w="620" w:type="dxa"/>
            <w:vAlign w:val="bottom"/>
            <w:tcBorders>
              <w:top w:val="single" w:sz="8" w:color="EEEEEE"/>
            </w:tcBorders>
          </w:tcPr>
          <w:p>
            <w:pPr>
              <w:spacing w:after="0"/>
              <w:rPr>
                <w:sz w:val="6"/>
                <w:szCs w:val="6"/>
                <w:color w:val="auto"/>
              </w:rPr>
            </w:pPr>
          </w:p>
        </w:tc>
        <w:tc>
          <w:tcPr>
            <w:tcW w:w="700" w:type="dxa"/>
            <w:vAlign w:val="bottom"/>
            <w:tcBorders>
              <w:top w:val="single" w:sz="8" w:color="EEEEEE"/>
            </w:tcBorders>
          </w:tcPr>
          <w:p>
            <w:pPr>
              <w:spacing w:after="0"/>
              <w:rPr>
                <w:sz w:val="6"/>
                <w:szCs w:val="6"/>
                <w:color w:val="auto"/>
              </w:rPr>
            </w:pPr>
          </w:p>
        </w:tc>
        <w:tc>
          <w:tcPr>
            <w:tcW w:w="1040" w:type="dxa"/>
            <w:vAlign w:val="bottom"/>
            <w:tcBorders>
              <w:top w:val="single" w:sz="8" w:color="EEEEEE"/>
            </w:tcBorders>
          </w:tcPr>
          <w:p>
            <w:pPr>
              <w:spacing w:after="0"/>
              <w:rPr>
                <w:sz w:val="6"/>
                <w:szCs w:val="6"/>
                <w:color w:val="auto"/>
              </w:rPr>
            </w:pPr>
          </w:p>
        </w:tc>
        <w:tc>
          <w:tcPr>
            <w:tcW w:w="200" w:type="dxa"/>
            <w:vAlign w:val="bottom"/>
            <w:tcBorders>
              <w:top w:val="single" w:sz="8" w:color="EEEE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ind w:left="40"/>
              <w:spacing w:after="0" w:line="85" w:lineRule="exact"/>
              <w:rPr>
                <w:sz w:val="20"/>
                <w:szCs w:val="20"/>
                <w:color w:val="auto"/>
              </w:rPr>
            </w:pPr>
            <w:r>
              <w:rPr>
                <w:rFonts w:ascii="Arial" w:cs="Arial" w:eastAsia="Arial" w:hAnsi="Arial"/>
                <w:sz w:val="9"/>
                <w:szCs w:val="9"/>
                <w:color w:val="auto"/>
              </w:rPr>
              <w:t>below)</w:t>
            </w: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620" w:type="dxa"/>
            <w:vAlign w:val="bottom"/>
            <w:vMerge w:val="restart"/>
          </w:tcPr>
          <w:p>
            <w:pPr>
              <w:ind w:left="10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20" w:type="dxa"/>
            <w:vAlign w:val="bottom"/>
            <w:gridSpan w:val="4"/>
            <w:vMerge w:val="restart"/>
          </w:tcPr>
          <w:p>
            <w:pPr>
              <w:ind w:left="480"/>
              <w:spacing w:after="0"/>
              <w:rPr>
                <w:sz w:val="20"/>
                <w:szCs w:val="20"/>
                <w:color w:val="auto"/>
              </w:rPr>
            </w:pPr>
            <w:r>
              <w:rPr>
                <w:rFonts w:ascii="Times New Roman" w:cs="Times New Roman" w:eastAsia="Times New Roman" w:hAnsi="Times New Roman"/>
                <w:sz w:val="13"/>
                <w:szCs w:val="13"/>
                <w:color w:val="0000FF"/>
              </w:rPr>
              <w:t>Chief Customer Officer</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1800 OWENS STREET</w:t>
            </w: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700" w:type="dxa"/>
            <w:vAlign w:val="bottom"/>
            <w:gridSpan w:val="7"/>
            <w:vMerge w:val="continue"/>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20" w:type="dxa"/>
            <w:vAlign w:val="bottom"/>
            <w:gridSpan w:val="4"/>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04/01/2025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SUITE 200</w:t>
            </w: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20" w:type="dxa"/>
            <w:vAlign w:val="bottom"/>
            <w:tcBorders>
              <w:bottom w:val="single" w:sz="8" w:color="808080"/>
            </w:tcBorders>
            <w:gridSpan w:val="3"/>
          </w:tcPr>
          <w:p>
            <w:pPr>
              <w:spacing w:after="0"/>
              <w:rPr>
                <w:sz w:val="15"/>
                <w:szCs w:val="15"/>
                <w:color w:val="auto"/>
              </w:rPr>
            </w:pPr>
          </w:p>
        </w:tc>
        <w:tc>
          <w:tcPr>
            <w:tcW w:w="1480" w:type="dxa"/>
            <w:vAlign w:val="bottom"/>
            <w:tcBorders>
              <w:bottom w:val="single" w:sz="8" w:color="808080"/>
            </w:tcBorders>
            <w:gridSpan w:val="4"/>
          </w:tcPr>
          <w:p>
            <w:pPr>
              <w:spacing w:after="0"/>
              <w:rPr>
                <w:sz w:val="15"/>
                <w:szCs w:val="15"/>
                <w:color w:val="auto"/>
              </w:rPr>
            </w:pPr>
          </w:p>
        </w:tc>
        <w:tc>
          <w:tcPr>
            <w:tcW w:w="340" w:type="dxa"/>
            <w:vAlign w:val="bottom"/>
            <w:tcBorders>
              <w:bottom w:val="single" w:sz="8" w:color="808080"/>
            </w:tcBorders>
          </w:tcPr>
          <w:p>
            <w:pPr>
              <w:spacing w:after="0"/>
              <w:rPr>
                <w:sz w:val="15"/>
                <w:szCs w:val="15"/>
                <w:color w:val="auto"/>
              </w:rPr>
            </w:pPr>
          </w:p>
        </w:tc>
        <w:tc>
          <w:tcPr>
            <w:tcW w:w="54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540" w:type="dxa"/>
            <w:vAlign w:val="bottom"/>
            <w:tcBorders>
              <w:bottom w:val="single" w:sz="8" w:color="808080"/>
            </w:tcBorders>
            <w:gridSpan w:val="2"/>
          </w:tcPr>
          <w:p>
            <w:pPr>
              <w:spacing w:after="0"/>
              <w:rPr>
                <w:sz w:val="15"/>
                <w:szCs w:val="15"/>
                <w:color w:val="auto"/>
              </w:rPr>
            </w:pPr>
          </w:p>
        </w:tc>
        <w:tc>
          <w:tcPr>
            <w:tcW w:w="2760" w:type="dxa"/>
            <w:vAlign w:val="bottom"/>
            <w:tcBorders>
              <w:bottom w:val="single" w:sz="8" w:color="808080"/>
            </w:tcBorders>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00" w:type="dxa"/>
            <w:vAlign w:val="bottom"/>
            <w:gridSpan w:val="3"/>
          </w:tcPr>
          <w:p>
            <w:pPr>
              <w:ind w:left="40"/>
              <w:spacing w:after="0"/>
              <w:rPr>
                <w:sz w:val="20"/>
                <w:szCs w:val="20"/>
                <w:color w:val="auto"/>
              </w:rPr>
            </w:pPr>
            <w:r>
              <w:rPr>
                <w:rFonts w:ascii="Arial" w:cs="Arial" w:eastAsia="Arial" w:hAnsi="Arial"/>
                <w:sz w:val="10"/>
                <w:szCs w:val="10"/>
                <w:color w:val="auto"/>
              </w:rPr>
              <w:t>(Street)</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2C2C2C"/>
            </w:tcBorders>
          </w:tcPr>
          <w:p>
            <w:pPr>
              <w:spacing w:after="0"/>
              <w:rPr>
                <w:sz w:val="10"/>
                <w:szCs w:val="10"/>
                <w:color w:val="auto"/>
              </w:rPr>
            </w:pPr>
          </w:p>
        </w:tc>
        <w:tc>
          <w:tcPr>
            <w:tcW w:w="2700" w:type="dxa"/>
            <w:vAlign w:val="bottom"/>
            <w:tcBorders>
              <w:top w:val="single" w:sz="8" w:color="2C2C2C"/>
            </w:tcBorders>
            <w:gridSpan w:val="7"/>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Borders>
              <w:top w:val="single" w:sz="8" w:color="2C2C2C"/>
            </w:tcBorders>
          </w:tcPr>
          <w:p>
            <w:pPr>
              <w:spacing w:after="0"/>
              <w:rPr>
                <w:sz w:val="10"/>
                <w:szCs w:val="10"/>
                <w:color w:val="auto"/>
              </w:rPr>
            </w:pPr>
          </w:p>
        </w:tc>
        <w:tc>
          <w:tcPr>
            <w:tcW w:w="540" w:type="dxa"/>
            <w:vAlign w:val="bottom"/>
            <w:tcBorders>
              <w:top w:val="single" w:sz="8" w:color="2C2C2C"/>
            </w:tcBorders>
          </w:tcPr>
          <w:p>
            <w:pPr>
              <w:spacing w:after="0"/>
              <w:rPr>
                <w:sz w:val="10"/>
                <w:szCs w:val="10"/>
                <w:color w:val="auto"/>
              </w:rPr>
            </w:pPr>
          </w:p>
        </w:tc>
        <w:tc>
          <w:tcPr>
            <w:tcW w:w="220" w:type="dxa"/>
            <w:vAlign w:val="bottom"/>
            <w:tcBorders>
              <w:top w:val="single" w:sz="8" w:color="2C2C2C"/>
            </w:tcBorders>
          </w:tcPr>
          <w:p>
            <w:pPr>
              <w:spacing w:after="0"/>
              <w:rPr>
                <w:sz w:val="10"/>
                <w:szCs w:val="10"/>
                <w:color w:val="auto"/>
              </w:rPr>
            </w:pPr>
          </w:p>
        </w:tc>
        <w:tc>
          <w:tcPr>
            <w:tcW w:w="3300" w:type="dxa"/>
            <w:vAlign w:val="bottom"/>
            <w:tcBorders>
              <w:top w:val="single" w:sz="8" w:color="2C2C2C"/>
            </w:tcBorders>
            <w:gridSpan w:val="7"/>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SAN FRANCISCO</w:t>
            </w: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CA</w:t>
            </w:r>
          </w:p>
        </w:tc>
        <w:tc>
          <w:tcPr>
            <w:tcW w:w="700" w:type="dxa"/>
            <w:vAlign w:val="bottom"/>
          </w:tcPr>
          <w:p>
            <w:pPr>
              <w:spacing w:after="0"/>
              <w:rPr>
                <w:sz w:val="18"/>
                <w:szCs w:val="18"/>
                <w:color w:val="auto"/>
              </w:rPr>
            </w:pPr>
          </w:p>
        </w:tc>
        <w:tc>
          <w:tcPr>
            <w:tcW w:w="10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94158</w:t>
            </w: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04/03/2025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gridSpan w:val="6"/>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0"/>
                <w:szCs w:val="10"/>
                <w:color w:val="auto"/>
              </w:rPr>
              <w:t>(City)</w:t>
            </w:r>
          </w:p>
        </w:tc>
        <w:tc>
          <w:tcPr>
            <w:tcW w:w="620" w:type="dxa"/>
            <w:vAlign w:val="bottom"/>
          </w:tcPr>
          <w:p>
            <w:pPr>
              <w:ind w:left="10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258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3"/>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3"/>
          </w:tcPr>
          <w:p>
            <w:pPr>
              <w:ind w:left="80"/>
              <w:spacing w:after="0"/>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gridSpan w:val="3"/>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0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160"/>
              <w:spacing w:after="0"/>
              <w:rPr>
                <w:sz w:val="20"/>
                <w:szCs w:val="20"/>
                <w:color w:val="auto"/>
              </w:rPr>
            </w:pPr>
            <w:r>
              <w:rPr>
                <w:rFonts w:ascii="Times New Roman" w:cs="Times New Roman" w:eastAsia="Times New Roman" w:hAnsi="Times New Roman"/>
                <w:sz w:val="13"/>
                <w:szCs w:val="13"/>
                <w:color w:val="0000FF"/>
              </w:rPr>
              <w:t>04/01/2025</w:t>
            </w:r>
          </w:p>
        </w:tc>
        <w:tc>
          <w:tcPr>
            <w:tcW w:w="4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3"/>
                <w:szCs w:val="13"/>
                <w:color w:val="0000FF"/>
              </w:rPr>
              <w:t>83,910</w:t>
            </w:r>
            <w:r>
              <w:rPr>
                <w:rFonts w:ascii="Times New Roman" w:cs="Times New Roman" w:eastAsia="Times New Roman" w:hAnsi="Times New Roman"/>
                <w:sz w:val="17"/>
                <w:szCs w:val="17"/>
                <w:color w:val="008000"/>
                <w:vertAlign w:val="superscript"/>
              </w:rPr>
              <w:t>(1)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1220" w:type="dxa"/>
            <w:vAlign w:val="bottom"/>
            <w:tcBorders>
              <w:bottom w:val="single" w:sz="8" w:color="2C2C2C"/>
            </w:tcBorders>
            <w:gridSpan w:val="3"/>
          </w:tcPr>
          <w:p>
            <w:pPr>
              <w:ind w:left="280"/>
              <w:spacing w:after="0"/>
              <w:rPr>
                <w:sz w:val="20"/>
                <w:szCs w:val="20"/>
                <w:color w:val="auto"/>
              </w:rPr>
            </w:pPr>
            <w:r>
              <w:rPr>
                <w:rFonts w:ascii="Times New Roman" w:cs="Times New Roman" w:eastAsia="Times New Roman" w:hAnsi="Times New Roman"/>
                <w:sz w:val="13"/>
                <w:szCs w:val="13"/>
                <w:color w:val="0000FF"/>
              </w:rPr>
              <w:t>393,460</w:t>
            </w:r>
            <w:r>
              <w:rPr>
                <w:rFonts w:ascii="Times New Roman" w:cs="Times New Roman" w:eastAsia="Times New Roman" w:hAnsi="Times New Roman"/>
                <w:sz w:val="17"/>
                <w:szCs w:val="17"/>
                <w:color w:val="008000"/>
                <w:vertAlign w:val="superscript"/>
              </w:rPr>
              <w:t>(2)(3)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580" w:type="dxa"/>
            <w:vAlign w:val="bottom"/>
            <w:tcBorders>
              <w:top w:val="single" w:sz="8" w:color="2C2C2C"/>
            </w:tcBorders>
          </w:tcPr>
          <w:p>
            <w:pPr>
              <w:spacing w:after="0"/>
              <w:rPr>
                <w:sz w:val="14"/>
                <w:szCs w:val="14"/>
                <w:color w:val="auto"/>
              </w:rPr>
            </w:pPr>
          </w:p>
        </w:tc>
        <w:tc>
          <w:tcPr>
            <w:tcW w:w="54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Security (Instr. 3)</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gridSpan w:val="2"/>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80" w:hanging="6"/>
        <w:spacing w:after="0" w:line="25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securities are restricted stock units. Each restricted stock unit represents the Reporting Person's right to receive one share of Class A Common Stock. The restricted stock units vest quarterly over four years as follows: (i) 1.82% of the shares on May 15, 2025 and each three-month anniversary thereafter through February 15, 2026; (ii) 2.73% of the shares on May 15, 2026 and each three-month anniversary thereafter through February 15, 2027; (iii) 4.55% of the shares on May 15, 2027 and each three-month anniversary thereafter through November 15, 2027; and (iv) 13.63% of the shares on February 15, 2028 and each three-month anniversary thereafter through February 15, 2029.</w:t>
      </w:r>
    </w:p>
    <w:p>
      <w:pPr>
        <w:spacing w:after="0" w:line="12" w:lineRule="exact"/>
        <w:rPr>
          <w:rFonts w:ascii="Times New Roman" w:cs="Times New Roman" w:eastAsia="Times New Roman" w:hAnsi="Times New Roman"/>
          <w:sz w:val="10"/>
          <w:szCs w:val="10"/>
          <w:color w:val="008000"/>
        </w:rPr>
      </w:pPr>
    </w:p>
    <w:p>
      <w:pPr>
        <w:ind w:left="40" w:right="8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2029. In the event the Reporting Person ceases to be a Service Provider, the unvested restricted stock awards and restricted stock units will be cancelled by the Issuer.</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original Form 4 incorrectly reported the number of shares held following the reported transaction.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Cara Angelmar, Attorney-in-Fact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05/09/2025</w:t>
            </w:r>
          </w:p>
        </w:tc>
      </w:tr>
      <w:tr>
        <w:trPr>
          <w:trHeight w:val="178"/>
        </w:trPr>
        <w:tc>
          <w:tcPr>
            <w:tcW w:w="6580" w:type="dxa"/>
            <w:vAlign w:val="bottom"/>
          </w:tcPr>
          <w:p>
            <w:pPr>
              <w:spacing w:after="0"/>
              <w:rPr>
                <w:sz w:val="15"/>
                <w:szCs w:val="15"/>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6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73472"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2025-05-09T15:36:26Z</dcterms:created>
  <dcterms:modified xsi:type="dcterms:W3CDTF">2025-05-09T15:36:26Z</dcterms:modified>
</cp:coreProperties>
</file>