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2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0"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October 17, 2023</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855" w:right="239" w:bottom="1440" w:gutter="0" w:footer="0" w:header="0"/>
        </w:sectPr>
      </w:pPr>
    </w:p>
    <w:p>
      <w:pPr>
        <w:spacing w:after="0" w:line="10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85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855" w:right="239" w:bottom="1440" w:gutter="0" w:footer="0" w:header="0"/>
          <w:type w:val="continuous"/>
        </w:sectPr>
      </w:pPr>
    </w:p>
    <w:p>
      <w:pPr>
        <w:spacing w:after="0" w:line="32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3" w:lineRule="exact"/>
        <w:rPr>
          <w:sz w:val="24"/>
          <w:szCs w:val="24"/>
          <w:color w:val="auto"/>
        </w:rPr>
      </w:pPr>
    </w:p>
    <w:p>
      <w:pPr>
        <w:ind w:right="240"/>
        <w:spacing w:after="0" w:line="25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85"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78740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2"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2180" w:type="dxa"/>
            <w:vAlign w:val="bottom"/>
          </w:tcPr>
          <w:p>
            <w:pPr>
              <w:spacing w:after="0"/>
              <w:rPr>
                <w:sz w:val="14"/>
                <w:szCs w:val="14"/>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Trading Symbol(s)</w:t>
            </w:r>
          </w:p>
        </w:tc>
        <w:tc>
          <w:tcPr>
            <w:tcW w:w="3100" w:type="dxa"/>
            <w:vAlign w:val="bottom"/>
            <w:gridSpan w:val="2"/>
          </w:tcPr>
          <w:p>
            <w:pPr>
              <w:jc w:val="center"/>
              <w:ind w:left="709"/>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Arial" w:cs="Arial" w:eastAsia="Arial" w:hAnsi="Arial"/>
                <w:sz w:val="14"/>
                <w:szCs w:val="14"/>
                <w:color w:val="auto"/>
                <w:w w:val="90"/>
              </w:rPr>
              <w:t>Class A Common Stock, par value $0.00001 per share</w:t>
            </w: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97"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66" w:lineRule="exact"/>
        <w:rPr>
          <w:sz w:val="24"/>
          <w:szCs w:val="24"/>
          <w:color w:val="auto"/>
        </w:rPr>
      </w:pPr>
    </w:p>
    <w:p>
      <w:pPr>
        <w:ind w:right="260"/>
        <w:spacing w:after="0" w:line="26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430530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51"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On October 17, 2023, Dropbox Inc. (the “Company”) entered into a lease amendment (the “Amendment”) to its Office Lease, dated October 6, 2017, as subsequently amended, with KRE Exchange Owner LLC (the “landlord”) for its corporate headquarters in San Francisco, California, whereby the Company will surrender to the landlord 165,244 square feet of office space and pay an aggregate of $79.0 million in termination payments. The surrendering of space and payment of termination fees will occur in three tranches: 51,956 square feet and $28.1 million paid in the fourth quarter of 2023, 54,253 square feet and</w:t>
      </w:r>
    </w:p>
    <w:p>
      <w:pPr>
        <w:ind w:right="60"/>
        <w:spacing w:after="0" w:line="255" w:lineRule="auto"/>
        <w:rPr>
          <w:sz w:val="20"/>
          <w:szCs w:val="20"/>
          <w:color w:val="auto"/>
        </w:rPr>
      </w:pPr>
      <w:r>
        <w:rPr>
          <w:rFonts w:ascii="Arial" w:cs="Arial" w:eastAsia="Arial" w:hAnsi="Arial"/>
          <w:sz w:val="18"/>
          <w:szCs w:val="18"/>
          <w:color w:val="auto"/>
        </w:rPr>
        <w:t>$14.9 million paid in the second quarter of 2024 and the remaining 59,035 square feet and $36.0 million paid in the first quarter of 2025. As a result of the Amendment the Company will avoid future cash payments related to rent and common area maintenance fees of $137 million and approximately $90 million, respectively, over the remaining 10 year lease term.</w:t>
      </w:r>
    </w:p>
    <w:p>
      <w:pPr>
        <w:spacing w:after="0" w:line="216"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text of the Amendment, a copy of which will be filed with the Company’s Annual Report on Form 10-K for the year ending December 31, 2023.</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5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$28.1 million termination payment paid in the fourth quarter of 2023 was not previously factored into the Company’s stated full-year free cash flow guidance range of $820 million to $840 million (as previously provided in the investor supplement posted on the Company’s investors.dropbox.com website on August 3, 2023). The Company intends to provide updated full-year free cash flow guidance during its third quarter 2023 financial results report on Thursday, November 2, 2023.</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contained in this Item 7.01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528320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2023</w:t>
      </w:r>
    </w:p>
    <w:p>
      <w:pPr>
        <w:spacing w:after="0" w:line="27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1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Bart Volkmer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080"/>
      </w:cols>
      <w:pgMar w:left="320" w:top="87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2023-10-20T15:18:21Z</dcterms:created>
  <dcterms:modified xsi:type="dcterms:W3CDTF">2023-10-20T15:18:21Z</dcterms:modified>
</cp:coreProperties>
</file>