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Arrowstreet Capital, Limited Partnership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8,378,951.00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8,533,736.00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8,533,736.00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Arrowstreet Capital Holding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8,378,951.00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8,533,736.00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8,533,736.00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Owens Street, San Francisco, US-CA, 94158, US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Arrowstreet Capital, Limited Partnership ("ASC") Arrowstreet Capital Holding LLC ("ACH")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900"/>
        <w:spacing w:after="0" w:line="309" w:lineRule="auto"/>
        <w:rPr>
          <w:sz w:val="20"/>
          <w:szCs w:val="20"/>
          <w:color w:val="auto"/>
        </w:rPr>
      </w:pPr>
      <w:r>
        <w:rPr>
          <w:rFonts w:ascii="Times New Roman" w:cs="Times New Roman" w:eastAsia="Times New Roman" w:hAnsi="Times New Roman"/>
          <w:sz w:val="22"/>
          <w:szCs w:val="22"/>
          <w:color w:val="auto"/>
        </w:rPr>
        <w:t>200 Clarendon Street, 30th Floor, Boston, 02116, Massachusetts,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ASC: Massachusetts ACH: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8,533,736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ASC: 5.4% ACH: 5.4%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8,378,951</w:t>
      </w:r>
    </w:p>
    <w:p>
      <w:pPr>
        <w:spacing w:after="0" w:line="287" w:lineRule="exact"/>
        <w:rPr>
          <w:sz w:val="20"/>
          <w:szCs w:val="20"/>
          <w:color w:val="auto"/>
        </w:rPr>
      </w:pPr>
    </w:p>
    <w:p>
      <w:pPr>
        <w:jc w:val="right"/>
        <w:ind w:right="57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8,533,736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This Schedule is filed by ASC, in its capacity as investment adviser to a number of its investment advisory clients, and by ACH, in its capacity as the ultimate parent company of ASC. The securities to which this Schedule relate are held by investment advisory clients of ASC. The securities to which this Schedule relates are held by investment advisor clients of ASC. No such investment advisory client of ASC is known by ASC or by ACH to hold more than five percent of the class of securities to which this schedule relates.</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Arrowstreet Capital, Limited Partnership</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Kimberly Kelley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Arrowstreet Capital Holding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Eric Burnett</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Member and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2026-05-15T10:38:53Z</dcterms:created>
  <dcterms:modified xsi:type="dcterms:W3CDTF">2026-05-15T10:38:53Z</dcterms:modified>
</cp:coreProperties>
</file>