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19, 2018</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50" w:lineRule="exact"/>
        <w:rPr>
          <w:sz w:val="24"/>
          <w:szCs w:val="24"/>
          <w:color w:val="auto"/>
        </w:rPr>
      </w:pPr>
    </w:p>
    <w:p>
      <w:pPr>
        <w:sectPr>
          <w:pgSz w:w="11900" w:h="16838" w:orient="portrait"/>
          <w:cols w:equalWidth="0" w:num="3">
            <w:col w:w="4520" w:space="720"/>
            <w:col w:w="2860" w:space="720"/>
            <w:col w:w="1920"/>
          </w:cols>
          <w:pgMar w:left="440" w:top="368" w:right="719" w:bottom="1440" w:gutter="0" w:footer="0" w:header="0"/>
          <w:type w:val="continuous"/>
        </w:sectPr>
      </w:pPr>
    </w:p>
    <w:p>
      <w:pPr>
        <w:ind w:left="1060"/>
        <w:spacing w:after="0"/>
        <w:rPr>
          <w:sz w:val="20"/>
          <w:szCs w:val="20"/>
          <w:color w:val="auto"/>
        </w:rPr>
      </w:pPr>
      <w:r>
        <w:rPr>
          <w:rFonts w:ascii="Arial" w:cs="Arial" w:eastAsia="Arial" w:hAnsi="Arial"/>
          <w:sz w:val="13"/>
          <w:szCs w:val="13"/>
          <w:b w:val="1"/>
          <w:bCs w:val="1"/>
          <w:color w:val="auto"/>
        </w:rPr>
        <w:t>(State or other jurisdiction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 R. S. Employer</w:t>
      </w:r>
    </w:p>
    <w:p>
      <w:pPr>
        <w:spacing w:after="0" w:line="200" w:lineRule="exact"/>
        <w:rPr>
          <w:sz w:val="24"/>
          <w:szCs w:val="24"/>
          <w:color w:val="auto"/>
        </w:rPr>
      </w:pPr>
    </w:p>
    <w:p>
      <w:pPr>
        <w:sectPr>
          <w:pgSz w:w="11900" w:h="16838" w:orient="portrait"/>
          <w:cols w:equalWidth="0" w:num="3">
            <w:col w:w="4500" w:space="720"/>
            <w:col w:w="2760" w:space="720"/>
            <w:col w:w="2040"/>
          </w:cols>
          <w:pgMar w:left="440" w:top="368" w:right="719" w:bottom="1440" w:gutter="0" w:footer="0" w:header="0"/>
          <w:type w:val="continuous"/>
        </w:sectPr>
      </w:pPr>
    </w:p>
    <w:p>
      <w:pPr>
        <w:spacing w:after="0" w:line="15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San Francisco, California 94107</w:t>
      </w:r>
    </w:p>
    <w:p>
      <w:pPr>
        <w:spacing w:after="0" w:line="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(415) 857-6800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8.01 below is incorporated herein by reference.</w:t>
      </w:r>
    </w:p>
    <w:p>
      <w:pPr>
        <w:spacing w:after="0" w:line="3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Dropbox, Inc., a Delaware corporation (the “Company”), adopted amended and restated bylaws that became effective on March 27, 2018 (the “Bylaws”). Article XI of the Bylaws provides in part, that, unless the Company consents in writing to the selection of an alternative forum, the federal district courts of the United States of America shall be the exclusive forum for the resolution of any complaint asserting a cause of action arising under the Securities Act of 1933 (such provision, a “Federal Forum Provision”).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19, 2018, the Delaware Court of Chancery issued a decision in Matthew Sciabacucchi v. Matthew B. Salzberg et al., C.A. No. 2017-0931-JTL (Del. Ch.), finding that provisions such as the Federal Forum Provision are not valid under Delaware law. In light of this decision of the Delaware Court of Chancery, the Company does not intend to enforce the Federal Forum Provision in its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the Company’s Board of Directors intends to amend its Bylaws to remove the Federal Forum Provision.</w:t>
      </w:r>
    </w:p>
    <w:p>
      <w:pPr>
        <w:sectPr>
          <w:pgSz w:w="11900" w:h="16838" w:orient="portrait"/>
          <w:cols w:equalWidth="0" w:num="1">
            <w:col w:w="10960"/>
          </w:cols>
          <w:pgMar w:left="440" w:top="270"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26,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Bart Volkmer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2019-12-07T16:33:49Z</dcterms:created>
  <dcterms:modified xsi:type="dcterms:W3CDTF">2019-12-07T16:33:49Z</dcterms:modified>
</cp:coreProperties>
</file>