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35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6035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48"/>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48"/>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4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57785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0" w:lineRule="exact"/>
        <w:rPr>
          <w:sz w:val="24"/>
          <w:szCs w:val="24"/>
          <w:color w:val="auto"/>
        </w:rPr>
      </w:pPr>
    </w:p>
    <w:p>
      <w:pPr>
        <w:jc w:val="center"/>
        <w:ind w:right="-248"/>
        <w:spacing w:after="0"/>
        <w:rPr>
          <w:sz w:val="20"/>
          <w:szCs w:val="20"/>
          <w:color w:val="auto"/>
        </w:rPr>
      </w:pPr>
      <w:r>
        <w:rPr>
          <w:rFonts w:ascii="Arial" w:cs="Arial" w:eastAsia="Arial" w:hAnsi="Arial"/>
          <w:sz w:val="32"/>
          <w:szCs w:val="32"/>
          <w:b w:val="1"/>
          <w:bCs w:val="1"/>
          <w:color w:val="auto"/>
        </w:rPr>
        <w:t>SCHEDULE 14A</w:t>
      </w:r>
    </w:p>
    <w:p>
      <w:pPr>
        <w:spacing w:after="0" w:line="131" w:lineRule="exact"/>
        <w:rPr>
          <w:sz w:val="24"/>
          <w:szCs w:val="24"/>
          <w:color w:val="auto"/>
        </w:rPr>
      </w:pPr>
    </w:p>
    <w:p>
      <w:pPr>
        <w:jc w:val="center"/>
        <w:ind w:right="-248"/>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248"/>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83185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3"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2"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6"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86" w:lineRule="exact"/>
        <w:rPr>
          <w:sz w:val="24"/>
          <w:szCs w:val="24"/>
          <w:color w:val="auto"/>
        </w:rPr>
      </w:pPr>
    </w:p>
    <w:p>
      <w:pPr>
        <w:jc w:val="center"/>
        <w:ind w:right="-248"/>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64" w:lineRule="exact"/>
        <w:rPr>
          <w:sz w:val="24"/>
          <w:szCs w:val="24"/>
          <w:color w:val="auto"/>
        </w:rPr>
      </w:pPr>
    </w:p>
    <w:p>
      <w:pPr>
        <w:ind w:left="2728"/>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0"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28" w:hanging="408"/>
        <w:spacing w:after="0"/>
        <w:tabs>
          <w:tab w:leader="none" w:pos="42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428" w:hanging="408"/>
        <w:spacing w:after="0"/>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right="59" w:hanging="450"/>
        <w:spacing w:after="0" w:line="246" w:lineRule="auto"/>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28" w:hanging="408"/>
        <w:spacing w:after="0"/>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jc w:val="both"/>
        <w:ind w:left="428" w:right="39" w:hanging="408"/>
        <w:spacing w:after="0"/>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rFonts w:ascii="MS PGothic" w:cs="MS PGothic" w:eastAsia="MS PGothic" w:hAnsi="MS PGothic"/>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8" w:hanging="450"/>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546100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246380</wp:posOffset>
            </wp:positionV>
            <wp:extent cx="5486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-198755</wp:posOffset>
            </wp:positionV>
            <wp:extent cx="5486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-670560</wp:posOffset>
            </wp:positionV>
            <wp:extent cx="5486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-1141730</wp:posOffset>
            </wp:positionV>
            <wp:extent cx="5486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-2299335</wp:posOffset>
            </wp:positionV>
            <wp:extent cx="5486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-2770505</wp:posOffset>
            </wp:positionV>
            <wp:extent cx="5486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-3242310</wp:posOffset>
            </wp:positionV>
            <wp:extent cx="5486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-3842385</wp:posOffset>
            </wp:positionV>
            <wp:extent cx="5486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-4313555</wp:posOffset>
            </wp:positionV>
            <wp:extent cx="5486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035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0350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267"/>
          </w:cols>
          <w:pgMar w:left="1192" w:top="225" w:right="1440" w:bottom="619" w:gutter="0" w:footer="0" w:header="0"/>
        </w:sectPr>
      </w:pPr>
    </w:p>
    <w:bookmarkStart w:id="1" w:name="page2"/>
    <w:bookmarkEnd w:id="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7324"/>
        <w:spacing w:after="0"/>
        <w:rPr>
          <w:sz w:val="20"/>
          <w:szCs w:val="20"/>
          <w:color w:val="auto"/>
        </w:rPr>
      </w:pPr>
      <w:r>
        <w:rPr>
          <w:rFonts w:ascii="Arial" w:cs="Arial" w:eastAsia="Arial" w:hAnsi="Arial"/>
          <w:sz w:val="18"/>
          <w:szCs w:val="18"/>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-127635</wp:posOffset>
            </wp:positionV>
            <wp:extent cx="3703320" cy="728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3320" cy="728980"/>
                    </a:xfrm>
                    <a:prstGeom prst="rect">
                      <a:avLst/>
                    </a:prstGeom>
                    <a:noFill/>
                  </pic:spPr>
                </pic:pic>
              </a:graphicData>
            </a:graphic>
          </wp:anchor>
        </w:drawing>
      </w:r>
    </w:p>
    <w:p>
      <w:pPr>
        <w:ind w:left="7324" w:right="360"/>
        <w:spacing w:after="0" w:line="261" w:lineRule="auto"/>
        <w:rPr>
          <w:sz w:val="20"/>
          <w:szCs w:val="20"/>
          <w:color w:val="auto"/>
        </w:rPr>
      </w:pPr>
      <w:r>
        <w:rPr>
          <w:rFonts w:ascii="Arial" w:cs="Arial" w:eastAsia="Arial" w:hAnsi="Arial"/>
          <w:sz w:val="17"/>
          <w:szCs w:val="17"/>
          <w:color w:val="auto"/>
        </w:rPr>
        <w:t>1800 OWENS STREET SAN FRANCISCO, CALIFORNIA 94158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4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to be held at 9:00 am Pacific Time on Thursday, May 20, 2021</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Dropbox, Inc.:</w:t>
      </w:r>
    </w:p>
    <w:p>
      <w:pPr>
        <w:spacing w:after="0" w:line="147"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We cordially invite you to attend the 2021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20, 2021 at 9:00 am Pacific Time. The Annual Meeting will be conducted virtually via live audio webcast. You will be able to attend the Annual Meeting virtually by visiting www.virtualshareholdermeeting.com/DBX2021, where you will be able to listen to the meeting live, submit questions and vote online.</w:t>
      </w:r>
    </w:p>
    <w:p>
      <w:pPr>
        <w:spacing w:after="0" w:line="144"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4" w:right="26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seven directors to serve until the next annual meeting of stockholders and until their successors are duly elected and qualified;</w:t>
      </w:r>
    </w:p>
    <w:p>
      <w:pPr>
        <w:spacing w:after="0" w:line="141" w:lineRule="exact"/>
        <w:rPr>
          <w:rFonts w:ascii="Arial" w:cs="Arial" w:eastAsia="Arial" w:hAnsi="Arial"/>
          <w:sz w:val="16"/>
          <w:szCs w:val="16"/>
          <w:color w:val="auto"/>
        </w:rPr>
      </w:pPr>
    </w:p>
    <w:p>
      <w:pPr>
        <w:ind w:left="344" w:right="22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2021;</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and</w:t>
      </w:r>
    </w:p>
    <w:p>
      <w:pPr>
        <w:spacing w:after="0" w:line="167" w:lineRule="exact"/>
        <w:rPr>
          <w:rFonts w:ascii="Arial" w:cs="Arial" w:eastAsia="Arial" w:hAnsi="Arial"/>
          <w:sz w:val="16"/>
          <w:szCs w:val="16"/>
          <w:color w:val="auto"/>
        </w:rPr>
      </w:pPr>
    </w:p>
    <w:p>
      <w:pPr>
        <w:ind w:left="344" w:right="48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41" w:lineRule="exact"/>
        <w:rPr>
          <w:sz w:val="20"/>
          <w:szCs w:val="20"/>
          <w:color w:val="auto"/>
        </w:rPr>
      </w:pPr>
    </w:p>
    <w:p>
      <w:pPr>
        <w:jc w:val="both"/>
        <w:ind w:left="4" w:right="100"/>
        <w:spacing w:after="0" w:line="253" w:lineRule="auto"/>
        <w:rPr>
          <w:sz w:val="20"/>
          <w:szCs w:val="20"/>
          <w:color w:val="auto"/>
        </w:rPr>
      </w:pPr>
      <w:r>
        <w:rPr>
          <w:rFonts w:ascii="Arial" w:cs="Arial" w:eastAsia="Arial" w:hAnsi="Arial"/>
          <w:sz w:val="16"/>
          <w:szCs w:val="16"/>
          <w:color w:val="auto"/>
        </w:rPr>
        <w:t>Our board of directors has fixed the close of business on March 23, 2021 as the record date for the Annual Meeting. Stockholders of record on March 23, 2021 are entitled to notice of and to vote at the Annual Meeting. Further information regarding voting rights and the matters to be voted upon is presented in the accompanying proxy statement.</w:t>
      </w:r>
    </w:p>
    <w:p>
      <w:pPr>
        <w:spacing w:after="0" w:line="147"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1499870"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Andrew W. Houston</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Co-Founder, and Chairman of the Board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6, 2021</w:t>
      </w:r>
    </w:p>
    <w:p>
      <w:pPr>
        <w:spacing w:after="0" w:line="206" w:lineRule="exact"/>
        <w:rPr>
          <w:sz w:val="20"/>
          <w:szCs w:val="20"/>
          <w:color w:val="auto"/>
        </w:rPr>
      </w:pPr>
    </w:p>
    <w:p>
      <w:pPr>
        <w:ind w:left="4204"/>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 w:name="page3"/>
    <w:bookmarkEnd w:id="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GENERAL INFORMATION</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10">
              <w:r>
                <w:rPr>
                  <w:rFonts w:ascii="Arial" w:cs="Arial" w:eastAsia="Arial" w:hAnsi="Arial"/>
                  <w:sz w:val="22"/>
                  <w:szCs w:val="22"/>
                  <w:b w:val="1"/>
                  <w:bCs w:val="1"/>
                  <w:color w:val="0000EE"/>
                </w:rPr>
                <w:t>BOARD OF DIRECTORS AND CORPORATE GOVERNANCE</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10">
              <w:r>
                <w:rPr>
                  <w:rFonts w:ascii="Arial" w:cs="Arial" w:eastAsia="Arial" w:hAnsi="Arial"/>
                  <w:sz w:val="22"/>
                  <w:szCs w:val="22"/>
                  <w:b w:val="1"/>
                  <w:bCs w:val="1"/>
                  <w:color w:val="0000EE"/>
                </w:rPr>
                <w:t>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6"/>
                <w:szCs w:val="16"/>
                <w:color w:val="0000EE"/>
                <w:w w:val="98"/>
              </w:rPr>
            </w:pPr>
            <w:hyperlink w:anchor="page11">
              <w:r>
                <w:rPr>
                  <w:rFonts w:ascii="Arial" w:cs="Arial" w:eastAsia="Arial" w:hAnsi="Arial"/>
                  <w:sz w:val="16"/>
                  <w:szCs w:val="16"/>
                  <w:color w:val="0000EE"/>
                  <w:w w:val="98"/>
                </w:rPr>
                <w:t>Nominees for Director</w:t>
              </w:r>
            </w:hyperlink>
          </w:p>
        </w:tc>
        <w:tc>
          <w:tcPr>
            <w:tcW w:w="4180" w:type="dxa"/>
            <w:vAlign w:val="bottom"/>
            <w:gridSpan w:val="18"/>
          </w:tcPr>
          <w:p>
            <w:pPr>
              <w:spacing w:after="0"/>
              <w:rPr>
                <w:sz w:val="24"/>
                <w:szCs w:val="24"/>
                <w:color w:val="auto"/>
              </w:rPr>
            </w:pPr>
          </w:p>
        </w:tc>
        <w:tc>
          <w:tcPr>
            <w:tcW w:w="3060" w:type="dxa"/>
            <w:vAlign w:val="bottom"/>
            <w:gridSpan w:val="4"/>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11">
              <w:r>
                <w:rPr>
                  <w:rFonts w:ascii="Arial" w:cs="Arial" w:eastAsia="Arial" w:hAnsi="Arial"/>
                  <w:sz w:val="16"/>
                  <w:szCs w:val="16"/>
                  <w:b w:val="1"/>
                  <w:bCs w:val="1"/>
                  <w:color w:val="0000EE"/>
                  <w:w w:val="89"/>
                </w:rPr>
                <w:t>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Non-Continuing Directors</w:t>
              </w:r>
            </w:hyperlink>
          </w:p>
        </w:tc>
        <w:tc>
          <w:tcPr>
            <w:tcW w:w="7000" w:type="dxa"/>
            <w:vAlign w:val="bottom"/>
            <w:gridSpan w:val="20"/>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10</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Borders>
              <w:top w:val="single" w:sz="8" w:color="0000EE"/>
            </w:tcBorders>
            <w:gridSpan w:val="6"/>
          </w:tcPr>
          <w:p>
            <w:pPr>
              <w:spacing w:after="0"/>
              <w:rPr>
                <w:rFonts w:ascii="Arial" w:cs="Arial" w:eastAsia="Arial" w:hAnsi="Arial"/>
                <w:sz w:val="16"/>
                <w:szCs w:val="16"/>
                <w:color w:val="0000EE"/>
                <w:w w:val="95"/>
              </w:rPr>
            </w:pPr>
            <w:hyperlink w:anchor="page15">
              <w:r>
                <w:rPr>
                  <w:rFonts w:ascii="Arial" w:cs="Arial" w:eastAsia="Arial" w:hAnsi="Arial"/>
                  <w:sz w:val="16"/>
                  <w:szCs w:val="16"/>
                  <w:color w:val="0000EE"/>
                  <w:w w:val="95"/>
                </w:rPr>
                <w:t>Director Independence</w:t>
              </w:r>
            </w:hyperlink>
          </w:p>
        </w:tc>
        <w:tc>
          <w:tcPr>
            <w:tcW w:w="240" w:type="dxa"/>
            <w:vAlign w:val="bottom"/>
            <w:tcBorders>
              <w:top w:val="single" w:sz="8" w:color="0000EE"/>
            </w:tcBorders>
            <w:gridSpan w:val="2"/>
          </w:tcPr>
          <w:p>
            <w:pPr>
              <w:spacing w:after="0"/>
              <w:rPr>
                <w:sz w:val="24"/>
                <w:szCs w:val="24"/>
                <w:color w:val="auto"/>
              </w:rPr>
            </w:pPr>
          </w:p>
        </w:tc>
        <w:tc>
          <w:tcPr>
            <w:tcW w:w="7000" w:type="dxa"/>
            <w:vAlign w:val="bottom"/>
            <w:gridSpan w:val="20"/>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tcBorders>
              <w:top w:val="single" w:sz="8" w:color="0000EE"/>
            </w:tcBorders>
          </w:tcPr>
          <w:p>
            <w:pPr>
              <w:jc w:val="right"/>
              <w:spacing w:after="0"/>
              <w:rPr>
                <w:rFonts w:ascii="Arial" w:cs="Arial" w:eastAsia="Arial" w:hAnsi="Arial"/>
                <w:sz w:val="10"/>
                <w:szCs w:val="10"/>
                <w:b w:val="1"/>
                <w:bCs w:val="1"/>
                <w:color w:val="0000EE"/>
                <w:w w:val="71"/>
              </w:rPr>
            </w:pPr>
            <w:hyperlink w:anchor="page15">
              <w:r>
                <w:rPr>
                  <w:rFonts w:ascii="Arial" w:cs="Arial" w:eastAsia="Arial" w:hAnsi="Arial"/>
                  <w:sz w:val="10"/>
                  <w:szCs w:val="10"/>
                  <w:b w:val="1"/>
                  <w:bCs w:val="1"/>
                  <w:color w:val="0000EE"/>
                  <w:w w:val="71"/>
                </w:rPr>
                <w:t>11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Leadership Structure and Role of the Lead Independent Director</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11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6"/>
                <w:szCs w:val="16"/>
                <w:color w:val="0000EE"/>
                <w:w w:val="96"/>
              </w:rPr>
            </w:pPr>
            <w:hyperlink w:anchor="page16">
              <w:r>
                <w:rPr>
                  <w:rFonts w:ascii="Arial" w:cs="Arial" w:eastAsia="Arial" w:hAnsi="Arial"/>
                  <w:sz w:val="16"/>
                  <w:szCs w:val="16"/>
                  <w:color w:val="0000EE"/>
                  <w:w w:val="96"/>
                </w:rPr>
                <w:t>Board Committees</w:t>
              </w:r>
            </w:hyperlink>
          </w:p>
        </w:tc>
        <w:tc>
          <w:tcPr>
            <w:tcW w:w="3760" w:type="dxa"/>
            <w:vAlign w:val="bottom"/>
            <w:gridSpan w:val="17"/>
          </w:tcPr>
          <w:p>
            <w:pPr>
              <w:spacing w:after="0"/>
              <w:rPr>
                <w:sz w:val="24"/>
                <w:szCs w:val="24"/>
                <w:color w:val="auto"/>
              </w:rPr>
            </w:pPr>
          </w:p>
        </w:tc>
        <w:tc>
          <w:tcPr>
            <w:tcW w:w="3740" w:type="dxa"/>
            <w:vAlign w:val="bottom"/>
            <w:gridSpan w:val="7"/>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6">
              <w:r>
                <w:rPr>
                  <w:rFonts w:ascii="Arial" w:cs="Arial" w:eastAsia="Arial" w:hAnsi="Arial"/>
                  <w:sz w:val="16"/>
                  <w:szCs w:val="16"/>
                  <w:b w:val="1"/>
                  <w:bCs w:val="1"/>
                  <w:color w:val="0000EE"/>
                </w:rPr>
                <w:t>12</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1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Attendance at Board and Stockholder Meetings</w:t>
              </w:r>
            </w:hyperlink>
          </w:p>
        </w:tc>
        <w:tc>
          <w:tcPr>
            <w:tcW w:w="5420" w:type="dxa"/>
            <w:vAlign w:val="bottom"/>
            <w:gridSpan w:val="13"/>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Compensation Committee Interlocks and Insider Participation</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1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Considerations in Evaluating Director Nominees</w:t>
              </w:r>
            </w:hyperlink>
          </w:p>
        </w:tc>
        <w:tc>
          <w:tcPr>
            <w:tcW w:w="940" w:type="dxa"/>
            <w:vAlign w:val="bottom"/>
            <w:gridSpan w:val="2"/>
          </w:tcPr>
          <w:p>
            <w:pPr>
              <w:spacing w:after="0"/>
              <w:rPr>
                <w:sz w:val="24"/>
                <w:szCs w:val="24"/>
                <w:color w:val="auto"/>
              </w:rPr>
            </w:pPr>
          </w:p>
        </w:tc>
        <w:tc>
          <w:tcPr>
            <w:tcW w:w="4440" w:type="dxa"/>
            <w:vAlign w:val="bottom"/>
            <w:gridSpan w:val="10"/>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Board Evaluations</w:t>
              </w:r>
            </w:hyperlink>
          </w:p>
        </w:tc>
        <w:tc>
          <w:tcPr>
            <w:tcW w:w="2120" w:type="dxa"/>
            <w:vAlign w:val="bottom"/>
            <w:gridSpan w:val="12"/>
          </w:tcPr>
          <w:p>
            <w:pPr>
              <w:spacing w:after="0"/>
              <w:rPr>
                <w:sz w:val="24"/>
                <w:szCs w:val="24"/>
                <w:color w:val="auto"/>
              </w:rPr>
            </w:pPr>
          </w:p>
        </w:tc>
        <w:tc>
          <w:tcPr>
            <w:tcW w:w="5380" w:type="dxa"/>
            <w:vAlign w:val="bottom"/>
            <w:gridSpan w:val="12"/>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Stockholder Recommendations and Nominations to the Board of Directors</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14"/>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Communications with the Board of Directors</w:t>
              </w:r>
            </w:hyperlink>
          </w:p>
        </w:tc>
        <w:tc>
          <w:tcPr>
            <w:tcW w:w="2140" w:type="dxa"/>
            <w:vAlign w:val="bottom"/>
            <w:gridSpan w:val="8"/>
          </w:tcPr>
          <w:p>
            <w:pPr>
              <w:spacing w:after="0"/>
              <w:rPr>
                <w:sz w:val="24"/>
                <w:szCs w:val="24"/>
                <w:color w:val="auto"/>
              </w:rPr>
            </w:pPr>
          </w:p>
        </w:tc>
        <w:tc>
          <w:tcPr>
            <w:tcW w:w="3520" w:type="dxa"/>
            <w:vAlign w:val="bottom"/>
            <w:gridSpan w:val="6"/>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Corporate Governance Guidelines and Code of Business Conduct and Ethics</w:t>
              </w:r>
            </w:hyperlink>
          </w:p>
        </w:tc>
        <w:tc>
          <w:tcPr>
            <w:tcW w:w="328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Role of Board in Risk Oversight Process</w:t>
              </w:r>
            </w:hyperlink>
          </w:p>
        </w:tc>
        <w:tc>
          <w:tcPr>
            <w:tcW w:w="328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16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12"/>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Corporate Responsibility Highlights</w:t>
              </w:r>
            </w:hyperlink>
          </w:p>
        </w:tc>
        <w:tc>
          <w:tcPr>
            <w:tcW w:w="360" w:type="dxa"/>
            <w:vAlign w:val="bottom"/>
          </w:tcPr>
          <w:p>
            <w:pPr>
              <w:spacing w:after="0"/>
              <w:rPr>
                <w:sz w:val="24"/>
                <w:szCs w:val="24"/>
                <w:color w:val="auto"/>
              </w:rPr>
            </w:pPr>
          </w:p>
        </w:tc>
        <w:tc>
          <w:tcPr>
            <w:tcW w:w="5940" w:type="dxa"/>
            <w:vAlign w:val="bottom"/>
            <w:gridSpan w:val="1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16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Director Compensation</w:t>
              </w:r>
            </w:hyperlink>
          </w:p>
        </w:tc>
        <w:tc>
          <w:tcPr>
            <w:tcW w:w="860" w:type="dxa"/>
            <w:vAlign w:val="bottom"/>
            <w:gridSpan w:val="5"/>
          </w:tcPr>
          <w:p>
            <w:pPr>
              <w:spacing w:after="0"/>
              <w:rPr>
                <w:sz w:val="24"/>
                <w:szCs w:val="24"/>
                <w:color w:val="auto"/>
              </w:rPr>
            </w:pPr>
          </w:p>
        </w:tc>
        <w:tc>
          <w:tcPr>
            <w:tcW w:w="6300" w:type="dxa"/>
            <w:vAlign w:val="bottom"/>
            <w:gridSpan w:val="16"/>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19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4840" w:type="dxa"/>
            <w:vAlign w:val="bottom"/>
            <w:gridSpan w:val="20"/>
          </w:tcPr>
          <w:p>
            <w:pPr>
              <w:spacing w:after="0"/>
              <w:rPr>
                <w:rFonts w:ascii="Arial" w:cs="Arial" w:eastAsia="Arial" w:hAnsi="Arial"/>
                <w:sz w:val="22"/>
                <w:szCs w:val="22"/>
                <w:b w:val="1"/>
                <w:bCs w:val="1"/>
                <w:color w:val="0000EE"/>
                <w:w w:val="97"/>
              </w:rPr>
            </w:pPr>
            <w:hyperlink w:anchor="page27">
              <w:r>
                <w:rPr>
                  <w:rFonts w:ascii="Arial" w:cs="Arial" w:eastAsia="Arial" w:hAnsi="Arial"/>
                  <w:sz w:val="22"/>
                  <w:szCs w:val="22"/>
                  <w:b w:val="1"/>
                  <w:bCs w:val="1"/>
                  <w:color w:val="0000EE"/>
                  <w:w w:val="97"/>
                </w:rPr>
                <w:t>PROPOSAL NO. 1—ELECTION OF DIRECTORS</w:t>
              </w:r>
            </w:hyperlink>
          </w:p>
        </w:tc>
        <w:tc>
          <w:tcPr>
            <w:tcW w:w="4260" w:type="dxa"/>
            <w:vAlign w:val="bottom"/>
            <w:gridSpan w:val="9"/>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7">
              <w:r>
                <w:rPr>
                  <w:rFonts w:ascii="Arial" w:cs="Arial" w:eastAsia="Arial" w:hAnsi="Arial"/>
                  <w:sz w:val="22"/>
                  <w:szCs w:val="22"/>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560" w:type="dxa"/>
            <w:vAlign w:val="bottom"/>
            <w:tcBorders>
              <w:top w:val="single" w:sz="8" w:color="0000EE"/>
            </w:tcBorders>
            <w:gridSpan w:val="19"/>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Nominees</w:t>
              </w:r>
            </w:hyperlink>
          </w:p>
        </w:tc>
        <w:tc>
          <w:tcPr>
            <w:tcW w:w="42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Vote Required</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PROPOSAL NO. 2—RATIFICATION OF APPOINTMENT OF INDEPENDENT</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24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500" w:type="dxa"/>
            <w:vAlign w:val="bottom"/>
            <w:tcBorders>
              <w:top w:val="single" w:sz="8" w:color="0000EE"/>
            </w:tcBorders>
            <w:gridSpan w:val="26"/>
          </w:tcPr>
          <w:p>
            <w:pPr>
              <w:spacing w:after="0" w:line="223" w:lineRule="exact"/>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REGISTERED PUBLIC ACCOUNTING FIRM</w:t>
              </w:r>
            </w:hyperlink>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Fees Paid to the Independent Registered Public Accounting Firm</w:t>
              </w:r>
            </w:hyperlink>
          </w:p>
        </w:tc>
        <w:tc>
          <w:tcPr>
            <w:tcW w:w="4160" w:type="dxa"/>
            <w:vAlign w:val="bottom"/>
            <w:gridSpan w:val="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24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gridSpan w:val="10"/>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Auditor Independence</w:t>
              </w:r>
            </w:hyperlink>
          </w:p>
        </w:tc>
        <w:tc>
          <w:tcPr>
            <w:tcW w:w="4160" w:type="dxa"/>
            <w:vAlign w:val="bottom"/>
            <w:gridSpan w:val="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Audit Committee Policy on Pre-Approval of Audit and Permissible Non-Audit Services of Independent Registered Public</w:t>
              </w:r>
            </w:hyperlink>
          </w:p>
        </w:tc>
        <w:tc>
          <w:tcPr>
            <w:tcW w:w="280" w:type="dxa"/>
            <w:vAlign w:val="bottom"/>
            <w:gridSpan w:val="3"/>
            <w:vMerge w:val="restart"/>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gridSpan w:val="4"/>
          </w:tcPr>
          <w:p>
            <w:pPr>
              <w:spacing w:after="0" w:line="169" w:lineRule="exact"/>
              <w:rPr>
                <w:rFonts w:ascii="Arial" w:cs="Arial" w:eastAsia="Arial" w:hAnsi="Arial"/>
                <w:sz w:val="16"/>
                <w:szCs w:val="16"/>
                <w:color w:val="0000EE"/>
              </w:rPr>
            </w:pPr>
            <w:hyperlink w:anchor="page29">
              <w:r>
                <w:rPr>
                  <w:rFonts w:ascii="Arial" w:cs="Arial" w:eastAsia="Arial" w:hAnsi="Arial"/>
                  <w:sz w:val="16"/>
                  <w:szCs w:val="16"/>
                  <w:color w:val="0000EE"/>
                </w:rPr>
                <w:t>Accounting Firm</w:t>
              </w:r>
            </w:hyperlink>
          </w:p>
        </w:tc>
        <w:tc>
          <w:tcPr>
            <w:tcW w:w="7100" w:type="dxa"/>
            <w:vAlign w:val="bottom"/>
            <w:tcBorders>
              <w:top w:val="single" w:sz="8" w:color="0000EE"/>
            </w:tcBorders>
            <w:gridSpan w:val="22"/>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Vote Required</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1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Report of the Audit Committee</w:t>
              </w:r>
            </w:hyperlink>
          </w:p>
        </w:tc>
        <w:tc>
          <w:tcPr>
            <w:tcW w:w="6640" w:type="dxa"/>
            <w:vAlign w:val="bottom"/>
            <w:gridSpan w:val="1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PROPOSAL NO. 3—ADVISORY VOTE ON THE COMPENSATION OF OUR NAMED</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27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8260" w:type="dxa"/>
            <w:vAlign w:val="bottom"/>
            <w:tcBorders>
              <w:top w:val="single" w:sz="8" w:color="0000EE"/>
            </w:tcBorders>
            <w:gridSpan w:val="27"/>
          </w:tcPr>
          <w:p>
            <w:pPr>
              <w:spacing w:after="0" w:line="223" w:lineRule="exact"/>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EXECUTIVE OFFICERS</w:t>
              </w:r>
            </w:hyperlink>
          </w:p>
        </w:tc>
        <w:tc>
          <w:tcPr>
            <w:tcW w:w="840" w:type="dxa"/>
            <w:vAlign w:val="bottom"/>
            <w:gridSpan w:val="2"/>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gridSpan w:val="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Vote Required</w:t>
              </w:r>
            </w:hyperlink>
          </w:p>
        </w:tc>
        <w:tc>
          <w:tcPr>
            <w:tcW w:w="6720" w:type="dxa"/>
            <w:vAlign w:val="bottom"/>
            <w:gridSpan w:val="19"/>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27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TABLE OF CONTENTS (continued)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Page</w:t>
            </w:r>
          </w:p>
        </w:tc>
      </w:tr>
      <w:tr>
        <w:trPr>
          <w:trHeight w:val="79"/>
        </w:trPr>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r>
      <w:tr>
        <w:trPr>
          <w:trHeight w:val="439"/>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EXECUTIVE OFFICERS</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28</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2980" w:type="dxa"/>
            <w:vAlign w:val="bottom"/>
            <w:gridSpan w:val="14"/>
          </w:tcPr>
          <w:p>
            <w:pPr>
              <w:spacing w:after="0"/>
              <w:rPr>
                <w:rFonts w:ascii="Arial" w:cs="Arial" w:eastAsia="Arial" w:hAnsi="Arial"/>
                <w:sz w:val="22"/>
                <w:szCs w:val="22"/>
                <w:b w:val="1"/>
                <w:bCs w:val="1"/>
                <w:color w:val="0000EE"/>
                <w:w w:val="94"/>
              </w:rPr>
            </w:pPr>
            <w:hyperlink w:anchor="page33">
              <w:r>
                <w:rPr>
                  <w:rFonts w:ascii="Arial" w:cs="Arial" w:eastAsia="Arial" w:hAnsi="Arial"/>
                  <w:sz w:val="22"/>
                  <w:szCs w:val="22"/>
                  <w:b w:val="1"/>
                  <w:bCs w:val="1"/>
                  <w:color w:val="0000EE"/>
                  <w:w w:val="94"/>
                </w:rPr>
                <w:t>EXECUTIVE COMPENSATION</w:t>
              </w:r>
            </w:hyperlink>
          </w:p>
        </w:tc>
        <w:tc>
          <w:tcPr>
            <w:tcW w:w="612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33">
              <w:r>
                <w:rPr>
                  <w:rFonts w:ascii="Arial" w:cs="Arial" w:eastAsia="Arial" w:hAnsi="Arial"/>
                  <w:sz w:val="22"/>
                  <w:szCs w:val="22"/>
                  <w:b w:val="1"/>
                  <w:bCs w:val="1"/>
                  <w:color w:val="0000EE"/>
                </w:rPr>
                <w:t>29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0000EE"/>
            </w:tcBorders>
            <w:gridSpan w:val="1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Compensation Discussion and Analysis</w:t>
              </w:r>
            </w:hyperlink>
          </w:p>
        </w:tc>
        <w:tc>
          <w:tcPr>
            <w:tcW w:w="5980" w:type="dxa"/>
            <w:vAlign w:val="bottom"/>
            <w:gridSpan w:val="1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3">
              <w:r>
                <w:rPr>
                  <w:rFonts w:ascii="Arial" w:cs="Arial" w:eastAsia="Arial" w:hAnsi="Arial"/>
                  <w:sz w:val="16"/>
                  <w:szCs w:val="16"/>
                  <w:b w:val="1"/>
                  <w:bCs w:val="1"/>
                  <w:color w:val="0000EE"/>
                  <w:w w:val="89"/>
                </w:rPr>
                <w:t>29</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Executive Summary</w:t>
              </w:r>
            </w:hyperlink>
          </w:p>
        </w:tc>
        <w:tc>
          <w:tcPr>
            <w:tcW w:w="7380" w:type="dxa"/>
            <w:vAlign w:val="bottom"/>
            <w:gridSpan w:val="2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3">
              <w:r>
                <w:rPr>
                  <w:rFonts w:ascii="Arial" w:cs="Arial" w:eastAsia="Arial" w:hAnsi="Arial"/>
                  <w:sz w:val="16"/>
                  <w:szCs w:val="16"/>
                  <w:b w:val="1"/>
                  <w:bCs w:val="1"/>
                  <w:color w:val="0000EE"/>
                  <w:w w:val="89"/>
                </w:rPr>
                <w:t>29</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Executive Compensation Philosophy and Objectives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31</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Borders>
              <w:top w:val="single" w:sz="8" w:color="0000EE"/>
            </w:tcBorders>
            <w:gridSpan w:val="19"/>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Compensation-Setting Process</w:t>
              </w:r>
            </w:hyperlink>
          </w:p>
        </w:tc>
        <w:tc>
          <w:tcPr>
            <w:tcW w:w="5080" w:type="dxa"/>
            <w:vAlign w:val="bottom"/>
            <w:gridSpan w:val="8"/>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36">
              <w:r>
                <w:rPr>
                  <w:rFonts w:ascii="Arial" w:cs="Arial" w:eastAsia="Arial" w:hAnsi="Arial"/>
                  <w:sz w:val="16"/>
                  <w:szCs w:val="16"/>
                  <w:b w:val="1"/>
                  <w:bCs w:val="1"/>
                  <w:color w:val="0000EE"/>
                  <w:w w:val="89"/>
                </w:rPr>
                <w:t>32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Borders>
              <w:top w:val="single" w:sz="8" w:color="0000EE"/>
            </w:tcBorders>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Compensation Elements</w:t>
              </w:r>
            </w:hyperlink>
          </w:p>
        </w:tc>
        <w:tc>
          <w:tcPr>
            <w:tcW w:w="6600" w:type="dxa"/>
            <w:vAlign w:val="bottom"/>
            <w:gridSpan w:val="18"/>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40">
              <w:r>
                <w:rPr>
                  <w:rFonts w:ascii="Arial" w:cs="Arial" w:eastAsia="Arial" w:hAnsi="Arial"/>
                  <w:sz w:val="16"/>
                  <w:szCs w:val="16"/>
                  <w:b w:val="1"/>
                  <w:bCs w:val="1"/>
                  <w:color w:val="0000EE"/>
                  <w:w w:val="89"/>
                </w:rPr>
                <w:t>36</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Borders>
              <w:bottom w:val="single" w:sz="8" w:color="0000EE"/>
            </w:tcBorders>
            <w:gridSpan w:val="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Employment Arrangements</w:t>
              </w:r>
            </w:hyperlink>
          </w:p>
        </w:tc>
        <w:tc>
          <w:tcPr>
            <w:tcW w:w="6860" w:type="dxa"/>
            <w:vAlign w:val="bottom"/>
            <w:gridSpan w:val="20"/>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46">
              <w:r>
                <w:rPr>
                  <w:rFonts w:ascii="Arial" w:cs="Arial" w:eastAsia="Arial" w:hAnsi="Arial"/>
                  <w:sz w:val="16"/>
                  <w:szCs w:val="16"/>
                  <w:b w:val="1"/>
                  <w:bCs w:val="1"/>
                  <w:color w:val="0000EE"/>
                  <w:w w:val="89"/>
                </w:rPr>
                <w:t>42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Post-Employment Compensation</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43</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Hedging and Pledging Prohibitions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43</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Tax and Accounting Considerations</w:t>
              </w:r>
            </w:hyperlink>
          </w:p>
        </w:tc>
        <w:tc>
          <w:tcPr>
            <w:tcW w:w="6280" w:type="dxa"/>
            <w:vAlign w:val="bottom"/>
            <w:gridSpan w:val="1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47">
              <w:r>
                <w:rPr>
                  <w:rFonts w:ascii="Arial" w:cs="Arial" w:eastAsia="Arial" w:hAnsi="Arial"/>
                  <w:sz w:val="16"/>
                  <w:szCs w:val="16"/>
                  <w:b w:val="1"/>
                  <w:bCs w:val="1"/>
                  <w:color w:val="0000EE"/>
                  <w:w w:val="89"/>
                </w:rPr>
                <w:t>43</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Report of the Compensation Committee</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46</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top w:val="single" w:sz="8" w:color="0000EE"/>
            </w:tcBorders>
            <w:gridSpan w:val="1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Compensation Risk Assessment</w:t>
              </w:r>
            </w:hyperlink>
          </w:p>
        </w:tc>
        <w:tc>
          <w:tcPr>
            <w:tcW w:w="5980" w:type="dxa"/>
            <w:vAlign w:val="bottom"/>
            <w:gridSpan w:val="1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51">
              <w:r>
                <w:rPr>
                  <w:rFonts w:ascii="Arial" w:cs="Arial" w:eastAsia="Arial" w:hAnsi="Arial"/>
                  <w:sz w:val="16"/>
                  <w:szCs w:val="16"/>
                  <w:b w:val="1"/>
                  <w:bCs w:val="1"/>
                  <w:color w:val="0000EE"/>
                  <w:w w:val="89"/>
                </w:rPr>
                <w:t>47</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Summary Compensation Table for Fiscal Year 2020</w:t>
              </w:r>
            </w:hyperlink>
          </w:p>
        </w:tc>
        <w:tc>
          <w:tcPr>
            <w:tcW w:w="5120" w:type="dxa"/>
            <w:vAlign w:val="bottom"/>
            <w:gridSpan w:val="9"/>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2">
              <w:r>
                <w:rPr>
                  <w:rFonts w:ascii="Arial" w:cs="Arial" w:eastAsia="Arial" w:hAnsi="Arial"/>
                  <w:sz w:val="16"/>
                  <w:szCs w:val="16"/>
                  <w:b w:val="1"/>
                  <w:bCs w:val="1"/>
                  <w:color w:val="0000EE"/>
                  <w:w w:val="89"/>
                </w:rPr>
                <w:t>48</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Grants of Plan-Based Awards in 2020</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49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Outstanding Equity Awards at 2020 Year-End</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50</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Co-Founder Grants</w:t>
              </w:r>
            </w:hyperlink>
          </w:p>
        </w:tc>
        <w:tc>
          <w:tcPr>
            <w:tcW w:w="1840" w:type="dxa"/>
            <w:vAlign w:val="bottom"/>
            <w:tcBorders>
              <w:top w:val="single" w:sz="8" w:color="0000EE"/>
            </w:tcBorders>
            <w:gridSpan w:val="13"/>
          </w:tcPr>
          <w:p>
            <w:pPr>
              <w:spacing w:after="0"/>
              <w:rPr>
                <w:sz w:val="24"/>
                <w:szCs w:val="24"/>
                <w:color w:val="auto"/>
              </w:rPr>
            </w:pPr>
          </w:p>
        </w:tc>
        <w:tc>
          <w:tcPr>
            <w:tcW w:w="5580" w:type="dxa"/>
            <w:vAlign w:val="bottom"/>
            <w:gridSpan w:val="11"/>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55">
              <w:r>
                <w:rPr>
                  <w:rFonts w:ascii="Arial" w:cs="Arial" w:eastAsia="Arial" w:hAnsi="Arial"/>
                  <w:sz w:val="16"/>
                  <w:szCs w:val="16"/>
                  <w:b w:val="1"/>
                  <w:bCs w:val="1"/>
                  <w:color w:val="0000EE"/>
                  <w:w w:val="89"/>
                </w:rPr>
                <w:t>51</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Option Exercises and Stock Vested in 2020</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52</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Borders>
              <w:bottom w:val="single" w:sz="8" w:color="0000EE"/>
            </w:tcBorders>
            <w:gridSpan w:val="20"/>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Potential Payments on Termination or Change in Control</w:t>
              </w:r>
            </w:hyperlink>
          </w:p>
        </w:tc>
        <w:tc>
          <w:tcPr>
            <w:tcW w:w="4780" w:type="dxa"/>
            <w:vAlign w:val="bottom"/>
            <w:gridSpan w:val="7"/>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6">
              <w:r>
                <w:rPr>
                  <w:rFonts w:ascii="Arial" w:cs="Arial" w:eastAsia="Arial" w:hAnsi="Arial"/>
                  <w:sz w:val="16"/>
                  <w:szCs w:val="16"/>
                  <w:b w:val="1"/>
                  <w:bCs w:val="1"/>
                  <w:color w:val="0000EE"/>
                  <w:w w:val="89"/>
                </w:rPr>
                <w:t>52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6"/>
                <w:szCs w:val="16"/>
                <w:color w:val="0000EE"/>
                <w:w w:val="99"/>
              </w:rPr>
            </w:pPr>
            <w:hyperlink w:anchor="page59">
              <w:r>
                <w:rPr>
                  <w:rFonts w:ascii="Arial" w:cs="Arial" w:eastAsia="Arial" w:hAnsi="Arial"/>
                  <w:sz w:val="16"/>
                  <w:szCs w:val="16"/>
                  <w:color w:val="0000EE"/>
                  <w:w w:val="99"/>
                </w:rPr>
                <w:t>CEO Pay Ratio</w:t>
              </w:r>
            </w:hyperlink>
          </w:p>
        </w:tc>
        <w:tc>
          <w:tcPr>
            <w:tcW w:w="7720" w:type="dxa"/>
            <w:vAlign w:val="bottom"/>
            <w:gridSpan w:val="2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9">
              <w:r>
                <w:rPr>
                  <w:rFonts w:ascii="Arial" w:cs="Arial" w:eastAsia="Arial" w:hAnsi="Arial"/>
                  <w:sz w:val="16"/>
                  <w:szCs w:val="16"/>
                  <w:b w:val="1"/>
                  <w:bCs w:val="1"/>
                  <w:color w:val="0000EE"/>
                  <w:w w:val="89"/>
                </w:rPr>
                <w:t>55</w:t>
              </w:r>
            </w:hyperlink>
          </w:p>
        </w:tc>
        <w:tc>
          <w:tcPr>
            <w:tcW w:w="800" w:type="dxa"/>
            <w:vAlign w:val="bottom"/>
          </w:tcPr>
          <w:p>
            <w:pPr>
              <w:spacing w:after="0"/>
              <w:rPr>
                <w:sz w:val="24"/>
                <w:szCs w:val="24"/>
                <w:color w:val="auto"/>
              </w:rPr>
            </w:pPr>
          </w:p>
        </w:tc>
      </w:tr>
      <w:tr>
        <w:trPr>
          <w:trHeight w:val="520"/>
        </w:trPr>
        <w:tc>
          <w:tcPr>
            <w:tcW w:w="780" w:type="dxa"/>
            <w:vAlign w:val="bottom"/>
          </w:tcPr>
          <w:p>
            <w:pPr>
              <w:spacing w:after="0"/>
              <w:rPr>
                <w:sz w:val="24"/>
                <w:szCs w:val="24"/>
                <w:color w:val="auto"/>
              </w:rPr>
            </w:pPr>
          </w:p>
        </w:tc>
        <w:tc>
          <w:tcPr>
            <w:tcW w:w="4840" w:type="dxa"/>
            <w:vAlign w:val="bottom"/>
            <w:gridSpan w:val="24"/>
          </w:tcPr>
          <w:p>
            <w:pPr>
              <w:spacing w:after="0"/>
              <w:rPr>
                <w:rFonts w:ascii="Arial" w:cs="Arial" w:eastAsia="Arial" w:hAnsi="Arial"/>
                <w:sz w:val="22"/>
                <w:szCs w:val="22"/>
                <w:b w:val="1"/>
                <w:bCs w:val="1"/>
                <w:color w:val="0000EE"/>
                <w:w w:val="97"/>
              </w:rPr>
            </w:pPr>
            <w:hyperlink w:anchor="page60">
              <w:r>
                <w:rPr>
                  <w:rFonts w:ascii="Arial" w:cs="Arial" w:eastAsia="Arial" w:hAnsi="Arial"/>
                  <w:sz w:val="22"/>
                  <w:szCs w:val="22"/>
                  <w:b w:val="1"/>
                  <w:bCs w:val="1"/>
                  <w:color w:val="0000EE"/>
                  <w:w w:val="97"/>
                </w:rPr>
                <w:t>EQUITY COMPENSATION PLAN INFORMATION</w:t>
              </w:r>
            </w:hyperlink>
          </w:p>
        </w:tc>
        <w:tc>
          <w:tcPr>
            <w:tcW w:w="4260" w:type="dxa"/>
            <w:vAlign w:val="bottom"/>
            <w:gridSpan w:val="4"/>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60">
              <w:r>
                <w:rPr>
                  <w:rFonts w:ascii="Arial" w:cs="Arial" w:eastAsia="Arial" w:hAnsi="Arial"/>
                  <w:sz w:val="22"/>
                  <w:szCs w:val="22"/>
                  <w:b w:val="1"/>
                  <w:bCs w:val="1"/>
                  <w:color w:val="0000EE"/>
                </w:rPr>
                <w:t>56</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1">
              <w:r>
                <w:rPr>
                  <w:rFonts w:ascii="Arial" w:cs="Arial" w:eastAsia="Arial" w:hAnsi="Arial"/>
                  <w:sz w:val="22"/>
                  <w:szCs w:val="22"/>
                  <w:b w:val="1"/>
                  <w:bCs w:val="1"/>
                  <w:color w:val="0000EE"/>
                </w:rPr>
                <w:t>SECURITY OWNERSHIP OF CERTAIN BENEFICIAL OWNERS AND MANAGEMENT</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61">
              <w:r>
                <w:rPr>
                  <w:rFonts w:ascii="Arial" w:cs="Arial" w:eastAsia="Arial" w:hAnsi="Arial"/>
                  <w:sz w:val="22"/>
                  <w:szCs w:val="22"/>
                  <w:b w:val="1"/>
                  <w:bCs w:val="1"/>
                  <w:color w:val="0000EE"/>
                </w:rPr>
                <w:t>57</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8400" w:type="dxa"/>
            <w:vAlign w:val="bottom"/>
            <w:gridSpan w:val="27"/>
          </w:tcPr>
          <w:p>
            <w:pPr>
              <w:spacing w:after="0"/>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CERTAIN RELATIONSHIPS, RELATED PARTY AND OTHER TRANSACTIONS</w:t>
              </w:r>
            </w:hyperlink>
          </w:p>
        </w:tc>
        <w:tc>
          <w:tcPr>
            <w:tcW w:w="700" w:type="dxa"/>
            <w:vAlign w:val="bottom"/>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59</w:t>
              </w:r>
            </w:hyperlink>
          </w:p>
        </w:tc>
        <w:tc>
          <w:tcPr>
            <w:tcW w:w="800" w:type="dxa"/>
            <w:vAlign w:val="bottom"/>
          </w:tcPr>
          <w:p>
            <w:pPr>
              <w:spacing w:after="0"/>
              <w:rPr>
                <w:sz w:val="24"/>
                <w:szCs w:val="24"/>
                <w:color w:val="auto"/>
              </w:rPr>
            </w:pPr>
          </w:p>
        </w:tc>
      </w:tr>
      <w:tr>
        <w:trPr>
          <w:trHeight w:val="344"/>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480" w:type="dxa"/>
            <w:vAlign w:val="bottom"/>
            <w:tcBorders>
              <w:top w:val="single" w:sz="8" w:color="0000EE"/>
            </w:tcBorders>
            <w:gridSpan w:val="25"/>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Policies and Procedures for Related Person Transactions</w:t>
              </w:r>
            </w:hyperlink>
          </w:p>
        </w:tc>
        <w:tc>
          <w:tcPr>
            <w:tcW w:w="134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63">
              <w:r>
                <w:rPr>
                  <w:rFonts w:ascii="Arial" w:cs="Arial" w:eastAsia="Arial" w:hAnsi="Arial"/>
                  <w:sz w:val="16"/>
                  <w:szCs w:val="16"/>
                  <w:b w:val="1"/>
                  <w:bCs w:val="1"/>
                  <w:color w:val="0000EE"/>
                  <w:w w:val="89"/>
                </w:rPr>
                <w:t>59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4">
              <w:r>
                <w:rPr>
                  <w:rFonts w:ascii="Arial" w:cs="Arial" w:eastAsia="Arial" w:hAnsi="Arial"/>
                  <w:sz w:val="22"/>
                  <w:szCs w:val="22"/>
                  <w:b w:val="1"/>
                  <w:bCs w:val="1"/>
                  <w:color w:val="0000EE"/>
                </w:rPr>
                <w:t>OTHER MATTERS</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64">
              <w:r>
                <w:rPr>
                  <w:rFonts w:ascii="Arial" w:cs="Arial" w:eastAsia="Arial" w:hAnsi="Arial"/>
                  <w:sz w:val="22"/>
                  <w:szCs w:val="22"/>
                  <w:b w:val="1"/>
                  <w:bCs w:val="1"/>
                  <w:color w:val="0000EE"/>
                </w:rPr>
                <w:t>60</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Borders>
              <w:bottom w:val="single" w:sz="8" w:color="0000EE"/>
            </w:tcBorders>
            <w:gridSpan w:val="2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Section 16(a) Beneficial Ownership Reporting Compliance</w:t>
              </w:r>
            </w:hyperlink>
          </w:p>
        </w:tc>
        <w:tc>
          <w:tcPr>
            <w:tcW w:w="4640" w:type="dxa"/>
            <w:vAlign w:val="bottom"/>
            <w:gridSpan w:val="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60</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Fiscal Year 2020 Annual Report and SEC Filings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60</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40" w:type="dxa"/>
            <w:vAlign w:val="bottom"/>
            <w:gridSpan w:val="16"/>
            <w:shd w:val="clear" w:color="auto" w:fill="0000EE"/>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5">
              <w:r>
                <w:rPr>
                  <w:rFonts w:ascii="Arial" w:cs="Arial" w:eastAsia="Arial" w:hAnsi="Arial"/>
                  <w:sz w:val="22"/>
                  <w:szCs w:val="22"/>
                  <w:b w:val="1"/>
                  <w:bCs w:val="1"/>
                  <w:color w:val="0000EE"/>
                </w:rPr>
                <w:t>APPENDIX A</w:t>
              </w:r>
            </w:hyperlink>
          </w:p>
        </w:tc>
        <w:tc>
          <w:tcPr>
            <w:tcW w:w="1140" w:type="dxa"/>
            <w:vAlign w:val="bottom"/>
            <w:gridSpan w:val="4"/>
          </w:tcPr>
          <w:p>
            <w:pPr>
              <w:jc w:val="right"/>
              <w:ind w:right="780"/>
              <w:spacing w:after="0"/>
              <w:rPr>
                <w:rFonts w:ascii="Arial" w:cs="Arial" w:eastAsia="Arial" w:hAnsi="Arial"/>
                <w:sz w:val="22"/>
                <w:szCs w:val="22"/>
                <w:b w:val="1"/>
                <w:bCs w:val="1"/>
                <w:color w:val="0000EE"/>
                <w:w w:val="95"/>
              </w:rPr>
            </w:pPr>
            <w:hyperlink w:anchor="page65">
              <w:r>
                <w:rPr>
                  <w:rFonts w:ascii="Arial" w:cs="Arial" w:eastAsia="Arial" w:hAnsi="Arial"/>
                  <w:sz w:val="22"/>
                  <w:szCs w:val="22"/>
                  <w:b w:val="1"/>
                  <w:bCs w:val="1"/>
                  <w:color w:val="0000EE"/>
                  <w:w w:val="95"/>
                </w:rPr>
                <w:t>A-1</w:t>
              </w:r>
            </w:hyperlink>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40" w:type="dxa"/>
            <w:vAlign w:val="bottom"/>
            <w:gridSpan w:val="2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Reconciliation of GAAP financial measures to non-GAAP financial measures</w:t>
              </w:r>
            </w:hyperlink>
          </w:p>
        </w:tc>
        <w:tc>
          <w:tcPr>
            <w:tcW w:w="80" w:type="dxa"/>
            <w:vAlign w:val="bottom"/>
          </w:tcPr>
          <w:p>
            <w:pPr>
              <w:spacing w:after="0"/>
              <w:rPr>
                <w:sz w:val="24"/>
                <w:szCs w:val="24"/>
                <w:color w:val="auto"/>
              </w:rPr>
            </w:pPr>
          </w:p>
        </w:tc>
        <w:tc>
          <w:tcPr>
            <w:tcW w:w="1060" w:type="dxa"/>
            <w:vAlign w:val="bottom"/>
            <w:gridSpan w:val="3"/>
          </w:tcPr>
          <w:p>
            <w:pPr>
              <w:jc w:val="right"/>
              <w:ind w:right="800"/>
              <w:spacing w:after="0"/>
              <w:rPr>
                <w:rFonts w:ascii="Arial" w:cs="Arial" w:eastAsia="Arial" w:hAnsi="Arial"/>
                <w:sz w:val="16"/>
                <w:szCs w:val="16"/>
                <w:b w:val="1"/>
                <w:bCs w:val="1"/>
                <w:color w:val="0000EE"/>
                <w:w w:val="92"/>
              </w:rPr>
            </w:pPr>
            <w:hyperlink w:anchor="page65">
              <w:r>
                <w:rPr>
                  <w:rFonts w:ascii="Arial" w:cs="Arial" w:eastAsia="Arial" w:hAnsi="Arial"/>
                  <w:sz w:val="16"/>
                  <w:szCs w:val="16"/>
                  <w:b w:val="1"/>
                  <w:bCs w:val="1"/>
                  <w:color w:val="0000EE"/>
                  <w:w w:val="92"/>
                </w:rPr>
                <w:t>A-1</w:t>
              </w:r>
            </w:hyperlink>
          </w:p>
        </w:tc>
      </w:tr>
      <w:tr>
        <w:trPr>
          <w:trHeight w:val="298"/>
        </w:trPr>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4" w:name="page5"/>
    <w:bookmarkEnd w:id="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63A6"/>
        </w:rPr>
        <w:t>DROPBOX, INC.</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63A6"/>
        </w:rPr>
        <w:t>PROXY STATEMENT</w:t>
      </w:r>
    </w:p>
    <w:p>
      <w:pPr>
        <w:jc w:val="center"/>
        <w:spacing w:after="0" w:line="244" w:lineRule="auto"/>
        <w:rPr>
          <w:sz w:val="20"/>
          <w:szCs w:val="20"/>
          <w:color w:val="auto"/>
        </w:rPr>
      </w:pPr>
      <w:r>
        <w:rPr>
          <w:rFonts w:ascii="Arial" w:cs="Arial" w:eastAsia="Arial" w:hAnsi="Arial"/>
          <w:sz w:val="26"/>
          <w:szCs w:val="26"/>
          <w:color w:val="0063A6"/>
        </w:rPr>
        <w:t>FOR THE 2021 ANNUAL MEETING OF STOCKHOLDERS to be held at 9:00 am Pacific Time on Thursday, May 20, 2021</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directors for use at the 2021 annual meeting of stockholders of Dropbox, Inc., a Delaware corporation, and any postponements,</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Annual Meeting will be held on Thursday, May 20, 2021 at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9:00 am Pacific Time. The Annual Meeting will be conducted virtually via live audio webcast. You will be able to attend the Annual</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Meeting virtually by visiting www.virtualshareholdermeeting.com/DBX2021, where you will be able to listen to the meeting live, submit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access this proxy statement and our annual report is first being mailed on or about April 6, 2021 to all stockholders entitled to vote at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Annual Meeting. The proxy materials and our 2020 annual report can be accessed by following the instructions in the Notice.</w:t>
      </w:r>
    </w:p>
    <w:p>
      <w:pPr>
        <w:spacing w:after="0" w:line="167"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6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matters am I voting on?</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You are being asked to vote on:</w:t>
      </w:r>
    </w:p>
    <w:p>
      <w:pPr>
        <w:spacing w:after="0" w:line="167" w:lineRule="exact"/>
        <w:rPr>
          <w:sz w:val="20"/>
          <w:szCs w:val="20"/>
          <w:color w:val="auto"/>
        </w:rPr>
      </w:pPr>
    </w:p>
    <w:p>
      <w:pPr>
        <w:ind w:left="1000" w:right="740" w:hanging="284"/>
        <w:spacing w:after="0" w:line="260" w:lineRule="auto"/>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the election of seven directors to serve until the next annual meeting of stockholders or until their successors are duly elected and qualified;</w:t>
      </w:r>
    </w:p>
    <w:p>
      <w:pPr>
        <w:spacing w:after="0" w:line="141" w:lineRule="exact"/>
        <w:rPr>
          <w:rFonts w:ascii="Arial" w:cs="Arial" w:eastAsia="Arial" w:hAnsi="Arial"/>
          <w:sz w:val="16"/>
          <w:szCs w:val="16"/>
          <w:color w:val="0063A6"/>
        </w:rPr>
      </w:pPr>
    </w:p>
    <w:p>
      <w:pPr>
        <w:ind w:left="1000" w:right="800" w:hanging="284"/>
        <w:spacing w:after="0" w:line="260" w:lineRule="auto"/>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2021;</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2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1000" w:hanging="284"/>
        <w:spacing w:after="0"/>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1000" w:right="800" w:hanging="284"/>
        <w:spacing w:after="0" w:line="260" w:lineRule="auto"/>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2021; and</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w:t>
      </w:r>
    </w:p>
    <w:p>
      <w:pPr>
        <w:spacing w:after="0" w:line="2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46" w:lineRule="exact"/>
        <w:rPr>
          <w:sz w:val="20"/>
          <w:szCs w:val="20"/>
          <w:color w:val="auto"/>
        </w:rPr>
      </w:pPr>
    </w:p>
    <w:p>
      <w:pPr>
        <w:ind w:left="1000" w:right="900" w:hanging="284"/>
        <w:spacing w:after="0" w:line="254" w:lineRule="auto"/>
        <w:tabs>
          <w:tab w:leader="none" w:pos="1000"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w:t>
      </w:r>
      <w:r>
        <w:rPr>
          <w:rFonts w:ascii="Arial" w:cs="Arial" w:eastAsia="Arial" w:hAnsi="Arial"/>
          <w:sz w:val="16"/>
          <w:szCs w:val="16"/>
          <w:b w:val="1"/>
          <w:bCs w:val="1"/>
          <w:color w:val="0063A6"/>
        </w:rPr>
        <w:t xml:space="preserve"> </w:t>
      </w:r>
      <w:r>
        <w:rPr>
          <w:rFonts w:ascii="Arial" w:cs="Arial" w:eastAsia="Arial" w:hAnsi="Arial"/>
          <w:sz w:val="16"/>
          <w:szCs w:val="16"/>
          <w:color w:val="000000"/>
        </w:rPr>
        <w:t>meeting and entitled to vote on the election of directors at the Annual Meeting. Abstentions and broker non-votes will have no effect on the outcome of the vote.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27" w:lineRule="exact"/>
        <w:rPr>
          <w:rFonts w:ascii="Arial" w:cs="Arial" w:eastAsia="Arial" w:hAnsi="Arial"/>
          <w:sz w:val="16"/>
          <w:szCs w:val="16"/>
          <w:color w:val="0063A6"/>
        </w:rPr>
      </w:pPr>
    </w:p>
    <w:p>
      <w:pPr>
        <w:ind w:left="1000" w:right="800" w:hanging="284"/>
        <w:spacing w:after="0" w:line="286" w:lineRule="auto"/>
        <w:tabs>
          <w:tab w:leader="none" w:pos="1000"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w:t>
      </w:r>
      <w:r>
        <w:rPr>
          <w:rFonts w:ascii="Arial" w:cs="Arial" w:eastAsia="Arial" w:hAnsi="Arial"/>
          <w:sz w:val="16"/>
          <w:szCs w:val="16"/>
          <w:b w:val="1"/>
          <w:bCs w:val="1"/>
          <w:color w:val="0063A6"/>
        </w:rPr>
        <w:t xml:space="preserve"> </w:t>
      </w:r>
      <w:r>
        <w:rPr>
          <w:rFonts w:ascii="Arial" w:cs="Arial" w:eastAsia="Arial" w:hAnsi="Arial"/>
          <w:sz w:val="16"/>
          <w:szCs w:val="16"/>
          <w:color w:val="000000"/>
        </w:rPr>
        <w:t>for our fiscal year ending December 31, 2021, requires the affirmative “For” vote of a majority of the voting power of the shares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r>
      <w:tr>
        <w:trPr>
          <w:trHeight w:val="167"/>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386" w:lineRule="exact"/>
        <w:rPr>
          <w:sz w:val="20"/>
          <w:szCs w:val="20"/>
          <w:color w:val="auto"/>
        </w:rPr>
      </w:pPr>
    </w:p>
    <w:p>
      <w:pPr>
        <w:ind w:left="284" w:right="220"/>
        <w:spacing w:after="0" w:line="253" w:lineRule="auto"/>
        <w:rPr>
          <w:sz w:val="20"/>
          <w:szCs w:val="20"/>
          <w:color w:val="auto"/>
        </w:rPr>
      </w:pPr>
      <w:r>
        <w:rPr>
          <w:rFonts w:ascii="Arial" w:cs="Arial" w:eastAsia="Arial" w:hAnsi="Arial"/>
          <w:sz w:val="16"/>
          <w:szCs w:val="16"/>
          <w:color w:val="auto"/>
        </w:rPr>
        <w:t>our common stock present virtually or represented by proxy at the Annual Meeting and entitled to vote thereon to be approved. Abstentions are considered shares present and entitled to vote on this proposal, and thus, will have the same effect as a vote “Against” this proposal. Broker non-votes will have no effect on the outcome of this proposal.</w:t>
      </w:r>
    </w:p>
    <w:p>
      <w:pPr>
        <w:spacing w:after="0" w:line="127" w:lineRule="exact"/>
        <w:rPr>
          <w:sz w:val="20"/>
          <w:szCs w:val="20"/>
          <w:color w:val="auto"/>
        </w:rPr>
      </w:pPr>
    </w:p>
    <w:p>
      <w:pPr>
        <w:ind w:left="284" w:hanging="284"/>
        <w:spacing w:after="0" w:line="253" w:lineRule="auto"/>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of at least a majority of the voting power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compensation committee will consider the outcome of the vote when determining named executive officer compensation.</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Who is entitled to vote?</w:t>
      </w:r>
    </w:p>
    <w:p>
      <w:pPr>
        <w:spacing w:after="0" w:line="66"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Holders of our Class A and Class B common stock as of the close of business on March 23, 2021, the record date for the Annual Meeting, may vote at the Annual Meeting. As of the record date, there were 319,674,332 shares of our Class A common stock outstanding and 83,184,488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34"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w:t>
      </w:r>
      <w:r>
        <w:rPr>
          <w:rFonts w:ascii="Arial" w:cs="Arial" w:eastAsia="Arial" w:hAnsi="Arial"/>
          <w:sz w:val="16"/>
          <w:szCs w:val="16"/>
          <w:b w:val="1"/>
          <w:bCs w:val="1"/>
          <w:color w:val="0063A6"/>
        </w:rPr>
        <w:t xml:space="preserve"> </w:t>
      </w:r>
      <w:r>
        <w:rPr>
          <w:rFonts w:ascii="Arial" w:cs="Arial" w:eastAsia="Arial" w:hAnsi="Arial"/>
          <w:sz w:val="16"/>
          <w:szCs w:val="16"/>
          <w:color w:val="000000"/>
        </w:rPr>
        <w:t>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26"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w:t>
      </w:r>
      <w:r>
        <w:rPr>
          <w:rFonts w:ascii="Arial" w:cs="Arial" w:eastAsia="Arial" w:hAnsi="Arial"/>
          <w:sz w:val="16"/>
          <w:szCs w:val="16"/>
          <w:b w:val="1"/>
          <w:bCs w:val="1"/>
          <w:color w:val="0063A6"/>
        </w:rPr>
        <w:t xml:space="preserve"> </w:t>
      </w:r>
      <w:r>
        <w:rPr>
          <w:rFonts w:ascii="Arial" w:cs="Arial" w:eastAsia="Arial" w:hAnsi="Arial"/>
          <w:sz w:val="16"/>
          <w:szCs w:val="16"/>
          <w:color w:val="000000"/>
        </w:rPr>
        <w:t>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Are a certain number of shares required to be present at the Annual Meeting?</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do I vote?</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284" w:right="40" w:hanging="284"/>
        <w:spacing w:after="0" w:line="253" w:lineRule="auto"/>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19, 2021 for shares held directly and by 11:59 p.m. Eastern Time on May 17, 2021 for shares held in a Plan (have your Notice or proxy card in hand when you visit the website);</w:t>
      </w:r>
    </w:p>
    <w:p>
      <w:pPr>
        <w:spacing w:after="0" w:line="147" w:lineRule="exact"/>
        <w:rPr>
          <w:rFonts w:ascii="Arial" w:cs="Arial" w:eastAsia="Arial" w:hAnsi="Arial"/>
          <w:sz w:val="16"/>
          <w:szCs w:val="16"/>
          <w:color w:val="0063A6"/>
        </w:rPr>
      </w:pPr>
    </w:p>
    <w:p>
      <w:pPr>
        <w:ind w:left="284" w:right="460" w:hanging="284"/>
        <w:spacing w:after="0" w:line="260" w:lineRule="auto"/>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19, 2021 for shares held directly and by 11:59 p.m. Eastern Time on May 17, 2021 for shares held in a Plan (have your Notice or proxy card in hand when you call);</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completing and mailing your proxy card (if you received printed proxy materials); or</w:t>
      </w:r>
    </w:p>
    <w:p>
      <w:pPr>
        <w:spacing w:after="0" w:line="206" w:lineRule="exact"/>
        <w:rPr>
          <w:sz w:val="20"/>
          <w:szCs w:val="20"/>
          <w:color w:val="auto"/>
        </w:rPr>
      </w:pPr>
    </w:p>
    <w:p>
      <w:pPr>
        <w:ind w:left="544" w:hanging="544"/>
        <w:spacing w:after="0"/>
        <w:tabs>
          <w:tab w:leader="none" w:pos="54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6" w:name="page7"/>
    <w:bookmarkEnd w:id="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 (continued)</w:t>
      </w:r>
    </w:p>
    <w:p>
      <w:pPr>
        <w:spacing w:after="0" w:line="386" w:lineRule="exact"/>
        <w:rPr>
          <w:sz w:val="20"/>
          <w:szCs w:val="20"/>
          <w:color w:val="auto"/>
        </w:rPr>
      </w:pPr>
    </w:p>
    <w:p>
      <w:pPr>
        <w:ind w:left="1000" w:right="1180" w:hanging="284"/>
        <w:spacing w:after="0" w:line="260" w:lineRule="auto"/>
        <w:tabs>
          <w:tab w:leader="none" w:pos="100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www.virtualshareholdermeeting.com/DBX2021, where you may vote and submit questions during the meeting (please have your Notice or proxy card in hand when you visit the website).</w:t>
      </w:r>
    </w:p>
    <w:p>
      <w:pPr>
        <w:spacing w:after="0" w:line="141" w:lineRule="exact"/>
        <w:rPr>
          <w:sz w:val="20"/>
          <w:szCs w:val="20"/>
          <w:color w:val="auto"/>
        </w:rPr>
      </w:pPr>
    </w:p>
    <w:p>
      <w:pPr>
        <w:ind w:left="720" w:right="1080"/>
        <w:spacing w:after="0" w:line="260"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41" w:lineRule="exact"/>
        <w:rPr>
          <w:sz w:val="20"/>
          <w:szCs w:val="20"/>
          <w:color w:val="auto"/>
        </w:rPr>
      </w:pPr>
    </w:p>
    <w:p>
      <w:pPr>
        <w:ind w:left="720" w:right="720"/>
        <w:spacing w:after="0" w:line="249"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52" w:lineRule="exact"/>
        <w:rPr>
          <w:sz w:val="20"/>
          <w:szCs w:val="20"/>
          <w:color w:val="auto"/>
        </w:rPr>
      </w:pPr>
    </w:p>
    <w:p>
      <w:pPr>
        <w:ind w:left="720" w:right="920"/>
        <w:spacing w:after="0" w:line="249"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2021. Your broker will not have discretion to vote on any other proposals, which are “non-routine” matters, absent direction from you (and failure to provide instructions on these matters will result in a “broker non-vote”).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Can I change my vote?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1000" w:hanging="284"/>
        <w:spacing w:after="0"/>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1000" w:right="1120" w:hanging="284"/>
        <w:spacing w:after="0" w:line="260" w:lineRule="auto"/>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41" w:lineRule="exact"/>
        <w:rPr>
          <w:rFonts w:ascii="Arial" w:cs="Arial" w:eastAsia="Arial" w:hAnsi="Arial"/>
          <w:sz w:val="16"/>
          <w:szCs w:val="16"/>
          <w:color w:val="0063A6"/>
        </w:rPr>
      </w:pPr>
    </w:p>
    <w:p>
      <w:pPr>
        <w:ind w:left="1000" w:right="960" w:hanging="284"/>
        <w:spacing w:after="0" w:line="260" w:lineRule="auto"/>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41" w:lineRule="exact"/>
        <w:rPr>
          <w:sz w:val="20"/>
          <w:szCs w:val="20"/>
          <w:color w:val="auto"/>
        </w:rPr>
      </w:pPr>
    </w:p>
    <w:p>
      <w:pPr>
        <w:ind w:left="720" w:right="1000"/>
        <w:spacing w:after="0" w:line="260" w:lineRule="auto"/>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52" w:lineRule="exact"/>
        <w:rPr>
          <w:sz w:val="20"/>
          <w:szCs w:val="20"/>
          <w:color w:val="auto"/>
        </w:rPr>
      </w:pPr>
    </w:p>
    <w:p>
      <w:pPr>
        <w:ind w:left="720" w:right="820"/>
        <w:spacing w:after="0" w:line="250" w:lineRule="auto"/>
        <w:rPr>
          <w:sz w:val="20"/>
          <w:szCs w:val="20"/>
          <w:color w:val="auto"/>
        </w:rPr>
      </w:pPr>
      <w:r>
        <w:rPr>
          <w:rFonts w:ascii="Arial" w:cs="Arial" w:eastAsia="Arial" w:hAnsi="Arial"/>
          <w:sz w:val="16"/>
          <w:szCs w:val="16"/>
          <w:color w:val="auto"/>
        </w:rPr>
        <w:t>You will be able to attend the Annual Meeting virtually, submit your questions during the meeting and vote your shares electronically at the meeting by visiting www.virtualshareholdermeeting.com/DBX2021.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66"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Why did I receive a Notice of Internet Availability of Proxy Materials instead of a full set of proxy materials?</w:t>
      </w:r>
    </w:p>
    <w:p>
      <w:pPr>
        <w:spacing w:after="0" w:line="66" w:lineRule="exact"/>
        <w:rPr>
          <w:sz w:val="20"/>
          <w:szCs w:val="20"/>
          <w:color w:val="auto"/>
        </w:rPr>
      </w:pPr>
    </w:p>
    <w:p>
      <w:pPr>
        <w:ind w:left="720" w:right="940"/>
        <w:spacing w:after="0" w:line="253" w:lineRule="auto"/>
        <w:rPr>
          <w:sz w:val="20"/>
          <w:szCs w:val="20"/>
          <w:color w:val="auto"/>
        </w:rPr>
      </w:pPr>
      <w:r>
        <w:rPr>
          <w:rFonts w:ascii="Arial" w:cs="Arial" w:eastAsia="Arial" w:hAnsi="Arial"/>
          <w:sz w:val="16"/>
          <w:szCs w:val="16"/>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April 6, 2021 to all stockholders entitled to vote at the Annual Meeting.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3</w:t>
            </w:r>
          </w:p>
        </w:tc>
      </w:tr>
      <w:tr>
        <w:trPr>
          <w:trHeight w:val="168"/>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7" w:name="page8"/>
    <w:bookmarkEnd w:id="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386" w:lineRule="exact"/>
        <w:rPr>
          <w:sz w:val="20"/>
          <w:szCs w:val="20"/>
          <w:color w:val="auto"/>
        </w:rPr>
      </w:pPr>
    </w:p>
    <w:p>
      <w:pPr>
        <w:ind w:left="4" w:right="280"/>
        <w:spacing w:after="0" w:line="253" w:lineRule="auto"/>
        <w:rPr>
          <w:sz w:val="20"/>
          <w:szCs w:val="20"/>
          <w:color w:val="auto"/>
        </w:rPr>
      </w:pPr>
      <w:r>
        <w:rPr>
          <w:rFonts w:ascii="Arial" w:cs="Arial" w:eastAsia="Arial" w:hAnsi="Arial"/>
          <w:sz w:val="16"/>
          <w:szCs w:val="16"/>
          <w:color w:val="auto"/>
        </w:rPr>
        <w:t>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52"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66"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w:t>
      </w:r>
    </w:p>
    <w:p>
      <w:pPr>
        <w:spacing w:after="0" w:line="5"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81"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ind w:left="4" w:right="40"/>
        <w:spacing w:after="0" w:line="248"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(415) 857-6800</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1" w:lineRule="exact"/>
        <w:rPr>
          <w:sz w:val="20"/>
          <w:szCs w:val="20"/>
          <w:color w:val="auto"/>
        </w:rPr>
      </w:pPr>
    </w:p>
    <w:p>
      <w:pPr>
        <w:ind w:left="4" w:right="400"/>
        <w:spacing w:after="0" w:line="286"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Stockholder Proposals</w:t>
      </w:r>
    </w:p>
    <w:p>
      <w:pPr>
        <w:spacing w:after="0" w:line="187" w:lineRule="exact"/>
        <w:rPr>
          <w:sz w:val="20"/>
          <w:szCs w:val="20"/>
          <w:color w:val="auto"/>
        </w:rPr>
      </w:pPr>
    </w:p>
    <w:p>
      <w:pPr>
        <w:ind w:left="4" w:right="160"/>
        <w:spacing w:after="0" w:line="249"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2022 annual meeting of stockholders, our Secretary must receive the written proposal at our principal executive offices not later than December 7, 2021. In addition, stockholder proposals must comply with the requirements of Rule 14a-8 regarding the inclusion of stockholder proposals in company-sponsored proxy materials. Stockholder proposals should be addressed to:</w:t>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(415) 857-6800</w:t>
      </w:r>
    </w:p>
    <w:p>
      <w:pPr>
        <w:spacing w:after="0" w:line="167" w:lineRule="exact"/>
        <w:rPr>
          <w:sz w:val="20"/>
          <w:szCs w:val="20"/>
          <w:color w:val="auto"/>
        </w:rPr>
      </w:pPr>
    </w:p>
    <w:p>
      <w:pPr>
        <w:ind w:left="4" w:right="80"/>
        <w:spacing w:after="0" w:line="260"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w:t>
      </w:r>
    </w:p>
    <w:p>
      <w:pPr>
        <w:spacing w:after="0" w:line="180"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8" w:name="page9"/>
    <w:bookmarkEnd w:id="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 (continued)</w:t>
      </w:r>
    </w:p>
    <w:p>
      <w:pPr>
        <w:spacing w:after="0" w:line="3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restated bylaws provide that the only business that may be conducted at an annual meeting of stockholders is business that is</w:t>
      </w:r>
    </w:p>
    <w:p>
      <w:pPr>
        <w:spacing w:after="0" w:line="5" w:lineRule="exact"/>
        <w:rPr>
          <w:sz w:val="20"/>
          <w:szCs w:val="20"/>
          <w:color w:val="auto"/>
        </w:rPr>
      </w:pPr>
    </w:p>
    <w:p>
      <w:pPr>
        <w:ind w:left="720" w:right="760" w:hanging="4"/>
        <w:spacing w:after="0" w:line="250" w:lineRule="auto"/>
        <w:tabs>
          <w:tab w:leader="none" w:pos="9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2022 annual meeting of stockholders, our Corporate Secretary must receive the written notice at our principal executive offices:</w:t>
      </w:r>
    </w:p>
    <w:p>
      <w:pPr>
        <w:spacing w:after="0" w:line="149" w:lineRule="exact"/>
        <w:rPr>
          <w:sz w:val="20"/>
          <w:szCs w:val="20"/>
          <w:color w:val="auto"/>
        </w:rPr>
      </w:pPr>
    </w:p>
    <w:p>
      <w:pPr>
        <w:ind w:left="1000" w:hanging="284"/>
        <w:spacing w:after="0"/>
        <w:tabs>
          <w:tab w:leader="none" w:pos="1000"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earlier than January 21, 2022;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later than February 20, 2022.</w:t>
      </w:r>
    </w:p>
    <w:p>
      <w:pPr>
        <w:spacing w:after="0" w:line="167" w:lineRule="exact"/>
        <w:rPr>
          <w:sz w:val="20"/>
          <w:szCs w:val="20"/>
          <w:color w:val="auto"/>
        </w:rPr>
      </w:pPr>
    </w:p>
    <w:p>
      <w:pPr>
        <w:jc w:val="both"/>
        <w:ind w:left="720" w:right="780"/>
        <w:spacing w:after="0" w:line="214" w:lineRule="auto"/>
        <w:rPr>
          <w:sz w:val="20"/>
          <w:szCs w:val="20"/>
          <w:color w:val="auto"/>
        </w:rPr>
      </w:pPr>
      <w:r>
        <w:rPr>
          <w:rFonts w:ascii="Arial" w:cs="Arial" w:eastAsia="Arial" w:hAnsi="Arial"/>
          <w:sz w:val="16"/>
          <w:szCs w:val="16"/>
          <w:color w:val="auto"/>
        </w:rPr>
        <w:t>In the event that we hold the 2022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2022 annual meeting of stockholders and no later than the close of business on the later of the following two dates:</w:t>
      </w:r>
    </w:p>
    <w:p>
      <w:pPr>
        <w:spacing w:after="0" w:line="159" w:lineRule="exact"/>
        <w:rPr>
          <w:sz w:val="20"/>
          <w:szCs w:val="20"/>
          <w:color w:val="auto"/>
        </w:rPr>
      </w:pPr>
    </w:p>
    <w:p>
      <w:pPr>
        <w:ind w:left="1000" w:hanging="284"/>
        <w:spacing w:after="0"/>
        <w:tabs>
          <w:tab w:leader="none" w:pos="100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90th day prior to the 2022 annual meeting of stockholders; or</w:t>
      </w:r>
    </w:p>
    <w:p>
      <w:pPr>
        <w:spacing w:after="0" w:line="167" w:lineRule="exact"/>
        <w:rPr>
          <w:rFonts w:ascii="Arial" w:cs="Arial" w:eastAsia="Arial" w:hAnsi="Arial"/>
          <w:sz w:val="16"/>
          <w:szCs w:val="16"/>
          <w:color w:val="0063A6"/>
        </w:rPr>
      </w:pPr>
    </w:p>
    <w:p>
      <w:pPr>
        <w:ind w:left="1000" w:right="1180" w:hanging="284"/>
        <w:spacing w:after="0" w:line="260" w:lineRule="auto"/>
        <w:tabs>
          <w:tab w:leader="none" w:pos="100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2022 annual meeting of stockholders is first made.</w:t>
      </w:r>
    </w:p>
    <w:p>
      <w:pPr>
        <w:spacing w:after="0" w:line="141" w:lineRule="exact"/>
        <w:rPr>
          <w:sz w:val="20"/>
          <w:szCs w:val="20"/>
          <w:color w:val="auto"/>
        </w:rPr>
      </w:pPr>
    </w:p>
    <w:p>
      <w:pPr>
        <w:ind w:left="720" w:right="1000"/>
        <w:spacing w:after="0" w:line="253"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87"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to the Board of Directors</w:t>
      </w:r>
      <w:r>
        <w:rPr>
          <w:rFonts w:ascii="Arial" w:cs="Arial" w:eastAsia="Arial" w:hAnsi="Arial"/>
          <w:sz w:val="16"/>
          <w:szCs w:val="16"/>
          <w:color w:val="auto"/>
        </w:rPr>
        <w:t>.”</w:t>
      </w:r>
    </w:p>
    <w:p>
      <w:pPr>
        <w:spacing w:after="0" w:line="151" w:lineRule="exact"/>
        <w:rPr>
          <w:sz w:val="20"/>
          <w:szCs w:val="20"/>
          <w:color w:val="auto"/>
        </w:rPr>
      </w:pPr>
    </w:p>
    <w:p>
      <w:pPr>
        <w:ind w:left="720" w:right="860"/>
        <w:spacing w:after="0" w:line="250"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Availability of Bylaws</w:t>
      </w:r>
    </w:p>
    <w:p>
      <w:pPr>
        <w:spacing w:after="0" w:line="187" w:lineRule="exact"/>
        <w:rPr>
          <w:sz w:val="20"/>
          <w:szCs w:val="20"/>
          <w:color w:val="auto"/>
        </w:rPr>
      </w:pPr>
    </w:p>
    <w:p>
      <w:pPr>
        <w:ind w:left="720" w:right="800"/>
        <w:spacing w:after="0" w:line="253"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5</w:t>
            </w:r>
          </w:p>
        </w:tc>
      </w:tr>
      <w:tr>
        <w:trPr>
          <w:trHeight w:val="168"/>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9" w:name="page10"/>
    <w:bookmarkEnd w:id="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BOARD OF DIRECTORS AND CORPORATE GOVERNANCE</w:t>
      </w:r>
    </w:p>
    <w:p>
      <w:pPr>
        <w:spacing w:after="0" w:line="170"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Our business affairs are managed under the direction of our board of directors. As of March 15, 2021, our board of directors consisted of eight directors, seven of whom qualified as “independent” under the listing standards of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As previously announced, on December 10, 2020, R. Bryan Schreier resigned as a member of the board of directors and Michael Seibel was appointed as a member of the board of directors. Also as previously announced, Condoleezza Rice will not stand for re-election as a director due to her other professional commitments and demands on her time, and her service on our board of directors will end at the Annual Meeting.</w:t>
      </w:r>
    </w:p>
    <w:p>
      <w:pPr>
        <w:spacing w:after="0" w:line="151" w:lineRule="exact"/>
        <w:rPr>
          <w:sz w:val="20"/>
          <w:szCs w:val="20"/>
          <w:color w:val="auto"/>
        </w:rPr>
      </w:pPr>
    </w:p>
    <w:p>
      <w:pPr>
        <w:ind w:left="4" w:right="240"/>
        <w:spacing w:after="0" w:line="250"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49"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As part of this commitment, our nominating and corporate governance committee considers the diversity of director nominees with respect to gender, race, ethnicity, sexual orientation, gender identity, viewpoints and perspectives, experience, and backgrounds. The following charts provide summary information about our director nominees with respect to independence, diversity, and tenure. For additional information regarding our criteria for evaluating director nominees, see the section titled “</w:t>
      </w:r>
      <w:r>
        <w:rPr>
          <w:rFonts w:ascii="Arial" w:cs="Arial" w:eastAsia="Arial" w:hAnsi="Arial"/>
          <w:sz w:val="16"/>
          <w:szCs w:val="16"/>
          <w:i w:val="1"/>
          <w:iCs w:val="1"/>
          <w:color w:val="auto"/>
        </w:rPr>
        <w:t>Considerations in Evaluating Director Nominees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199390</wp:posOffset>
            </wp:positionV>
            <wp:extent cx="5186045" cy="237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4" w:hanging="544"/>
        <w:spacing w:after="0"/>
        <w:tabs>
          <w:tab w:leader="none" w:pos="544"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0" w:name="page11"/>
    <w:bookmarkEnd w:id="1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Nominees for Director</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provides summary information about each of our director nominees and non-continuing director as of March 15, 2021:</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57785</wp:posOffset>
            </wp:positionV>
            <wp:extent cx="5991860" cy="1945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38</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CHAIRMAN OF THE BOARD</w:t>
      </w:r>
    </w:p>
    <w:p>
      <w:pPr>
        <w:spacing w:after="0" w:line="194" w:lineRule="exact"/>
        <w:rPr>
          <w:sz w:val="20"/>
          <w:szCs w:val="20"/>
          <w:color w:val="auto"/>
        </w:rPr>
      </w:pPr>
    </w:p>
    <w:p>
      <w:pPr>
        <w:ind w:left="3660" w:right="840"/>
        <w:spacing w:after="0" w:line="253"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our Chief Executive Officer since June 2007. Mr. Houston also currently serves as a member of the board of directors of Facebook, Inc.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DONALD W.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57785</wp:posOffset>
            </wp:positionV>
            <wp:extent cx="5991860" cy="1945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2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LEAD INDEPENDENT DIRECTOR</w:t>
      </w:r>
    </w:p>
    <w:p>
      <w:pPr>
        <w:spacing w:after="0" w:line="194" w:lineRule="exact"/>
        <w:rPr>
          <w:sz w:val="20"/>
          <w:szCs w:val="20"/>
          <w:color w:val="auto"/>
        </w:rPr>
      </w:pPr>
    </w:p>
    <w:p>
      <w:pPr>
        <w:ind w:left="3660" w:right="800"/>
        <w:spacing w:after="0" w:line="250"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Blair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2017. From November 1999 to October 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7</w:t>
            </w:r>
          </w:p>
        </w:tc>
      </w:tr>
      <w:tr>
        <w:trPr>
          <w:trHeight w:val="181"/>
        </w:trPr>
        <w:tc>
          <w:tcPr>
            <w:tcW w:w="9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1" w:name="page12"/>
    <w:bookmarkEnd w:id="1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56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200" w:lineRule="exact"/>
        <w:rPr>
          <w:sz w:val="20"/>
          <w:szCs w:val="20"/>
          <w:color w:val="auto"/>
        </w:rPr>
      </w:pPr>
    </w:p>
    <w:p>
      <w:pPr>
        <w:spacing w:after="0" w:line="290"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LISA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57785</wp:posOffset>
            </wp:positionV>
            <wp:extent cx="5991860" cy="1945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Nominating &amp; Corporate Governance</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spacing w:after="0" w:line="248"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since August 2019. Since August 2017, Ms. Campbell has served as Chief Marketing Officer and Senior Vice President of Business Strategy for Autodesk, Inc., or Autodesk, a multinational software corporation that makes software services for the architecture, engineering, construction, manufacturing, media, education, and entertainment industries.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w:t>
      </w:r>
    </w:p>
    <w:p>
      <w:pPr>
        <w:spacing w:after="0" w:line="8" w:lineRule="exact"/>
        <w:rPr>
          <w:sz w:val="20"/>
          <w:szCs w:val="20"/>
          <w:color w:val="auto"/>
        </w:rPr>
      </w:pPr>
    </w:p>
    <w:p>
      <w:pPr>
        <w:ind w:left="2944"/>
        <w:spacing w:after="0" w:line="250" w:lineRule="auto"/>
        <w:rPr>
          <w:sz w:val="20"/>
          <w:szCs w:val="20"/>
          <w:color w:val="auto"/>
        </w:rPr>
      </w:pPr>
      <w:r>
        <w:rPr>
          <w:rFonts w:ascii="Arial" w:cs="Arial" w:eastAsia="Arial" w:hAnsi="Arial"/>
          <w:sz w:val="16"/>
          <w:szCs w:val="16"/>
          <w:color w:val="auto"/>
        </w:rPr>
        <w:t>Ms. Campbell served in executive-level marketing positions at Evolve (now Oracle), Sterling Software Inc., and Digital Equipment Corporation.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320"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PAUL E. JACOBS,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57785</wp:posOffset>
            </wp:positionV>
            <wp:extent cx="5991860" cy="1945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28"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2016. Since April 2018, Dr. Jacobs has served as Chairman and Chief Executive Officer of XCOM Labs, Inc., a wireless technology company, and since January 2021, Dr. Jacobs has served as CEO and as a member of the board of directors of Jaws Juggernaut Acquisition Corporation, a special purpose acquisition company. From March 2014 to March 2018, Dr. Jacobs served as Executive Chairman for Qualcomm Incorporated, a semiconductor and telecommunications equipment company, or Qualcomm. From March 2009 to March 2018, Dr. Jacobs served as Chairman of the board of directors for Qualcomm. From July 2005 to March 2014, Dr. Jacobs served as Chief Executive Officer for Qualcomm. Dr. Jacobs also currently serves as a member of the board of directors for a number of private companies.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4" w:hanging="544"/>
        <w:spacing w:after="0"/>
        <w:tabs>
          <w:tab w:leader="none" w:pos="544"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5" w:right="1219" w:bottom="1440" w:gutter="0" w:footer="0" w:header="0"/>
        </w:sectPr>
      </w:pPr>
    </w:p>
    <w:bookmarkStart w:id="12" w:name="page13"/>
    <w:bookmarkEnd w:id="1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200" w:lineRule="exact"/>
        <w:rPr>
          <w:sz w:val="20"/>
          <w:szCs w:val="20"/>
          <w:color w:val="auto"/>
        </w:rPr>
      </w:pPr>
    </w:p>
    <w:p>
      <w:pPr>
        <w:spacing w:after="0" w:line="29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ROBERT J. MYLOD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57785</wp:posOffset>
            </wp:positionV>
            <wp:extent cx="5991860" cy="1945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Compensation</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3660" w:right="800"/>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Mylod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2014. Mr. Mylod served as Managing Partner for Annox Capital Management, a venture capital firm that Mr. Mylod founded, since January 2013. Mr. Mylod served as Head of Worldwide Strategy &amp; Planning and Vice Chairman for Bookings Holdings, Inc. (f/k/a The Priceline Group), an online travel services provider, from January 2009 to March 2011 and as its Chief Financial Officer and Vice Chairman from November 2000 to January 2009. Mr. Mylod currently serves as the Chairman of the board of directors for Vroom, Inc., an online marketplace for pre-owned cars and Booking Holdings, Inc., an online travel services provider. Mr. Mylod also serves as a member of the board of directors for Redfin Corporation, a real estate company that provides web-based real estate database and brokerage services, and a number of private companies. Mr. Mylod holds an MBA from the University of Chicago Booth School of Business and an A.B. in English from the University of Michigan. Mr. Mylod was selected to serve on our board of directors because of his financial expertise and global business experience.</w:t>
      </w:r>
    </w:p>
    <w:p>
      <w:pPr>
        <w:spacing w:after="0" w:line="200" w:lineRule="exact"/>
        <w:rPr>
          <w:sz w:val="20"/>
          <w:szCs w:val="20"/>
          <w:color w:val="auto"/>
        </w:rPr>
      </w:pPr>
    </w:p>
    <w:p>
      <w:pPr>
        <w:spacing w:after="0" w:line="327"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KAREN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57785</wp:posOffset>
            </wp:positionV>
            <wp:extent cx="5991860" cy="1945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2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48</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3660" w:right="980"/>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2019. Since July 2020, Ms. Peacock has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w:t>
      </w:r>
    </w:p>
    <w:p>
      <w:pPr>
        <w:spacing w:after="0" w:line="3" w:lineRule="exact"/>
        <w:rPr>
          <w:sz w:val="20"/>
          <w:szCs w:val="20"/>
          <w:color w:val="auto"/>
        </w:rPr>
      </w:pPr>
    </w:p>
    <w:p>
      <w:pPr>
        <w:ind w:left="3660" w:right="820"/>
        <w:spacing w:after="0" w:line="249" w:lineRule="auto"/>
        <w:rPr>
          <w:sz w:val="20"/>
          <w:szCs w:val="20"/>
          <w:color w:val="auto"/>
        </w:rPr>
      </w:pPr>
      <w:r>
        <w:rPr>
          <w:rFonts w:ascii="Arial" w:cs="Arial" w:eastAsia="Arial" w:hAnsi="Arial"/>
          <w:sz w:val="16"/>
          <w:szCs w:val="16"/>
          <w:color w:val="auto"/>
        </w:rPr>
        <w:t>Ms. Peacock was Director of Product Management at Allegis Corporation and prior to that, was a management consultant with the Boston Consulting Group.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9</w:t>
            </w:r>
          </w:p>
        </w:tc>
      </w:tr>
      <w:tr>
        <w:trPr>
          <w:trHeight w:val="181"/>
        </w:trPr>
        <w:tc>
          <w:tcPr>
            <w:tcW w:w="9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56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200" w:lineRule="exact"/>
        <w:rPr>
          <w:sz w:val="20"/>
          <w:szCs w:val="20"/>
          <w:color w:val="auto"/>
        </w:rPr>
      </w:pPr>
    </w:p>
    <w:p>
      <w:pPr>
        <w:spacing w:after="0" w:line="290"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MICHAEL SEIBEL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40640</wp:posOffset>
            </wp:positionV>
            <wp:extent cx="5991860" cy="1928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1860" cy="1928495"/>
                    </a:xfrm>
                    <a:prstGeom prst="rect">
                      <a:avLst/>
                    </a:prstGeom>
                    <a:noFill/>
                  </pic:spPr>
                </pic:pic>
              </a:graphicData>
            </a:graphic>
          </wp:anchor>
        </w:drawing>
      </w:r>
    </w:p>
    <w:p>
      <w:pPr>
        <w:spacing w:after="0" w:line="161"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38</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right="40"/>
        <w:spacing w:after="0" w:line="251"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Seibel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2020. Mr. Seibel has served as a Partner at Y Combinator, an accelerator and investment company for early-stage technology companies since October 2014 and is also currently the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holds a B.A. in Political Science from Yale University. Mr. Seibel was selected to serve on our board of directors because of his financial and managerial experience.</w:t>
      </w: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Arial" w:cs="Arial" w:eastAsia="Arial" w:hAnsi="Arial"/>
          <w:sz w:val="26"/>
          <w:szCs w:val="26"/>
          <w:color w:val="0063A6"/>
        </w:rPr>
        <w:t>Non-Continuing Director</w:t>
      </w:r>
    </w:p>
    <w:p>
      <w:pPr>
        <w:spacing w:after="0" w:line="162"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CONDOLEEZZA RICE,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40640</wp:posOffset>
            </wp:positionV>
            <wp:extent cx="5991860" cy="1928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1860" cy="1928495"/>
                    </a:xfrm>
                    <a:prstGeom prst="rect">
                      <a:avLst/>
                    </a:prstGeom>
                    <a:noFill/>
                  </pic:spPr>
                </pic:pic>
              </a:graphicData>
            </a:graphic>
          </wp:anchor>
        </w:drawing>
      </w:r>
    </w:p>
    <w:p>
      <w:pPr>
        <w:spacing w:after="0" w:line="17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right="20"/>
        <w:spacing w:after="0" w:line="255"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Rice has served as a member of our board of directors since April 2014.</w:t>
      </w:r>
      <w:r>
        <w:rPr>
          <w:rFonts w:ascii="Arial" w:cs="Arial" w:eastAsia="Arial" w:hAnsi="Arial"/>
          <w:sz w:val="16"/>
          <w:szCs w:val="16"/>
          <w:b w:val="1"/>
          <w:bCs w:val="1"/>
          <w:color w:val="auto"/>
        </w:rPr>
        <w:t xml:space="preserve"> </w:t>
      </w:r>
      <w:r>
        <w:rPr>
          <w:rFonts w:ascii="Arial" w:cs="Arial" w:eastAsia="Arial" w:hAnsi="Arial"/>
          <w:sz w:val="16"/>
          <w:szCs w:val="16"/>
          <w:color w:val="auto"/>
        </w:rPr>
        <w:t>Since September 2010, Dr. Rice has served as the Denning Professor of Global Business and the Economy for the Stanford Graduate School of Business. Since March 2009,</w:t>
      </w:r>
    </w:p>
    <w:p>
      <w:pPr>
        <w:spacing w:after="0" w:line="1" w:lineRule="exact"/>
        <w:rPr>
          <w:sz w:val="20"/>
          <w:szCs w:val="20"/>
          <w:color w:val="auto"/>
        </w:rPr>
      </w:pPr>
    </w:p>
    <w:p>
      <w:pPr>
        <w:ind w:left="2944"/>
        <w:spacing w:after="0" w:line="247" w:lineRule="auto"/>
        <w:rPr>
          <w:sz w:val="20"/>
          <w:szCs w:val="20"/>
          <w:color w:val="auto"/>
        </w:rPr>
      </w:pPr>
      <w:r>
        <w:rPr>
          <w:rFonts w:ascii="Arial" w:cs="Arial" w:eastAsia="Arial" w:hAnsi="Arial"/>
          <w:sz w:val="16"/>
          <w:szCs w:val="16"/>
          <w:color w:val="auto"/>
        </w:rPr>
        <w:t>Dr. Rice has served as a Senior Fellow of Public 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C3.ai, Inc., a developer of enterprise artificial intelligence software, as well as for a number of private companies, including Makena Capital Management, LLC. Dr. Rice holds a Ph.D. in Political Science from the University of Denver, an M.A. in Political Science from the University of Notre Dame and a B.A. in Political Science from the University of Denver. Dr. Rice was selected to serve on our board of directors because of her deep global expertise and business experience from her prior roles as a director of multiple public companies and her background in policymaking, education, and innovation.</w:t>
      </w:r>
    </w:p>
    <w:p>
      <w:pPr>
        <w:spacing w:after="0" w:line="200" w:lineRule="exact"/>
        <w:rPr>
          <w:sz w:val="20"/>
          <w:szCs w:val="20"/>
          <w:color w:val="auto"/>
        </w:rPr>
      </w:pPr>
    </w:p>
    <w:p>
      <w:pPr>
        <w:spacing w:after="0" w:line="304" w:lineRule="exact"/>
        <w:rPr>
          <w:sz w:val="20"/>
          <w:szCs w:val="20"/>
          <w:color w:val="auto"/>
        </w:rPr>
      </w:pPr>
    </w:p>
    <w:p>
      <w:pPr>
        <w:ind w:left="524" w:hanging="524"/>
        <w:spacing w:after="0"/>
        <w:tabs>
          <w:tab w:leader="none" w:pos="524"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5" w:right="1219" w:bottom="1440" w:gutter="0" w:footer="0" w:header="0"/>
        </w:sectPr>
      </w:pPr>
    </w:p>
    <w:bookmarkStart w:id="14" w:name="page15"/>
    <w:bookmarkEnd w:id="1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Director Independence</w:t>
      </w:r>
    </w:p>
    <w:p>
      <w:pPr>
        <w:spacing w:after="0" w:line="169" w:lineRule="exact"/>
        <w:rPr>
          <w:sz w:val="20"/>
          <w:szCs w:val="20"/>
          <w:color w:val="auto"/>
        </w:rPr>
      </w:pPr>
    </w:p>
    <w:p>
      <w:pPr>
        <w:ind w:left="720" w:right="1040"/>
        <w:spacing w:after="0" w:line="250"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49"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Jacobs and Rice, Messrs. Blair, Mylod, and Seibel, and Mss. Campbell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In addition, the board of directors determined that Mr. Schreier, who served as a director until his resignation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was independent during the 2020 fiscal year.</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169" w:lineRule="exact"/>
        <w:rPr>
          <w:sz w:val="20"/>
          <w:szCs w:val="20"/>
          <w:color w:val="auto"/>
        </w:rPr>
      </w:pPr>
    </w:p>
    <w:p>
      <w:pPr>
        <w:ind w:left="720" w:right="1100"/>
        <w:spacing w:after="0" w:line="260" w:lineRule="auto"/>
        <w:rPr>
          <w:sz w:val="20"/>
          <w:szCs w:val="20"/>
          <w:color w:val="auto"/>
        </w:rPr>
      </w:pPr>
      <w:r>
        <w:rPr>
          <w:rFonts w:ascii="Arial" w:cs="Arial" w:eastAsia="Arial" w:hAnsi="Arial"/>
          <w:sz w:val="16"/>
          <w:szCs w:val="16"/>
          <w:color w:val="auto"/>
        </w:rPr>
        <w:t>Mr. Houston currently serves as both the chairman of our board of directors and as our chief executive officer. As our co-founder, Mr. Houston is best positioned to identify strategic priorities, lead critical discussion, and execute our business plans.</w:t>
      </w:r>
    </w:p>
    <w:p>
      <w:pPr>
        <w:spacing w:after="0" w:line="141"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chairman of our board of directors is not independent, including when our chief executive officer serves as the chairman of our board of directors. Because Mr. Houston is our chairman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Dr. Rice served as our lead independent director from June 2018 until March 2020, at which time Dr. Rice stepped down as lead independent director and our board of directors selected Mr. Blair to succeed Dr. Rice. As our lead independent director, Mr. Blair presides over periodic meetings of our independent directors, serves as a liaison between Mr. Houston and our independent directors, and performs such additional duties as our board of directors may otherwise determine and delegate.</w:t>
      </w:r>
    </w:p>
    <w:p>
      <w:pPr>
        <w:spacing w:after="0" w:line="152" w:lineRule="exact"/>
        <w:rPr>
          <w:sz w:val="20"/>
          <w:szCs w:val="20"/>
          <w:color w:val="auto"/>
        </w:rPr>
      </w:pPr>
    </w:p>
    <w:p>
      <w:pPr>
        <w:ind w:left="720" w:right="920"/>
        <w:spacing w:after="0" w:line="251" w:lineRule="auto"/>
        <w:rPr>
          <w:sz w:val="20"/>
          <w:szCs w:val="20"/>
          <w:color w:val="auto"/>
        </w:rPr>
      </w:pPr>
      <w:r>
        <w:rPr>
          <w:rFonts w:ascii="Arial" w:cs="Arial" w:eastAsia="Arial" w:hAnsi="Arial"/>
          <w:sz w:val="16"/>
          <w:szCs w:val="16"/>
          <w:color w:val="auto"/>
        </w:rPr>
        <w:t>Only independent directors serve on the audit committee, the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48"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the board of directors believes it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while Mr. Houston’s combined role enables strong leadership, creates clear accountability and enhances our ability to communicate our message and strategy clearly and consistently to stockholders.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11</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Committees</w:t>
      </w:r>
    </w:p>
    <w:p>
      <w:pPr>
        <w:spacing w:after="0" w:line="169" w:lineRule="exact"/>
        <w:rPr>
          <w:sz w:val="20"/>
          <w:szCs w:val="20"/>
          <w:color w:val="auto"/>
        </w:rPr>
      </w:pPr>
    </w:p>
    <w:p>
      <w:pPr>
        <w:jc w:val="both"/>
        <w:ind w:left="4" w:right="40"/>
        <w:spacing w:after="0" w:line="253"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6077585" cy="2408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7585" cy="2408555"/>
                    </a:xfrm>
                    <a:prstGeom prst="rect">
                      <a:avLst/>
                    </a:prstGeom>
                    <a:noFill/>
                  </pic:spPr>
                </pic:pic>
              </a:graphicData>
            </a:graphic>
          </wp:anchor>
        </w:drawing>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640" w:type="dxa"/>
            <w:vAlign w:val="bottom"/>
            <w:shd w:val="clear" w:color="auto" w:fill="0063A6"/>
          </w:tcPr>
          <w:p>
            <w:pPr>
              <w:spacing w:after="0"/>
              <w:rPr>
                <w:sz w:val="22"/>
                <w:szCs w:val="22"/>
                <w:color w:val="auto"/>
              </w:rPr>
            </w:pPr>
          </w:p>
        </w:tc>
        <w:tc>
          <w:tcPr>
            <w:tcW w:w="2300" w:type="dxa"/>
            <w:vAlign w:val="bottom"/>
            <w:shd w:val="clear" w:color="auto" w:fill="0063A6"/>
          </w:tcPr>
          <w:p>
            <w:pPr>
              <w:spacing w:after="0"/>
              <w:rPr>
                <w:sz w:val="22"/>
                <w:szCs w:val="22"/>
                <w:color w:val="auto"/>
              </w:rPr>
            </w:pPr>
          </w:p>
        </w:tc>
        <w:tc>
          <w:tcPr>
            <w:tcW w:w="2220" w:type="dxa"/>
            <w:vAlign w:val="bottom"/>
            <w:shd w:val="clear" w:color="auto" w:fill="0063A6"/>
          </w:tcPr>
          <w:p>
            <w:pPr>
              <w:spacing w:after="0"/>
              <w:rPr>
                <w:sz w:val="22"/>
                <w:szCs w:val="22"/>
                <w:color w:val="auto"/>
              </w:rPr>
            </w:pPr>
          </w:p>
        </w:tc>
        <w:tc>
          <w:tcPr>
            <w:tcW w:w="2400" w:type="dxa"/>
            <w:vAlign w:val="bottom"/>
            <w:shd w:val="clear" w:color="auto" w:fill="0063A6"/>
          </w:tcPr>
          <w:p>
            <w:pPr>
              <w:jc w:val="center"/>
              <w:ind w:left="65"/>
              <w:spacing w:after="0"/>
              <w:rPr>
                <w:sz w:val="20"/>
                <w:szCs w:val="20"/>
                <w:color w:val="auto"/>
              </w:rPr>
            </w:pPr>
            <w:r>
              <w:rPr>
                <w:rFonts w:ascii="Arial" w:cs="Arial" w:eastAsia="Arial" w:hAnsi="Arial"/>
                <w:sz w:val="14"/>
                <w:szCs w:val="14"/>
                <w:b w:val="1"/>
                <w:bCs w:val="1"/>
                <w:color w:val="FFFFFF"/>
              </w:rPr>
              <w:t>Nominating and Corporate</w:t>
            </w:r>
          </w:p>
        </w:tc>
      </w:tr>
      <w:tr>
        <w:trPr>
          <w:trHeight w:val="223"/>
        </w:trPr>
        <w:tc>
          <w:tcPr>
            <w:tcW w:w="2640" w:type="dxa"/>
            <w:vAlign w:val="bottom"/>
            <w:tcBorders>
              <w:bottom w:val="single" w:sz="8" w:color="0063A6"/>
            </w:tcBorders>
            <w:shd w:val="clear" w:color="auto" w:fill="0063A6"/>
          </w:tcPr>
          <w:p>
            <w:pPr>
              <w:ind w:left="880"/>
              <w:spacing w:after="0"/>
              <w:rPr>
                <w:sz w:val="20"/>
                <w:szCs w:val="20"/>
                <w:color w:val="auto"/>
              </w:rPr>
            </w:pPr>
            <w:r>
              <w:rPr>
                <w:rFonts w:ascii="Arial" w:cs="Arial" w:eastAsia="Arial" w:hAnsi="Arial"/>
                <w:sz w:val="14"/>
                <w:szCs w:val="14"/>
                <w:b w:val="1"/>
                <w:bCs w:val="1"/>
                <w:color w:val="FFFFFF"/>
              </w:rPr>
              <w:t>Director</w:t>
            </w:r>
          </w:p>
        </w:tc>
        <w:tc>
          <w:tcPr>
            <w:tcW w:w="2300" w:type="dxa"/>
            <w:vAlign w:val="bottom"/>
            <w:tcBorders>
              <w:bottom w:val="single" w:sz="8" w:color="0063A6"/>
            </w:tcBorders>
            <w:shd w:val="clear" w:color="auto" w:fill="0063A6"/>
          </w:tcPr>
          <w:p>
            <w:pPr>
              <w:jc w:val="center"/>
              <w:ind w:right="302"/>
              <w:spacing w:after="0"/>
              <w:rPr>
                <w:sz w:val="20"/>
                <w:szCs w:val="20"/>
                <w:color w:val="auto"/>
              </w:rPr>
            </w:pPr>
            <w:r>
              <w:rPr>
                <w:rFonts w:ascii="Arial" w:cs="Arial" w:eastAsia="Arial" w:hAnsi="Arial"/>
                <w:sz w:val="14"/>
                <w:szCs w:val="14"/>
                <w:b w:val="1"/>
                <w:bCs w:val="1"/>
                <w:color w:val="FFFFFF"/>
              </w:rPr>
              <w:t>Audit</w:t>
            </w:r>
          </w:p>
        </w:tc>
        <w:tc>
          <w:tcPr>
            <w:tcW w:w="22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2400" w:type="dxa"/>
            <w:vAlign w:val="bottom"/>
            <w:tcBorders>
              <w:bottom w:val="single" w:sz="8" w:color="0063A6"/>
            </w:tcBorders>
            <w:shd w:val="clear" w:color="auto" w:fill="0063A6"/>
          </w:tcPr>
          <w:p>
            <w:pPr>
              <w:jc w:val="center"/>
              <w:ind w:left="65"/>
              <w:spacing w:after="0"/>
              <w:rPr>
                <w:sz w:val="20"/>
                <w:szCs w:val="20"/>
                <w:color w:val="auto"/>
              </w:rPr>
            </w:pPr>
            <w:r>
              <w:rPr>
                <w:rFonts w:ascii="Arial" w:cs="Arial" w:eastAsia="Arial" w:hAnsi="Arial"/>
                <w:sz w:val="14"/>
                <w:szCs w:val="14"/>
                <w:b w:val="1"/>
                <w:bCs w:val="1"/>
                <w:color w:val="FFFFFF"/>
              </w:rPr>
              <w:t>Governance</w:t>
            </w: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Andrew W. Houston</w:t>
            </w:r>
          </w:p>
        </w:tc>
        <w:tc>
          <w:tcPr>
            <w:tcW w:w="2300" w:type="dxa"/>
            <w:vAlign w:val="bottom"/>
            <w:tcBorders>
              <w:bottom w:val="single" w:sz="8" w:color="F2F2F2"/>
            </w:tcBorders>
            <w:shd w:val="clear" w:color="auto" w:fill="F2F2F2"/>
          </w:tcPr>
          <w:p>
            <w:pPr>
              <w:spacing w:after="0"/>
              <w:rPr>
                <w:sz w:val="24"/>
                <w:szCs w:val="24"/>
                <w:color w:val="auto"/>
              </w:rPr>
            </w:pPr>
          </w:p>
        </w:tc>
        <w:tc>
          <w:tcPr>
            <w:tcW w:w="2220" w:type="dxa"/>
            <w:vAlign w:val="bottom"/>
            <w:tcBorders>
              <w:bottom w:val="single" w:sz="8" w:color="F2F2F2"/>
            </w:tcBorders>
            <w:shd w:val="clear" w:color="auto" w:fill="F2F2F2"/>
          </w:tcPr>
          <w:p>
            <w:pPr>
              <w:spacing w:after="0"/>
              <w:rPr>
                <w:sz w:val="24"/>
                <w:szCs w:val="24"/>
                <w:color w:val="auto"/>
              </w:rPr>
            </w:pPr>
          </w:p>
        </w:tc>
        <w:tc>
          <w:tcPr>
            <w:tcW w:w="2400" w:type="dxa"/>
            <w:vAlign w:val="bottom"/>
            <w:tcBorders>
              <w:bottom w:val="single" w:sz="8" w:color="F2F2F2"/>
            </w:tcBorders>
            <w:shd w:val="clear" w:color="auto" w:fill="F2F2F2"/>
          </w:tcPr>
          <w:p>
            <w:pPr>
              <w:spacing w:after="0"/>
              <w:rPr>
                <w:sz w:val="24"/>
                <w:szCs w:val="24"/>
                <w:color w:val="auto"/>
              </w:rPr>
            </w:pPr>
          </w:p>
        </w:tc>
      </w:tr>
      <w:tr>
        <w:trPr>
          <w:trHeight w:val="264"/>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Donald W. Blair</w:t>
            </w:r>
          </w:p>
        </w:tc>
        <w:tc>
          <w:tcPr>
            <w:tcW w:w="2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60"/>
        </w:trPr>
        <w:tc>
          <w:tcPr>
            <w:tcW w:w="26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Lisa Campbell</w:t>
            </w:r>
          </w:p>
        </w:tc>
        <w:tc>
          <w:tcPr>
            <w:tcW w:w="2300" w:type="dxa"/>
            <w:vAlign w:val="bottom"/>
            <w:tcBorders>
              <w:bottom w:val="single" w:sz="8" w:color="F2F2F2"/>
            </w:tcBorders>
            <w:shd w:val="clear" w:color="auto" w:fill="F2F2F2"/>
          </w:tcPr>
          <w:p>
            <w:pPr>
              <w:spacing w:after="0"/>
              <w:rPr>
                <w:sz w:val="24"/>
                <w:szCs w:val="24"/>
                <w:color w:val="auto"/>
              </w:rPr>
            </w:pPr>
          </w:p>
        </w:tc>
        <w:tc>
          <w:tcPr>
            <w:tcW w:w="2220" w:type="dxa"/>
            <w:vAlign w:val="bottom"/>
            <w:tcBorders>
              <w:bottom w:val="single" w:sz="8" w:color="F2F2F2"/>
            </w:tcBorders>
            <w:shd w:val="clear" w:color="auto" w:fill="F2F2F2"/>
          </w:tcPr>
          <w:p>
            <w:pPr>
              <w:spacing w:after="0"/>
              <w:rPr>
                <w:sz w:val="24"/>
                <w:szCs w:val="24"/>
                <w:color w:val="auto"/>
              </w:rPr>
            </w:pPr>
          </w:p>
        </w:tc>
        <w:tc>
          <w:tcPr>
            <w:tcW w:w="2400" w:type="dxa"/>
            <w:vAlign w:val="bottom"/>
            <w:tcBorders>
              <w:bottom w:val="single" w:sz="8" w:color="F2F2F2"/>
            </w:tcBorders>
            <w:shd w:val="clear" w:color="auto" w:fill="F2F2F2"/>
          </w:tcPr>
          <w:p>
            <w:pPr>
              <w:spacing w:after="0"/>
              <w:rPr>
                <w:sz w:val="24"/>
                <w:szCs w:val="24"/>
                <w:color w:val="auto"/>
              </w:rPr>
            </w:pPr>
          </w:p>
        </w:tc>
      </w:tr>
      <w:tr>
        <w:trPr>
          <w:trHeight w:val="264"/>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Paul E. Jacobs, Ph.D</w:t>
            </w:r>
          </w:p>
        </w:tc>
        <w:tc>
          <w:tcPr>
            <w:tcW w:w="2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60"/>
        </w:trPr>
        <w:tc>
          <w:tcPr>
            <w:tcW w:w="26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Robert J. Mylod Jr.</w:t>
            </w:r>
          </w:p>
        </w:tc>
        <w:tc>
          <w:tcPr>
            <w:tcW w:w="2300" w:type="dxa"/>
            <w:vAlign w:val="bottom"/>
            <w:tcBorders>
              <w:bottom w:val="single" w:sz="8" w:color="F2F2F2"/>
            </w:tcBorders>
            <w:shd w:val="clear" w:color="auto" w:fill="F2F2F2"/>
          </w:tcPr>
          <w:p>
            <w:pPr>
              <w:spacing w:after="0"/>
              <w:rPr>
                <w:sz w:val="24"/>
                <w:szCs w:val="24"/>
                <w:color w:val="auto"/>
              </w:rPr>
            </w:pPr>
          </w:p>
        </w:tc>
        <w:tc>
          <w:tcPr>
            <w:tcW w:w="2220" w:type="dxa"/>
            <w:vAlign w:val="bottom"/>
            <w:tcBorders>
              <w:bottom w:val="single" w:sz="8" w:color="F2F2F2"/>
            </w:tcBorders>
            <w:shd w:val="clear" w:color="auto" w:fill="F2F2F2"/>
          </w:tcPr>
          <w:p>
            <w:pPr>
              <w:spacing w:after="0"/>
              <w:rPr>
                <w:sz w:val="24"/>
                <w:szCs w:val="24"/>
                <w:color w:val="auto"/>
              </w:rPr>
            </w:pPr>
          </w:p>
        </w:tc>
        <w:tc>
          <w:tcPr>
            <w:tcW w:w="2400" w:type="dxa"/>
            <w:vAlign w:val="bottom"/>
            <w:tcBorders>
              <w:bottom w:val="single" w:sz="8" w:color="F2F2F2"/>
            </w:tcBorders>
            <w:shd w:val="clear" w:color="auto" w:fill="F2F2F2"/>
          </w:tcPr>
          <w:p>
            <w:pPr>
              <w:spacing w:after="0"/>
              <w:rPr>
                <w:sz w:val="24"/>
                <w:szCs w:val="24"/>
                <w:color w:val="auto"/>
              </w:rPr>
            </w:pPr>
          </w:p>
        </w:tc>
      </w:tr>
      <w:tr>
        <w:trPr>
          <w:trHeight w:val="264"/>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Karen Peacock</w:t>
            </w:r>
          </w:p>
        </w:tc>
        <w:tc>
          <w:tcPr>
            <w:tcW w:w="2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60"/>
        </w:trPr>
        <w:tc>
          <w:tcPr>
            <w:tcW w:w="26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Condoleezza Rice, Ph.D</w:t>
            </w:r>
          </w:p>
        </w:tc>
        <w:tc>
          <w:tcPr>
            <w:tcW w:w="2300" w:type="dxa"/>
            <w:vAlign w:val="bottom"/>
            <w:tcBorders>
              <w:bottom w:val="single" w:sz="8" w:color="F2F2F2"/>
            </w:tcBorders>
            <w:shd w:val="clear" w:color="auto" w:fill="F2F2F2"/>
          </w:tcPr>
          <w:p>
            <w:pPr>
              <w:spacing w:after="0"/>
              <w:rPr>
                <w:sz w:val="24"/>
                <w:szCs w:val="24"/>
                <w:color w:val="auto"/>
              </w:rPr>
            </w:pPr>
          </w:p>
        </w:tc>
        <w:tc>
          <w:tcPr>
            <w:tcW w:w="2220" w:type="dxa"/>
            <w:vAlign w:val="bottom"/>
            <w:tcBorders>
              <w:bottom w:val="single" w:sz="8" w:color="F2F2F2"/>
            </w:tcBorders>
            <w:shd w:val="clear" w:color="auto" w:fill="F2F2F2"/>
          </w:tcPr>
          <w:p>
            <w:pPr>
              <w:spacing w:after="0"/>
              <w:rPr>
                <w:sz w:val="24"/>
                <w:szCs w:val="24"/>
                <w:color w:val="auto"/>
              </w:rPr>
            </w:pPr>
          </w:p>
        </w:tc>
        <w:tc>
          <w:tcPr>
            <w:tcW w:w="2400" w:type="dxa"/>
            <w:vAlign w:val="bottom"/>
            <w:tcBorders>
              <w:bottom w:val="single" w:sz="8" w:color="F2F2F2"/>
            </w:tcBorders>
            <w:shd w:val="clear" w:color="auto" w:fill="F2F2F2"/>
          </w:tcPr>
          <w:p>
            <w:pPr>
              <w:spacing w:after="0"/>
              <w:rPr>
                <w:sz w:val="24"/>
                <w:szCs w:val="24"/>
                <w:color w:val="auto"/>
              </w:rPr>
            </w:pPr>
          </w:p>
        </w:tc>
      </w:tr>
      <w:tr>
        <w:trPr>
          <w:trHeight w:val="264"/>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Michael Seibel</w:t>
            </w:r>
          </w:p>
        </w:tc>
        <w:tc>
          <w:tcPr>
            <w:tcW w:w="2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60"/>
        </w:trPr>
        <w:tc>
          <w:tcPr>
            <w:tcW w:w="26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Number of Meetings</w:t>
            </w:r>
          </w:p>
        </w:tc>
        <w:tc>
          <w:tcPr>
            <w:tcW w:w="2300" w:type="dxa"/>
            <w:vAlign w:val="bottom"/>
            <w:tcBorders>
              <w:bottom w:val="single" w:sz="8" w:color="F2F2F2"/>
            </w:tcBorders>
            <w:shd w:val="clear" w:color="auto" w:fill="F2F2F2"/>
          </w:tcPr>
          <w:p>
            <w:pPr>
              <w:jc w:val="right"/>
              <w:ind w:right="1222"/>
              <w:spacing w:after="0"/>
              <w:rPr>
                <w:sz w:val="20"/>
                <w:szCs w:val="20"/>
                <w:color w:val="auto"/>
              </w:rPr>
            </w:pPr>
            <w:r>
              <w:rPr>
                <w:rFonts w:ascii="Arial" w:cs="Arial" w:eastAsia="Arial" w:hAnsi="Arial"/>
                <w:sz w:val="16"/>
                <w:szCs w:val="16"/>
                <w:color w:val="auto"/>
              </w:rPr>
              <w:t>6</w:t>
            </w:r>
          </w:p>
        </w:tc>
        <w:tc>
          <w:tcPr>
            <w:tcW w:w="2220" w:type="dxa"/>
            <w:vAlign w:val="bottom"/>
            <w:tcBorders>
              <w:bottom w:val="single" w:sz="8" w:color="F2F2F2"/>
            </w:tcBorders>
            <w:shd w:val="clear" w:color="auto" w:fill="F2F2F2"/>
          </w:tcPr>
          <w:p>
            <w:pPr>
              <w:jc w:val="right"/>
              <w:ind w:right="1022"/>
              <w:spacing w:after="0"/>
              <w:rPr>
                <w:sz w:val="20"/>
                <w:szCs w:val="20"/>
                <w:color w:val="auto"/>
              </w:rPr>
            </w:pPr>
            <w:r>
              <w:rPr>
                <w:rFonts w:ascii="Arial" w:cs="Arial" w:eastAsia="Arial" w:hAnsi="Arial"/>
                <w:sz w:val="16"/>
                <w:szCs w:val="16"/>
                <w:color w:val="auto"/>
              </w:rPr>
              <w:t>6</w:t>
            </w:r>
          </w:p>
        </w:tc>
        <w:tc>
          <w:tcPr>
            <w:tcW w:w="2400" w:type="dxa"/>
            <w:vAlign w:val="bottom"/>
            <w:tcBorders>
              <w:bottom w:val="single" w:sz="8" w:color="F2F2F2"/>
            </w:tcBorders>
            <w:shd w:val="clear" w:color="auto" w:fill="F2F2F2"/>
          </w:tcPr>
          <w:p>
            <w:pPr>
              <w:jc w:val="center"/>
              <w:ind w:left="65"/>
              <w:spacing w:after="0"/>
              <w:rPr>
                <w:sz w:val="20"/>
                <w:szCs w:val="20"/>
                <w:color w:val="auto"/>
              </w:rPr>
            </w:pPr>
            <w:r>
              <w:rPr>
                <w:rFonts w:ascii="Arial" w:cs="Arial" w:eastAsia="Arial" w:hAnsi="Arial"/>
                <w:sz w:val="16"/>
                <w:szCs w:val="16"/>
                <w:color w:val="auto"/>
              </w:rPr>
              <w:t>3</w:t>
            </w:r>
          </w:p>
        </w:tc>
      </w:tr>
      <w:tr>
        <w:trPr>
          <w:trHeight w:val="291"/>
        </w:trPr>
        <w:tc>
          <w:tcPr>
            <w:tcW w:w="2640" w:type="dxa"/>
            <w:vAlign w:val="bottom"/>
          </w:tcPr>
          <w:p>
            <w:pPr>
              <w:ind w:left="640"/>
              <w:spacing w:after="0"/>
              <w:rPr>
                <w:sz w:val="20"/>
                <w:szCs w:val="20"/>
                <w:color w:val="auto"/>
              </w:rPr>
            </w:pPr>
            <w:r>
              <w:rPr>
                <w:rFonts w:ascii="Arial" w:cs="Arial" w:eastAsia="Arial" w:hAnsi="Arial"/>
                <w:sz w:val="16"/>
                <w:szCs w:val="16"/>
                <w:color w:val="auto"/>
              </w:rPr>
              <w:t>Committee member</w:t>
            </w:r>
          </w:p>
        </w:tc>
        <w:tc>
          <w:tcPr>
            <w:tcW w:w="2300" w:type="dxa"/>
            <w:vAlign w:val="bottom"/>
          </w:tcPr>
          <w:p>
            <w:pPr>
              <w:ind w:left="560"/>
              <w:spacing w:after="0"/>
              <w:rPr>
                <w:sz w:val="20"/>
                <w:szCs w:val="20"/>
                <w:color w:val="auto"/>
              </w:rPr>
            </w:pPr>
            <w:r>
              <w:rPr>
                <w:rFonts w:ascii="Arial" w:cs="Arial" w:eastAsia="Arial" w:hAnsi="Arial"/>
                <w:sz w:val="16"/>
                <w:szCs w:val="16"/>
                <w:color w:val="auto"/>
              </w:rPr>
              <w:t>Committee chair</w:t>
            </w:r>
          </w:p>
        </w:tc>
        <w:tc>
          <w:tcPr>
            <w:tcW w:w="2220" w:type="dxa"/>
            <w:vAlign w:val="bottom"/>
          </w:tcPr>
          <w:p>
            <w:pPr>
              <w:ind w:left="700"/>
              <w:spacing w:after="0"/>
              <w:rPr>
                <w:sz w:val="20"/>
                <w:szCs w:val="20"/>
                <w:color w:val="auto"/>
              </w:rPr>
            </w:pPr>
            <w:r>
              <w:rPr>
                <w:rFonts w:ascii="Arial" w:cs="Arial" w:eastAsia="Arial" w:hAnsi="Arial"/>
                <w:sz w:val="16"/>
                <w:szCs w:val="16"/>
                <w:color w:val="auto"/>
              </w:rPr>
              <w:t>Financial expert</w:t>
            </w:r>
          </w:p>
        </w:tc>
        <w:tc>
          <w:tcPr>
            <w:tcW w:w="2400" w:type="dxa"/>
            <w:vAlign w:val="bottom"/>
          </w:tcPr>
          <w:p>
            <w:pPr>
              <w:spacing w:after="0"/>
              <w:rPr>
                <w:sz w:val="24"/>
                <w:szCs w:val="24"/>
                <w:color w:val="auto"/>
              </w:rPr>
            </w:pPr>
          </w:p>
        </w:tc>
      </w:tr>
    </w:tbl>
    <w:p>
      <w:pPr>
        <w:spacing w:after="0" w:line="2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Audit Committee</w:t>
      </w:r>
    </w:p>
    <w:p>
      <w:pPr>
        <w:spacing w:after="0" w:line="52"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Our audit committee consists of Messrs. Blair and Mylod, and Ms. Campbell, with Mr. Blair serving as chairperson. In March 2020, Mr. Mylod stepped down as chairperson of the audit committee and the board of directors selected Mr. Blair to serve as chairperson.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Messrs. Blair and Mylod are audit committee financial experts within the meaning of Item 407(d) of Regulation S-K. Our audit committee is responsible for, among other things:</w:t>
      </w:r>
    </w:p>
    <w:p>
      <w:pPr>
        <w:spacing w:after="0" w:line="151" w:lineRule="exact"/>
        <w:rPr>
          <w:sz w:val="20"/>
          <w:szCs w:val="20"/>
          <w:color w:val="auto"/>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67" w:lineRule="exact"/>
        <w:rPr>
          <w:rFonts w:ascii="Arial" w:cs="Arial" w:eastAsia="Arial" w:hAnsi="Arial"/>
          <w:sz w:val="16"/>
          <w:szCs w:val="16"/>
          <w:color w:val="0063A6"/>
        </w:rPr>
      </w:pPr>
    </w:p>
    <w:p>
      <w:pPr>
        <w:ind w:left="284" w:hanging="284"/>
        <w:spacing w:after="0" w:line="257"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334"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67" w:lineRule="exact"/>
        <w:rPr>
          <w:rFonts w:ascii="Arial" w:cs="Arial" w:eastAsia="Arial" w:hAnsi="Arial"/>
          <w:sz w:val="16"/>
          <w:szCs w:val="16"/>
          <w:color w:val="0063A6"/>
        </w:rPr>
      </w:pPr>
    </w:p>
    <w:p>
      <w:pPr>
        <w:ind w:left="284" w:right="80" w:hanging="284"/>
        <w:spacing w:after="0" w:line="260"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any amendments to the internal audit charter;</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67" w:lineRule="exact"/>
        <w:rPr>
          <w:rFonts w:ascii="Arial" w:cs="Arial" w:eastAsia="Arial" w:hAnsi="Arial"/>
          <w:sz w:val="16"/>
          <w:szCs w:val="16"/>
          <w:color w:val="0063A6"/>
        </w:rPr>
      </w:pPr>
    </w:p>
    <w:p>
      <w:pPr>
        <w:ind w:left="284" w:right="480" w:hanging="284"/>
        <w:spacing w:after="0" w:line="260"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developing procedures for employees to submit concerns anonymously about questionable accounting, internal accounting controls, or audit matters;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pacing w:after="0" w:line="167" w:lineRule="exact"/>
        <w:rPr>
          <w:rFonts w:ascii="Arial" w:cs="Arial" w:eastAsia="Arial" w:hAnsi="Arial"/>
          <w:sz w:val="16"/>
          <w:szCs w:val="16"/>
          <w:color w:val="0063A6"/>
        </w:rPr>
      </w:pPr>
    </w:p>
    <w:p>
      <w:pPr>
        <w:ind w:left="284" w:right="260" w:hanging="284"/>
        <w:spacing w:after="0" w:line="260"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ectPr>
          <w:pgSz w:w="11900" w:h="16838" w:orient="portrait"/>
          <w:cols w:equalWidth="0" w:num="1">
            <w:col w:w="9564"/>
          </w:cols>
          <w:pgMar w:left="1156" w:top="265" w:right="1179" w:bottom="1440" w:gutter="0" w:footer="0" w:header="0"/>
        </w:sectPr>
      </w:pPr>
    </w:p>
    <w:p>
      <w:pPr>
        <w:spacing w:after="0" w:line="180" w:lineRule="exact"/>
        <w:rPr>
          <w:sz w:val="20"/>
          <w:szCs w:val="20"/>
          <w:color w:val="auto"/>
        </w:rPr>
      </w:pPr>
    </w:p>
    <w:p>
      <w:pPr>
        <w:ind w:left="524" w:hanging="524"/>
        <w:spacing w:after="0"/>
        <w:tabs>
          <w:tab w:leader="none" w:pos="524"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6" w:name="page17"/>
    <w:bookmarkEnd w:id="1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35" w:lineRule="exact"/>
        <w:rPr>
          <w:sz w:val="20"/>
          <w:szCs w:val="20"/>
          <w:color w:val="auto"/>
        </w:rPr>
      </w:pPr>
    </w:p>
    <w:p>
      <w:pPr>
        <w:jc w:val="both"/>
        <w:ind w:left="720" w:right="1100"/>
        <w:spacing w:after="0" w:line="253"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2020, our audit committee held six meetings.</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Compensation Committee</w:t>
      </w:r>
    </w:p>
    <w:p>
      <w:pPr>
        <w:spacing w:after="0" w:line="66"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auto"/>
        </w:rPr>
        <w:t>Our compensation committee consists of Dr. Rice, Ms. Peacock and Messrs. Mylod and Seibel, with Dr. Rice serving as chairperson. Mr. Schreier served as a member of our compensation committee until his resignation as a member of the board of directors in December 2020. Mr. Seibel was appointed to the compensation committee in December 2020. Dr. Rice, who will not be standing for re-election as a director at the Annual Meeting, will remain the chairperson and a member of the compensation committee until the Annual Meeting. Our board of directors selected Ms. Peacock to succeed Dr. Rice as chairperson of the compensation committee following the Annual Meeting. Each member of the compensation committee meets the requirements for independence for compensation committee members under the listing standards of Nasdaq. Each member of our compensation committee is also a non-employee director, as defined pursuant to Rule 16b-3 promulgated under the Securities Exchange Act of 1934, as amended (“Exchange Act”), or Rule 16b-3. Our compensation committee is responsible for, among other things:</w:t>
      </w:r>
    </w:p>
    <w:p>
      <w:pPr>
        <w:spacing w:after="0" w:line="152" w:lineRule="exact"/>
        <w:rPr>
          <w:sz w:val="20"/>
          <w:szCs w:val="20"/>
          <w:color w:val="auto"/>
        </w:rPr>
      </w:pPr>
    </w:p>
    <w:p>
      <w:pPr>
        <w:ind w:left="1000" w:right="820" w:hanging="284"/>
        <w:spacing w:after="0" w:line="260" w:lineRule="auto"/>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administering our equity compensation plans;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approving, and administering incentive compensation and equity compensation plans;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w:t>
      </w:r>
    </w:p>
    <w:p>
      <w:pPr>
        <w:spacing w:after="0" w:line="167" w:lineRule="exact"/>
        <w:rPr>
          <w:sz w:val="20"/>
          <w:szCs w:val="20"/>
          <w:color w:val="auto"/>
        </w:rPr>
      </w:pPr>
    </w:p>
    <w:p>
      <w:pPr>
        <w:ind w:left="720" w:right="900"/>
        <w:spacing w:after="0" w:line="253"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for our compensation committee is available on our website at investors.dropbox.com. During 2020, our compensation committee held six meetings.</w:t>
      </w:r>
    </w:p>
    <w:p>
      <w:pPr>
        <w:spacing w:after="0" w:line="3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52" w:lineRule="exact"/>
        <w:rPr>
          <w:sz w:val="20"/>
          <w:szCs w:val="20"/>
          <w:color w:val="auto"/>
        </w:rPr>
      </w:pPr>
    </w:p>
    <w:p>
      <w:pPr>
        <w:ind w:left="720" w:right="840"/>
        <w:spacing w:after="0" w:line="251" w:lineRule="auto"/>
        <w:rPr>
          <w:sz w:val="20"/>
          <w:szCs w:val="20"/>
          <w:color w:val="auto"/>
        </w:rPr>
      </w:pPr>
      <w:r>
        <w:rPr>
          <w:rFonts w:ascii="Arial" w:cs="Arial" w:eastAsia="Arial" w:hAnsi="Arial"/>
          <w:sz w:val="16"/>
          <w:szCs w:val="16"/>
          <w:color w:val="auto"/>
        </w:rPr>
        <w:t>Our nominating and corporate governance committee consists of Ms. Campbell and Dr. Jacobs, with Dr. Jacobs serving as chairperson. In February 2020, Ms. Campbell was appointed to the nominating and corporate governance committee. Each member of the nominating and corporate governance committee meets the requirements for independence under the listing standards of Nasdaq. Our nominating and corporate governance committee is responsible for, among other things:</w:t>
      </w:r>
    </w:p>
    <w:p>
      <w:pPr>
        <w:spacing w:after="0" w:line="148" w:lineRule="exact"/>
        <w:rPr>
          <w:sz w:val="20"/>
          <w:szCs w:val="20"/>
          <w:color w:val="auto"/>
        </w:rPr>
      </w:pPr>
    </w:p>
    <w:p>
      <w:pPr>
        <w:ind w:left="1000" w:right="1020" w:hanging="284"/>
        <w:spacing w:after="0" w:line="260" w:lineRule="auto"/>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63A6"/>
        </w:rPr>
      </w:pPr>
    </w:p>
    <w:p>
      <w:pPr>
        <w:ind w:left="1000" w:right="1020" w:hanging="284"/>
        <w:spacing w:after="0" w:line="260" w:lineRule="auto"/>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contributing to succession planning;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w:t>
      </w:r>
    </w:p>
    <w:p>
      <w:pPr>
        <w:spacing w:after="0" w:line="167" w:lineRule="exact"/>
        <w:rPr>
          <w:sz w:val="20"/>
          <w:szCs w:val="20"/>
          <w:color w:val="auto"/>
        </w:rPr>
      </w:pPr>
    </w:p>
    <w:p>
      <w:pPr>
        <w:ind w:left="720" w:right="1080"/>
        <w:spacing w:after="0" w:line="253"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2020, our nominating and corporate governance committee held three meetings.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7" w:name="page18"/>
    <w:bookmarkEnd w:id="1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58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4"/>
        <w:spacing w:after="0"/>
        <w:rPr>
          <w:sz w:val="20"/>
          <w:szCs w:val="20"/>
          <w:color w:val="auto"/>
        </w:rPr>
      </w:pPr>
      <w:r>
        <w:rPr>
          <w:rFonts w:ascii="Arial" w:cs="Arial" w:eastAsia="Arial" w:hAnsi="Arial"/>
          <w:sz w:val="26"/>
          <w:szCs w:val="26"/>
          <w:color w:val="0063A6"/>
        </w:rPr>
        <w:t>Attendance at Board and Stockholder Meetings</w:t>
      </w:r>
    </w:p>
    <w:p>
      <w:pPr>
        <w:spacing w:after="0" w:line="169"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During our fiscal year ended December 31, 2020, our board of directors held thirteen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48"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directors who then served on the board attended our 2020 annual meeting of our stockholders.</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169" w:lineRule="exact"/>
        <w:rPr>
          <w:sz w:val="20"/>
          <w:szCs w:val="20"/>
          <w:color w:val="auto"/>
        </w:rPr>
      </w:pPr>
    </w:p>
    <w:p>
      <w:pPr>
        <w:jc w:val="both"/>
        <w:ind w:left="4" w:right="120"/>
        <w:spacing w:after="0" w:line="25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Considerations in Evaluating Director Nominees</w:t>
      </w:r>
    </w:p>
    <w:p>
      <w:pPr>
        <w:spacing w:after="0" w:line="169"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sexual orientation, gender identity,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57"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321"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Evaluations</w:t>
      </w:r>
    </w:p>
    <w:p>
      <w:pPr>
        <w:spacing w:after="0" w:line="169"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Our board of directors conducts an annual evaluation of the performance of individual directors, the board as a whole, and each of the board’s standing committees, including an evaluation of the qualifications of individual members of the board and its committees. The evaluation is conducted via oral interviews by our lead independent director in close partnership with our in-house legal team, using as a basis for discussion a list of questions that are provided to each director in advance. The results of the evaluation and any recommendations for improvement are provided orally to our board of directors and the other standing committees of the board either by the lead independent director or a member of our in-house legal team.</w:t>
      </w:r>
    </w:p>
    <w:p>
      <w:pPr>
        <w:spacing w:after="0" w:line="190" w:lineRule="exact"/>
        <w:rPr>
          <w:sz w:val="20"/>
          <w:szCs w:val="20"/>
          <w:color w:val="auto"/>
        </w:rPr>
      </w:pPr>
    </w:p>
    <w:p>
      <w:pPr>
        <w:ind w:left="524" w:hanging="524"/>
        <w:spacing w:after="0"/>
        <w:tabs>
          <w:tab w:leader="none" w:pos="524"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18" w:name="page19"/>
    <w:bookmarkEnd w:id="1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169"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Dropbox, Inc.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57"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1800 Owens Street San Francisco, California 94158. To be timely for the 2022 annual meeting of stockholders, nominations must be received by our Secretary observing the same deadlines for stockholder proposals discussed above under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 – Stockholder Proposals.</w:t>
      </w:r>
      <w:r>
        <w:rPr>
          <w:rFonts w:ascii="Arial" w:cs="Arial" w:eastAsia="Arial" w:hAnsi="Arial"/>
          <w:sz w:val="16"/>
          <w:szCs w:val="16"/>
          <w:color w:val="auto"/>
        </w:rPr>
        <w:t>”</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Communications with the Board of Directors</w:t>
      </w:r>
    </w:p>
    <w:p>
      <w:pPr>
        <w:spacing w:after="0" w:line="169"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49" w:lineRule="exact"/>
        <w:rPr>
          <w:sz w:val="20"/>
          <w:szCs w:val="20"/>
          <w:color w:val="auto"/>
        </w:rPr>
      </w:pPr>
    </w:p>
    <w:p>
      <w:pPr>
        <w:ind w:left="720" w:right="980"/>
        <w:spacing w:after="0" w:line="253"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chairman of our board of directors.</w:t>
      </w:r>
    </w:p>
    <w:p>
      <w:pPr>
        <w:spacing w:after="0" w:line="147"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directors?—Stockholder Proposals</w:t>
      </w:r>
      <w:r>
        <w:rPr>
          <w:rFonts w:ascii="Arial" w:cs="Arial" w:eastAsia="Arial" w:hAnsi="Arial"/>
          <w:sz w:val="16"/>
          <w:szCs w:val="16"/>
          <w:color w:val="auto"/>
        </w:rPr>
        <w:t>” described above in this proxy statement.</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169" w:lineRule="exact"/>
        <w:rPr>
          <w:sz w:val="20"/>
          <w:szCs w:val="20"/>
          <w:color w:val="auto"/>
        </w:rPr>
      </w:pPr>
    </w:p>
    <w:p>
      <w:pPr>
        <w:ind w:left="720" w:right="860"/>
        <w:spacing w:after="0" w:line="248"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15</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9" w:name="page20"/>
    <w:bookmarkEnd w:id="1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26" w:lineRule="exact"/>
        <w:rPr>
          <w:sz w:val="20"/>
          <w:szCs w:val="20"/>
          <w:color w:val="auto"/>
        </w:rPr>
      </w:pPr>
    </w:p>
    <w:p>
      <w:pPr>
        <w:ind w:left="4"/>
        <w:spacing w:after="0"/>
        <w:rPr>
          <w:sz w:val="20"/>
          <w:szCs w:val="20"/>
          <w:color w:val="auto"/>
        </w:rPr>
      </w:pPr>
      <w:r>
        <w:rPr>
          <w:rFonts w:ascii="Arial" w:cs="Arial" w:eastAsia="Arial" w:hAnsi="Arial"/>
          <w:sz w:val="26"/>
          <w:szCs w:val="26"/>
          <w:color w:val="0063A6"/>
        </w:rPr>
        <w:t>Role of Board in Risk Oversight Process</w:t>
      </w:r>
    </w:p>
    <w:p>
      <w:pPr>
        <w:spacing w:after="0" w:line="169" w:lineRule="exact"/>
        <w:rPr>
          <w:sz w:val="20"/>
          <w:szCs w:val="20"/>
          <w:color w:val="auto"/>
        </w:rPr>
      </w:pPr>
    </w:p>
    <w:p>
      <w:pPr>
        <w:ind w:left="4" w:right="20"/>
        <w:spacing w:after="0" w:line="247"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strategic, operational, legal and compliance, cybersecurity, and financial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regularly reviews our strategic and operational risks in the context of discussions with management, question and answer sessions, and reports from the management team at each regular board meeting. Additionally, during the 2020 fiscal year, our board of directors regularly reviewed our response to the COVID-19 pandemic and the risks to our business associated with the pandemic. Our board of directors considered the impact of the pandemic on our financial performance, our business and strategies, our operations and the effect of the pandemic on our employees and the community. Our board also receives regular reports on all significant committee activities at each regular board meeting, and evaluates the risks inherent in significant transactions.</w:t>
      </w:r>
    </w:p>
    <w:p>
      <w:pPr>
        <w:spacing w:after="0" w:line="15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cybersecurity, including prevention and monitoring, as well as our enterprise-risk management program. Our audit committee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risk-taking. Our nominating and corporate governance committee assesses risks relating to our corporate governance practices, the independence of the board, and potential conflicts of interest. These committees provide regular reports on our risk management efforts to the full board.</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38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Corporate Responsibility Highlights</w:t>
      </w:r>
    </w:p>
    <w:p>
      <w:pPr>
        <w:spacing w:after="0" w:line="169"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 In addition, we believe that operating sustainably drives long-term stockholder value. During the 2020 fiscal year, we responded to the COVID-19 pandemic by supporting and protecting the health and safety of our employees, as well as assisting our communities. Described below are recent and ongoing efforts we have undertaken to benefit and support our various stakeholders, including in the face of challenges presented by the COVID-19 pandemic.</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Human Capital Management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Employee Wellness and Development</w:t>
      </w:r>
    </w:p>
    <w:p>
      <w:pPr>
        <w:spacing w:after="0" w:line="183" w:lineRule="exact"/>
        <w:rPr>
          <w:sz w:val="20"/>
          <w:szCs w:val="20"/>
          <w:color w:val="auto"/>
        </w:rPr>
      </w:pPr>
    </w:p>
    <w:p>
      <w:pPr>
        <w:ind w:left="284" w:right="700" w:hanging="284"/>
        <w:spacing w:after="0" w:line="260"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24 weeks of paid parental leave for all our employees, as well as mental and physical wellness benefits.</w:t>
      </w:r>
    </w:p>
    <w:p>
      <w:pPr>
        <w:spacing w:after="0" w:line="141" w:lineRule="exact"/>
        <w:rPr>
          <w:rFonts w:ascii="Arial" w:cs="Arial" w:eastAsia="Arial" w:hAnsi="Arial"/>
          <w:sz w:val="16"/>
          <w:szCs w:val="16"/>
          <w:color w:val="0063A6"/>
        </w:rPr>
      </w:pPr>
    </w:p>
    <w:p>
      <w:pPr>
        <w:ind w:left="284" w:right="80" w:hanging="284"/>
        <w:spacing w:after="0" w:line="253"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The safety of our employees is paramount; we have a physical security policy applicable to all our employees in our global locations and our global physical security team is empowered to protect the safety of our employees in the event of emergencies or disasters.</w:t>
      </w:r>
    </w:p>
    <w:p>
      <w:pPr>
        <w:spacing w:after="0" w:line="147" w:lineRule="exact"/>
        <w:rPr>
          <w:rFonts w:ascii="Arial" w:cs="Arial" w:eastAsia="Arial" w:hAnsi="Arial"/>
          <w:sz w:val="16"/>
          <w:szCs w:val="16"/>
          <w:color w:val="0063A6"/>
        </w:rPr>
      </w:pPr>
    </w:p>
    <w:p>
      <w:pPr>
        <w:ind w:left="284" w:hanging="284"/>
        <w:spacing w:after="0"/>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In addition, to protect the health and safety of our employees and to support their well-being during the COVID-19 pandemic:</w:t>
      </w:r>
    </w:p>
    <w:p>
      <w:pPr>
        <w:spacing w:after="0" w:line="167" w:lineRule="exact"/>
        <w:rPr>
          <w:rFonts w:ascii="Arial" w:cs="Arial" w:eastAsia="Arial" w:hAnsi="Arial"/>
          <w:sz w:val="16"/>
          <w:szCs w:val="16"/>
          <w:color w:val="0063A6"/>
        </w:rPr>
      </w:pPr>
    </w:p>
    <w:p>
      <w:pPr>
        <w:ind w:left="644" w:hanging="284"/>
        <w:spacing w:after="0"/>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We shifted to a remote-work model for substantially all of our employees.</w:t>
      </w:r>
    </w:p>
    <w:p>
      <w:pPr>
        <w:spacing w:after="0" w:line="206" w:lineRule="exact"/>
        <w:rPr>
          <w:sz w:val="20"/>
          <w:szCs w:val="20"/>
          <w:color w:val="auto"/>
        </w:rPr>
      </w:pPr>
    </w:p>
    <w:p>
      <w:pPr>
        <w:ind w:left="524" w:hanging="524"/>
        <w:spacing w:after="0"/>
        <w:tabs>
          <w:tab w:leader="none" w:pos="524"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0" w:name="page21"/>
    <w:bookmarkEnd w:id="2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35" w:lineRule="exact"/>
        <w:rPr>
          <w:sz w:val="20"/>
          <w:szCs w:val="20"/>
          <w:color w:val="auto"/>
        </w:rPr>
      </w:pPr>
    </w:p>
    <w:p>
      <w:pPr>
        <w:ind w:left="1360" w:right="980" w:hanging="284"/>
        <w:spacing w:after="0" w:line="251"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established Global COVID-19 Workplace Health &amp; Safety Standards for situations where it was necessary for employees or other personnel to enter our offices; these standards mandated locally-compliant health screening, social distancing and face covering practices and advised all visitors to follow personal health and hygiene best practices; these standards were reviewed and updated as we received further guidance from public health authorities.</w:t>
      </w:r>
    </w:p>
    <w:p>
      <w:pPr>
        <w:spacing w:after="0" w:line="148" w:lineRule="exact"/>
        <w:rPr>
          <w:rFonts w:ascii="Arial" w:cs="Arial" w:eastAsia="Arial" w:hAnsi="Arial"/>
          <w:sz w:val="16"/>
          <w:szCs w:val="16"/>
          <w:color w:val="0063A6"/>
        </w:rPr>
      </w:pPr>
    </w:p>
    <w:p>
      <w:pPr>
        <w:ind w:left="1360" w:hanging="284"/>
        <w:spacing w:after="0"/>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provided allowances to employees to cover certain remote work expenses.</w:t>
      </w:r>
    </w:p>
    <w:p>
      <w:pPr>
        <w:spacing w:after="0" w:line="167" w:lineRule="exact"/>
        <w:rPr>
          <w:rFonts w:ascii="Arial" w:cs="Arial" w:eastAsia="Arial" w:hAnsi="Arial"/>
          <w:sz w:val="16"/>
          <w:szCs w:val="16"/>
          <w:color w:val="0063A6"/>
        </w:rPr>
      </w:pPr>
    </w:p>
    <w:p>
      <w:pPr>
        <w:ind w:left="1360" w:right="1040" w:hanging="284"/>
        <w:spacing w:after="0" w:line="260"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provided subsidized dependent care and access to dependent care resources, as well as supporting flexible working arrangements for our employees with caregiving obligations.</w:t>
      </w:r>
    </w:p>
    <w:p>
      <w:pPr>
        <w:spacing w:after="0" w:line="141" w:lineRule="exact"/>
        <w:rPr>
          <w:rFonts w:ascii="Arial" w:cs="Arial" w:eastAsia="Arial" w:hAnsi="Arial"/>
          <w:sz w:val="16"/>
          <w:szCs w:val="16"/>
          <w:color w:val="0063A6"/>
        </w:rPr>
      </w:pPr>
    </w:p>
    <w:p>
      <w:pPr>
        <w:ind w:left="1360" w:right="1220" w:hanging="284"/>
        <w:spacing w:after="0" w:line="260"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introduced a new program to help employees and their dependents manage their mental health through coaching, therapy, and on-demand resources.</w:t>
      </w:r>
    </w:p>
    <w:p>
      <w:pPr>
        <w:spacing w:after="0" w:line="141" w:lineRule="exact"/>
        <w:rPr>
          <w:rFonts w:ascii="Arial" w:cs="Arial" w:eastAsia="Arial" w:hAnsi="Arial"/>
          <w:sz w:val="16"/>
          <w:szCs w:val="16"/>
          <w:color w:val="0063A6"/>
        </w:rPr>
      </w:pPr>
    </w:p>
    <w:p>
      <w:pPr>
        <w:ind w:left="1000" w:right="1000" w:hanging="284"/>
        <w:spacing w:after="0" w:line="260" w:lineRule="auto"/>
        <w:tabs>
          <w:tab w:leader="none" w:pos="1000"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have transitioned to our Virtual First work model, in which remote work is the primary experience for substantially all of our employees; as part of our Virtual First workforce strategy we strive to support our employees by:</w:t>
      </w:r>
    </w:p>
    <w:p>
      <w:pPr>
        <w:spacing w:after="0" w:line="141" w:lineRule="exact"/>
        <w:rPr>
          <w:rFonts w:ascii="Arial" w:cs="Arial" w:eastAsia="Arial" w:hAnsi="Arial"/>
          <w:sz w:val="16"/>
          <w:szCs w:val="16"/>
          <w:color w:val="0063A6"/>
        </w:rPr>
      </w:pPr>
    </w:p>
    <w:p>
      <w:pPr>
        <w:jc w:val="both"/>
        <w:ind w:left="1360" w:right="840" w:hanging="284"/>
        <w:spacing w:after="0" w:line="253"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Providing an annual allowance that gives employees the flexibility to focus this benefit towards what really matters to them; this may include health and wellness, family and caregiver support, productivity and ergonomics, learning and development or financial wellness.</w:t>
      </w:r>
    </w:p>
    <w:p>
      <w:pPr>
        <w:spacing w:after="0" w:line="147" w:lineRule="exact"/>
        <w:rPr>
          <w:rFonts w:ascii="Arial" w:cs="Arial" w:eastAsia="Arial" w:hAnsi="Arial"/>
          <w:sz w:val="16"/>
          <w:szCs w:val="16"/>
          <w:color w:val="0063A6"/>
        </w:rPr>
      </w:pPr>
    </w:p>
    <w:p>
      <w:pPr>
        <w:ind w:left="1360" w:right="940" w:hanging="284"/>
        <w:spacing w:after="0" w:line="260"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Promoting work-life balance by empowering our employees to adopt flexible working arrangements and providing tools for efficient remote collaboration.</w:t>
      </w:r>
    </w:p>
    <w:p>
      <w:pPr>
        <w:spacing w:after="0" w:line="141" w:lineRule="exact"/>
        <w:rPr>
          <w:rFonts w:ascii="Arial" w:cs="Arial" w:eastAsia="Arial" w:hAnsi="Arial"/>
          <w:sz w:val="16"/>
          <w:szCs w:val="16"/>
          <w:color w:val="0063A6"/>
        </w:rPr>
      </w:pPr>
    </w:p>
    <w:p>
      <w:pPr>
        <w:ind w:left="1360" w:hanging="284"/>
        <w:spacing w:after="0"/>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when safe to do so, at our “Dropbox Studios” locations.</w:t>
      </w:r>
    </w:p>
    <w:p>
      <w:pPr>
        <w:spacing w:after="0" w:line="167" w:lineRule="exact"/>
        <w:rPr>
          <w:rFonts w:ascii="Arial" w:cs="Arial" w:eastAsia="Arial" w:hAnsi="Arial"/>
          <w:sz w:val="16"/>
          <w:szCs w:val="16"/>
          <w:color w:val="0063A6"/>
        </w:rPr>
      </w:pPr>
    </w:p>
    <w:p>
      <w:pPr>
        <w:ind w:left="1000" w:right="1280" w:hanging="284"/>
        <w:spacing w:after="0" w:line="260" w:lineRule="auto"/>
        <w:tabs>
          <w:tab w:leader="none" w:pos="1000"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conduct an annual employee satisfaction survey, the results of which are used by management to refine our employee wellness and development initiatives.</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Diversity, Equity and Inclusion</w:t>
      </w:r>
    </w:p>
    <w:p>
      <w:pPr>
        <w:spacing w:after="0" w:line="183" w:lineRule="exact"/>
        <w:rPr>
          <w:sz w:val="20"/>
          <w:szCs w:val="20"/>
          <w:color w:val="auto"/>
        </w:rPr>
      </w:pPr>
    </w:p>
    <w:p>
      <w:pPr>
        <w:ind w:left="1000" w:hanging="284"/>
        <w:spacing w:after="0"/>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publish our gender and ethnic diversity data, as well as our diversity, equity and inclusion initiatives on an annual basis.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provide resources and training to employees at all levels to ensure that we are hiring, promoting and retaining diverse teams.</w:t>
      </w:r>
    </w:p>
    <w:p>
      <w:pPr>
        <w:spacing w:after="0" w:line="167" w:lineRule="exact"/>
        <w:rPr>
          <w:rFonts w:ascii="Arial" w:cs="Arial" w:eastAsia="Arial" w:hAnsi="Arial"/>
          <w:sz w:val="16"/>
          <w:szCs w:val="16"/>
          <w:color w:val="0063A6"/>
        </w:rPr>
      </w:pPr>
    </w:p>
    <w:p>
      <w:pPr>
        <w:ind w:left="1000" w:right="1000" w:hanging="284"/>
        <w:spacing w:after="0" w:line="253"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Employee Resource Groups, or ERGs, provide support for diverse members of our workforce by fostering an inclusive environment and providing professional development and community-building opportunities; each ERG has an executive-level sponsor who champions ERG initiatives and programs.</w:t>
      </w:r>
    </w:p>
    <w:p>
      <w:pPr>
        <w:spacing w:after="0" w:line="147" w:lineRule="exact"/>
        <w:rPr>
          <w:rFonts w:ascii="Arial" w:cs="Arial" w:eastAsia="Arial" w:hAnsi="Arial"/>
          <w:sz w:val="16"/>
          <w:szCs w:val="16"/>
          <w:color w:val="0063A6"/>
        </w:rPr>
      </w:pPr>
    </w:p>
    <w:p>
      <w:pPr>
        <w:ind w:left="1000" w:right="1060" w:hanging="284"/>
        <w:spacing w:after="0" w:line="260"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sponsor a number of professional development programs to support the advancement of underrepresented employees at Dropbox.</w:t>
      </w:r>
    </w:p>
    <w:p>
      <w:pPr>
        <w:spacing w:after="0" w:line="141" w:lineRule="exact"/>
        <w:rPr>
          <w:rFonts w:ascii="Arial" w:cs="Arial" w:eastAsia="Arial" w:hAnsi="Arial"/>
          <w:sz w:val="16"/>
          <w:szCs w:val="16"/>
          <w:color w:val="0063A6"/>
        </w:rPr>
      </w:pPr>
    </w:p>
    <w:p>
      <w:pPr>
        <w:ind w:left="1000" w:right="800" w:hanging="284"/>
        <w:spacing w:after="0" w:line="260"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Dropbox has routinely been cited as a leader in workplace diversity, having been listed in Fortune’s Best Workplaces for Diversity every year that the list has been published since 2016.</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Data Privacy and Cybersecurity</w:t>
      </w:r>
    </w:p>
    <w:p>
      <w:pPr>
        <w:spacing w:after="0" w:line="66" w:lineRule="exact"/>
        <w:rPr>
          <w:sz w:val="20"/>
          <w:szCs w:val="20"/>
          <w:color w:val="auto"/>
        </w:rPr>
      </w:pPr>
    </w:p>
    <w:p>
      <w:pPr>
        <w:ind w:left="1000" w:right="940" w:hanging="284"/>
        <w:spacing w:after="0" w:line="250" w:lineRule="auto"/>
        <w:tabs>
          <w:tab w:leader="none" w:pos="100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Being “Worthy of Trust” is one of our guiding values and as a reflection of that principle, we have established a cross-functional leadership team overseeing our information security and privacy practices, as well as identifying and proactively addressing security and privacy risks; this team reports periodically to the board of directors and the audit committee and comprises senior leaders from our legal, privacy, information security, information technology, infrastructure and compliance teams, including our Chief Privacy Officer, Head of Security and Chief Legal Officer.</w:t>
      </w:r>
    </w:p>
    <w:p>
      <w:pPr>
        <w:spacing w:after="0" w:line="148" w:lineRule="exact"/>
        <w:rPr>
          <w:rFonts w:ascii="Arial" w:cs="Arial" w:eastAsia="Arial" w:hAnsi="Arial"/>
          <w:sz w:val="16"/>
          <w:szCs w:val="16"/>
          <w:color w:val="0063A6"/>
        </w:rPr>
      </w:pPr>
    </w:p>
    <w:p>
      <w:pPr>
        <w:ind w:left="1000" w:right="1320" w:hanging="284"/>
        <w:spacing w:after="0" w:line="260" w:lineRule="auto"/>
        <w:tabs>
          <w:tab w:leader="none" w:pos="100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With oversight and guidance provided by the cross-functional leadership team, our information security and privacy teams continually refine our practices to address emerging security risks and changes in privacy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17</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1" w:name="page22"/>
    <w:bookmarkEnd w:id="2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35" w:lineRule="exact"/>
        <w:rPr>
          <w:sz w:val="20"/>
          <w:szCs w:val="20"/>
          <w:color w:val="auto"/>
        </w:rPr>
      </w:pPr>
    </w:p>
    <w:p>
      <w:pPr>
        <w:ind w:left="284" w:right="20" w:hanging="284"/>
        <w:spacing w:after="0" w:line="251"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have appointed a Data Protection Officer (the “DPO”) who provides independent oversight of our privacy program and guidance on privacy issues; the DPO acts as the single point of contact for privacy-related requests for our customers in the European Union, as well as for regulatory authorities; our DPO reports periodically to management, the board of directors and the audit committee on privacy risks, as well as providing an independent assessment of our privacy program.</w:t>
      </w:r>
    </w:p>
    <w:p>
      <w:pPr>
        <w:spacing w:after="0" w:line="148" w:lineRule="exact"/>
        <w:rPr>
          <w:rFonts w:ascii="Arial" w:cs="Arial" w:eastAsia="Arial" w:hAnsi="Arial"/>
          <w:sz w:val="16"/>
          <w:szCs w:val="16"/>
          <w:color w:val="0063A6"/>
        </w:rPr>
      </w:pPr>
    </w:p>
    <w:p>
      <w:pPr>
        <w:ind w:left="284" w:right="180" w:hanging="284"/>
        <w:spacing w:after="0" w:line="260"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have a privacy policy that describes how we collect, use, store, share and protect customer data, as well as how customers can access and manage their personal data.</w:t>
      </w:r>
    </w:p>
    <w:p>
      <w:pPr>
        <w:spacing w:after="0" w:line="141" w:lineRule="exact"/>
        <w:rPr>
          <w:rFonts w:ascii="Arial" w:cs="Arial" w:eastAsia="Arial" w:hAnsi="Arial"/>
          <w:sz w:val="16"/>
          <w:szCs w:val="16"/>
          <w:color w:val="0063A6"/>
        </w:rPr>
      </w:pPr>
    </w:p>
    <w:p>
      <w:pPr>
        <w:ind w:left="284" w:right="180" w:hanging="284"/>
        <w:spacing w:after="0" w:line="251"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are committed to upholding the legal protections safeguarding the privacy of our customers’ data as well as outlining our policies and practices pertaining to government requests for customer data; as part of that commitment, we have publicly disclosed our guiding principles in responding to government requests and, since 2012, we have published quantitative data on government requests that we received.</w:t>
      </w:r>
    </w:p>
    <w:p>
      <w:pPr>
        <w:spacing w:after="0" w:line="148" w:lineRule="exact"/>
        <w:rPr>
          <w:rFonts w:ascii="Arial" w:cs="Arial" w:eastAsia="Arial" w:hAnsi="Arial"/>
          <w:sz w:val="16"/>
          <w:szCs w:val="16"/>
          <w:color w:val="0063A6"/>
        </w:rPr>
      </w:pPr>
    </w:p>
    <w:p>
      <w:pPr>
        <w:ind w:left="284" w:right="120" w:hanging="284"/>
        <w:spacing w:after="0" w:line="260"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Several of our security and privacy management systems are independently audited and/or certified according to internationally-recognized standards:</w:t>
      </w:r>
    </w:p>
    <w:p>
      <w:pPr>
        <w:spacing w:after="0" w:line="141" w:lineRule="exact"/>
        <w:rPr>
          <w:rFonts w:ascii="Arial" w:cs="Arial" w:eastAsia="Arial" w:hAnsi="Arial"/>
          <w:sz w:val="16"/>
          <w:szCs w:val="16"/>
          <w:color w:val="0063A6"/>
        </w:rPr>
      </w:pPr>
    </w:p>
    <w:p>
      <w:pPr>
        <w:ind w:left="644" w:hanging="284"/>
        <w:spacing w:after="0"/>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information security management system is independently audited on an annual basis and is ISO 27001 certified.</w:t>
      </w:r>
    </w:p>
    <w:p>
      <w:pPr>
        <w:spacing w:after="0" w:line="167" w:lineRule="exact"/>
        <w:rPr>
          <w:rFonts w:ascii="Arial" w:cs="Arial" w:eastAsia="Arial" w:hAnsi="Arial"/>
          <w:sz w:val="16"/>
          <w:szCs w:val="16"/>
          <w:color w:val="0063A6"/>
        </w:rPr>
      </w:pPr>
    </w:p>
    <w:p>
      <w:pPr>
        <w:ind w:left="644" w:hanging="284"/>
        <w:spacing w:after="0"/>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privacy information management system is independently audited on an annual basis and is ISO 27701 certified.</w:t>
      </w:r>
    </w:p>
    <w:p>
      <w:pPr>
        <w:spacing w:after="0" w:line="167" w:lineRule="exact"/>
        <w:rPr>
          <w:rFonts w:ascii="Arial" w:cs="Arial" w:eastAsia="Arial" w:hAnsi="Arial"/>
          <w:sz w:val="16"/>
          <w:szCs w:val="16"/>
          <w:color w:val="0063A6"/>
        </w:rPr>
      </w:pPr>
    </w:p>
    <w:p>
      <w:pPr>
        <w:ind w:left="644" w:right="560" w:hanging="284"/>
        <w:spacing w:after="0" w:line="260" w:lineRule="auto"/>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cloud security controls are ISO 27017 certified and our cloud privacy and data protection controls are ISO 27018 certified.</w:t>
      </w:r>
    </w:p>
    <w:p>
      <w:pPr>
        <w:spacing w:after="0" w:line="141" w:lineRule="exact"/>
        <w:rPr>
          <w:rFonts w:ascii="Arial" w:cs="Arial" w:eastAsia="Arial" w:hAnsi="Arial"/>
          <w:sz w:val="16"/>
          <w:szCs w:val="16"/>
          <w:color w:val="0063A6"/>
        </w:rPr>
      </w:pPr>
    </w:p>
    <w:p>
      <w:pPr>
        <w:ind w:left="284" w:right="520" w:hanging="284"/>
        <w:spacing w:after="0" w:line="260"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All employees are required to complete annual information security and privacy training and to comply with our information security and privacy policies, which are reviewed and updated annually.</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Community</w:t>
      </w:r>
    </w:p>
    <w:p>
      <w:pPr>
        <w:spacing w:after="0" w:line="50" w:lineRule="exact"/>
        <w:rPr>
          <w:sz w:val="20"/>
          <w:szCs w:val="20"/>
          <w:color w:val="auto"/>
        </w:rPr>
      </w:pPr>
    </w:p>
    <w:p>
      <w:pPr>
        <w:ind w:left="284" w:hanging="284"/>
        <w:spacing w:after="0" w:line="263"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partner closely with the Dropbox Foundation (the “Foundation</w:t>
      </w:r>
      <w:r>
        <w:rPr>
          <w:rFonts w:ascii="Arial" w:cs="Arial" w:eastAsia="Arial" w:hAnsi="Arial"/>
          <w:sz w:val="16"/>
          <w:szCs w:val="16"/>
          <w:i w:val="1"/>
          <w:iCs w:val="1"/>
          <w:color w:val="auto"/>
        </w:rPr>
        <w:t>”</w:t>
      </w:r>
      <w:r>
        <w:rPr>
          <w:rFonts w:ascii="Arial" w:cs="Arial" w:eastAsia="Arial" w:hAnsi="Arial"/>
          <w:sz w:val="16"/>
          <w:szCs w:val="16"/>
          <w:color w:val="auto"/>
        </w:rPr>
        <w:t>) in its work with nonprofit organizations to defend human rights in communities around the world. We encourage Dropbox employees to support these organizations through skills-based volunteering, donations, and by raising awareness of their missions through internal talks and other advocacy.</w:t>
      </w:r>
    </w:p>
    <w:p>
      <w:pPr>
        <w:spacing w:after="0" w:line="140" w:lineRule="exact"/>
        <w:rPr>
          <w:rFonts w:ascii="Arial" w:cs="Arial" w:eastAsia="Arial" w:hAnsi="Arial"/>
          <w:sz w:val="16"/>
          <w:szCs w:val="16"/>
          <w:color w:val="0063A6"/>
        </w:rPr>
      </w:pPr>
    </w:p>
    <w:p>
      <w:pPr>
        <w:ind w:left="284" w:right="20" w:hanging="284"/>
        <w:spacing w:after="0" w:line="253"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product donations to nonprofit organizations nominated by our employees; in 2020, Dropbox employees benefited over 1,500 organizations through either donations or volunteering.</w:t>
      </w:r>
    </w:p>
    <w:p>
      <w:pPr>
        <w:spacing w:after="0" w:line="147" w:lineRule="exact"/>
        <w:rPr>
          <w:rFonts w:ascii="Arial" w:cs="Arial" w:eastAsia="Arial" w:hAnsi="Arial"/>
          <w:sz w:val="16"/>
          <w:szCs w:val="16"/>
          <w:color w:val="0063A6"/>
        </w:rPr>
      </w:pPr>
    </w:p>
    <w:p>
      <w:pPr>
        <w:ind w:left="284" w:right="40" w:hanging="284"/>
        <w:spacing w:after="0" w:line="260"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In response to the COVID-19 pandemic we provided free access to paid versions of our products to K-12 educators and nonprofit and non-governmental organizations engaged in COVID-19 pandemic relief efforts.</w:t>
      </w:r>
    </w:p>
    <w:p>
      <w:pPr>
        <w:spacing w:after="0" w:line="141" w:lineRule="exact"/>
        <w:rPr>
          <w:rFonts w:ascii="Arial" w:cs="Arial" w:eastAsia="Arial" w:hAnsi="Arial"/>
          <w:sz w:val="16"/>
          <w:szCs w:val="16"/>
          <w:color w:val="0063A6"/>
        </w:rPr>
      </w:pPr>
    </w:p>
    <w:p>
      <w:pPr>
        <w:ind w:left="284" w:hanging="284"/>
        <w:spacing w:after="0" w:line="260"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In response to the spotlight on racial injustice in the United States in 2020, we donated over $1 million to organizations supporting racial justice via employee donations that were matched by us and our CEO.</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are committed to supporting educational programs in our communities:</w:t>
      </w:r>
    </w:p>
    <w:p>
      <w:pPr>
        <w:spacing w:after="0" w:line="167" w:lineRule="exact"/>
        <w:rPr>
          <w:rFonts w:ascii="Arial" w:cs="Arial" w:eastAsia="Arial" w:hAnsi="Arial"/>
          <w:sz w:val="16"/>
          <w:szCs w:val="16"/>
          <w:color w:val="0063A6"/>
        </w:rPr>
      </w:pPr>
    </w:p>
    <w:p>
      <w:pPr>
        <w:ind w:left="644" w:right="40" w:hanging="284"/>
        <w:spacing w:after="0" w:line="260" w:lineRule="auto"/>
        <w:tabs>
          <w:tab w:leader="none" w:pos="644" w:val="left"/>
        </w:tabs>
        <w:numPr>
          <w:ilvl w:val="1"/>
          <w:numId w:val="33"/>
        </w:numPr>
        <w:rPr>
          <w:rFonts w:ascii="Arial" w:cs="Arial" w:eastAsia="Arial" w:hAnsi="Arial"/>
          <w:sz w:val="16"/>
          <w:szCs w:val="16"/>
          <w:color w:val="0063A6"/>
        </w:rPr>
      </w:pPr>
      <w:r>
        <w:rPr>
          <w:rFonts w:ascii="Arial" w:cs="Arial" w:eastAsia="Arial" w:hAnsi="Arial"/>
          <w:sz w:val="16"/>
          <w:szCs w:val="16"/>
          <w:color w:val="auto"/>
        </w:rPr>
        <w:t>We partnered with San Francisco Education Fund’s “Circle the Schools” program to support public schools in San Francisco through employee volunteering and in-kind donations.</w:t>
      </w:r>
    </w:p>
    <w:p>
      <w:pPr>
        <w:spacing w:after="0" w:line="141" w:lineRule="exact"/>
        <w:rPr>
          <w:rFonts w:ascii="Arial" w:cs="Arial" w:eastAsia="Arial" w:hAnsi="Arial"/>
          <w:sz w:val="16"/>
          <w:szCs w:val="16"/>
          <w:color w:val="0063A6"/>
        </w:rPr>
      </w:pPr>
    </w:p>
    <w:p>
      <w:pPr>
        <w:ind w:left="644" w:right="480" w:hanging="284"/>
        <w:spacing w:after="0" w:line="260" w:lineRule="auto"/>
        <w:tabs>
          <w:tab w:leader="none" w:pos="644" w:val="left"/>
        </w:tabs>
        <w:numPr>
          <w:ilvl w:val="1"/>
          <w:numId w:val="33"/>
        </w:numPr>
        <w:rPr>
          <w:rFonts w:ascii="Arial" w:cs="Arial" w:eastAsia="Arial" w:hAnsi="Arial"/>
          <w:sz w:val="16"/>
          <w:szCs w:val="16"/>
          <w:color w:val="0063A6"/>
        </w:rPr>
      </w:pPr>
      <w:r>
        <w:rPr>
          <w:rFonts w:ascii="Arial" w:cs="Arial" w:eastAsia="Arial" w:hAnsi="Arial"/>
          <w:sz w:val="16"/>
          <w:szCs w:val="16"/>
          <w:color w:val="auto"/>
        </w:rPr>
        <w:t>Many of our employees, through our partnership with Code Nation, have volunteered to teach coding skills to students attending under-resourced schools in New York City and San Francisco.</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Environmental Sustainability</w:t>
      </w:r>
    </w:p>
    <w:p>
      <w:pPr>
        <w:spacing w:after="0" w:line="52" w:lineRule="exact"/>
        <w:rPr>
          <w:sz w:val="20"/>
          <w:szCs w:val="20"/>
          <w:color w:val="auto"/>
        </w:rPr>
      </w:pPr>
    </w:p>
    <w:p>
      <w:pPr>
        <w:ind w:left="284" w:hanging="284"/>
        <w:spacing w:after="0"/>
        <w:tabs>
          <w:tab w:leader="none" w:pos="284"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We have announced company-wide environmental sustainability goals that we plan to accomplish by 2030:</w:t>
      </w:r>
    </w:p>
    <w:p>
      <w:pPr>
        <w:spacing w:after="0" w:line="167" w:lineRule="exact"/>
        <w:rPr>
          <w:rFonts w:ascii="Arial" w:cs="Arial" w:eastAsia="Arial" w:hAnsi="Arial"/>
          <w:sz w:val="16"/>
          <w:szCs w:val="16"/>
          <w:color w:val="0063A6"/>
        </w:rPr>
      </w:pPr>
    </w:p>
    <w:p>
      <w:pPr>
        <w:ind w:left="644" w:hanging="284"/>
        <w:spacing w:after="0"/>
        <w:tabs>
          <w:tab w:leader="none" w:pos="644" w:val="left"/>
        </w:tabs>
        <w:numPr>
          <w:ilvl w:val="1"/>
          <w:numId w:val="34"/>
        </w:numPr>
        <w:rPr>
          <w:rFonts w:ascii="Arial" w:cs="Arial" w:eastAsia="Arial" w:hAnsi="Arial"/>
          <w:sz w:val="16"/>
          <w:szCs w:val="16"/>
          <w:color w:val="0063A6"/>
        </w:rPr>
      </w:pPr>
      <w:r>
        <w:rPr>
          <w:rFonts w:ascii="Arial" w:cs="Arial" w:eastAsia="Arial" w:hAnsi="Arial"/>
          <w:sz w:val="16"/>
          <w:szCs w:val="16"/>
          <w:color w:val="auto"/>
        </w:rPr>
        <w:t>Achieve carbon neutrality with respect to scope 1, scope 2 and scope 3 business travel emissions.</w:t>
      </w:r>
    </w:p>
    <w:p>
      <w:pPr>
        <w:spacing w:after="0" w:line="167" w:lineRule="exact"/>
        <w:rPr>
          <w:rFonts w:ascii="Arial" w:cs="Arial" w:eastAsia="Arial" w:hAnsi="Arial"/>
          <w:sz w:val="16"/>
          <w:szCs w:val="16"/>
          <w:color w:val="0063A6"/>
        </w:rPr>
      </w:pPr>
    </w:p>
    <w:p>
      <w:pPr>
        <w:ind w:left="644" w:hanging="284"/>
        <w:spacing w:after="0"/>
        <w:tabs>
          <w:tab w:leader="none" w:pos="644" w:val="left"/>
        </w:tabs>
        <w:numPr>
          <w:ilvl w:val="1"/>
          <w:numId w:val="34"/>
        </w:numPr>
        <w:rPr>
          <w:rFonts w:ascii="Arial" w:cs="Arial" w:eastAsia="Arial" w:hAnsi="Arial"/>
          <w:sz w:val="16"/>
          <w:szCs w:val="16"/>
          <w:color w:val="0063A6"/>
        </w:rPr>
      </w:pPr>
      <w:r>
        <w:rPr>
          <w:rFonts w:ascii="Arial" w:cs="Arial" w:eastAsia="Arial" w:hAnsi="Arial"/>
          <w:sz w:val="16"/>
          <w:szCs w:val="16"/>
          <w:color w:val="auto"/>
        </w:rPr>
        <w:t>Use 100% renewable energy for our operations, including our data centers.</w:t>
      </w:r>
    </w:p>
    <w:p>
      <w:pPr>
        <w:spacing w:after="0" w:line="206" w:lineRule="exact"/>
        <w:rPr>
          <w:sz w:val="20"/>
          <w:szCs w:val="20"/>
          <w:color w:val="auto"/>
        </w:rPr>
      </w:pPr>
    </w:p>
    <w:p>
      <w:pPr>
        <w:ind w:left="524" w:hanging="524"/>
        <w:spacing w:after="0"/>
        <w:tabs>
          <w:tab w:leader="none" w:pos="524"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2" w:name="page23"/>
    <w:bookmarkEnd w:id="2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35" w:lineRule="exact"/>
        <w:rPr>
          <w:sz w:val="20"/>
          <w:szCs w:val="20"/>
          <w:color w:val="auto"/>
        </w:rPr>
      </w:pPr>
    </w:p>
    <w:p>
      <w:pPr>
        <w:ind w:left="1000" w:right="1240" w:hanging="284"/>
        <w:spacing w:after="0" w:line="253" w:lineRule="auto"/>
        <w:tabs>
          <w:tab w:leader="none" w:pos="1000"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In addition, we are committed to supporting nonprofits focused on sustainability and climate change via the Foundation, empowering our employees to volunteer with organizations focused on environmental sustainability and supporting internal sustainability employee interest groups.</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Business Conduct and Ethics</w:t>
      </w:r>
    </w:p>
    <w:p>
      <w:pPr>
        <w:spacing w:after="0" w:line="66" w:lineRule="exact"/>
        <w:rPr>
          <w:sz w:val="20"/>
          <w:szCs w:val="20"/>
          <w:color w:val="auto"/>
        </w:rPr>
      </w:pPr>
    </w:p>
    <w:p>
      <w:pPr>
        <w:ind w:left="1000" w:right="740" w:hanging="284"/>
        <w:spacing w:after="0" w:line="260"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We have a Code of Business Conduct and Ethics (the “Code”) that is applicable to all our employees, directors and independent contractors, as well as written policies addressing insider trading, anti-corruption, financial controls and maintaining confidentiality.</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The Code and our internal policies are reviewed and updated as necessary on an annual basis.</w:t>
      </w:r>
    </w:p>
    <w:p>
      <w:pPr>
        <w:spacing w:after="0" w:line="167" w:lineRule="exact"/>
        <w:rPr>
          <w:rFonts w:ascii="Arial" w:cs="Arial" w:eastAsia="Arial" w:hAnsi="Arial"/>
          <w:sz w:val="16"/>
          <w:szCs w:val="16"/>
          <w:color w:val="0063A6"/>
        </w:rPr>
      </w:pPr>
    </w:p>
    <w:p>
      <w:pPr>
        <w:ind w:left="1000" w:right="760" w:hanging="284"/>
        <w:spacing w:after="0" w:line="260"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and related policies on an annual basis; additional trainings on select topics are provided to certain employees based on their roles.</w:t>
      </w:r>
    </w:p>
    <w:p>
      <w:pPr>
        <w:spacing w:after="0" w:line="141" w:lineRule="exact"/>
        <w:rPr>
          <w:rFonts w:ascii="Arial" w:cs="Arial" w:eastAsia="Arial" w:hAnsi="Arial"/>
          <w:sz w:val="16"/>
          <w:szCs w:val="16"/>
          <w:color w:val="0063A6"/>
        </w:rPr>
      </w:pPr>
    </w:p>
    <w:p>
      <w:pPr>
        <w:ind w:left="1000" w:right="1160" w:hanging="284"/>
        <w:spacing w:after="0" w:line="253"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our policies or applicable laws through our confidential whistleblower hotline; we do not tolerate any retaliation against employees who report potential violations in good faith or participate in investigations into such violations.</w:t>
      </w:r>
    </w:p>
    <w:p>
      <w:pPr>
        <w:spacing w:after="0" w:line="36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Director Compensation</w:t>
      </w:r>
    </w:p>
    <w:p>
      <w:pPr>
        <w:spacing w:after="0" w:line="169"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We have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initially adopted the director compensation policy in connection with our initial public offering, and we believe the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policy. Our director compensation policy follows the principles listed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740" w:type="dxa"/>
            <w:vAlign w:val="bottom"/>
            <w:tcBorders>
              <w:right w:val="single" w:sz="8" w:color="0063A6"/>
            </w:tcBorders>
          </w:tcPr>
          <w:p>
            <w:pPr>
              <w:spacing w:after="0"/>
              <w:rPr>
                <w:sz w:val="24"/>
                <w:szCs w:val="24"/>
                <w:color w:val="auto"/>
              </w:rPr>
            </w:pPr>
          </w:p>
        </w:tc>
        <w:tc>
          <w:tcPr>
            <w:tcW w:w="2100" w:type="dxa"/>
            <w:vAlign w:val="bottom"/>
            <w:tcBorders>
              <w:right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Principle</w:t>
            </w:r>
          </w:p>
        </w:tc>
        <w:tc>
          <w:tcPr>
            <w:tcW w:w="728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Description</w:t>
            </w:r>
          </w:p>
        </w:tc>
        <w:tc>
          <w:tcPr>
            <w:tcW w:w="160" w:type="dxa"/>
            <w:vAlign w:val="bottom"/>
            <w:tcBorders>
              <w:right w:val="single" w:sz="8" w:color="0063A6"/>
            </w:tcBorders>
            <w:shd w:val="clear" w:color="auto" w:fill="0063A6"/>
          </w:tcPr>
          <w:p>
            <w:pPr>
              <w:spacing w:after="0"/>
              <w:rPr>
                <w:sz w:val="24"/>
                <w:szCs w:val="24"/>
                <w:color w:val="auto"/>
              </w:rPr>
            </w:pPr>
          </w:p>
        </w:tc>
        <w:tc>
          <w:tcPr>
            <w:tcW w:w="740" w:type="dxa"/>
            <w:vAlign w:val="bottom"/>
          </w:tcPr>
          <w:p>
            <w:pPr>
              <w:spacing w:after="0"/>
              <w:rPr>
                <w:sz w:val="24"/>
                <w:szCs w:val="24"/>
                <w:color w:val="auto"/>
              </w:rPr>
            </w:pPr>
          </w:p>
        </w:tc>
      </w:tr>
      <w:tr>
        <w:trPr>
          <w:trHeight w:val="66"/>
        </w:trPr>
        <w:tc>
          <w:tcPr>
            <w:tcW w:w="740" w:type="dxa"/>
            <w:vAlign w:val="bottom"/>
            <w:tcBorders>
              <w:right w:val="single" w:sz="8" w:color="0063A6"/>
            </w:tcBorders>
          </w:tcPr>
          <w:p>
            <w:pPr>
              <w:spacing w:after="0"/>
              <w:rPr>
                <w:sz w:val="5"/>
                <w:szCs w:val="5"/>
                <w:color w:val="auto"/>
              </w:rPr>
            </w:pPr>
          </w:p>
        </w:tc>
        <w:tc>
          <w:tcPr>
            <w:tcW w:w="2100" w:type="dxa"/>
            <w:vAlign w:val="bottom"/>
            <w:tcBorders>
              <w:right w:val="single" w:sz="8" w:color="0063A6"/>
            </w:tcBorders>
            <w:shd w:val="clear" w:color="auto" w:fill="0063A6"/>
          </w:tcPr>
          <w:p>
            <w:pPr>
              <w:spacing w:after="0"/>
              <w:rPr>
                <w:sz w:val="5"/>
                <w:szCs w:val="5"/>
                <w:color w:val="auto"/>
              </w:rPr>
            </w:pPr>
          </w:p>
        </w:tc>
        <w:tc>
          <w:tcPr>
            <w:tcW w:w="7280" w:type="dxa"/>
            <w:vAlign w:val="bottom"/>
            <w:shd w:val="clear" w:color="auto" w:fill="0063A6"/>
          </w:tcPr>
          <w:p>
            <w:pPr>
              <w:spacing w:after="0"/>
              <w:rPr>
                <w:sz w:val="5"/>
                <w:szCs w:val="5"/>
                <w:color w:val="auto"/>
              </w:rPr>
            </w:pPr>
          </w:p>
        </w:tc>
        <w:tc>
          <w:tcPr>
            <w:tcW w:w="160" w:type="dxa"/>
            <w:vAlign w:val="bottom"/>
            <w:tcBorders>
              <w:right w:val="single" w:sz="8" w:color="0063A6"/>
            </w:tcBorders>
            <w:shd w:val="clear" w:color="auto" w:fill="0063A6"/>
          </w:tcPr>
          <w:p>
            <w:pPr>
              <w:spacing w:after="0"/>
              <w:rPr>
                <w:sz w:val="5"/>
                <w:szCs w:val="5"/>
                <w:color w:val="auto"/>
              </w:rPr>
            </w:pPr>
          </w:p>
        </w:tc>
        <w:tc>
          <w:tcPr>
            <w:tcW w:w="740" w:type="dxa"/>
            <w:vAlign w:val="bottom"/>
          </w:tcPr>
          <w:p>
            <w:pPr>
              <w:spacing w:after="0"/>
              <w:rPr>
                <w:sz w:val="5"/>
                <w:szCs w:val="5"/>
                <w:color w:val="auto"/>
              </w:rPr>
            </w:pPr>
          </w:p>
        </w:tc>
      </w:tr>
      <w:tr>
        <w:trPr>
          <w:trHeight w:val="258"/>
        </w:trPr>
        <w:tc>
          <w:tcPr>
            <w:tcW w:w="740" w:type="dxa"/>
            <w:vAlign w:val="bottom"/>
            <w:tcBorders>
              <w:right w:val="single" w:sz="8" w:color="0063A6"/>
            </w:tcBorders>
          </w:tcPr>
          <w:p>
            <w:pPr>
              <w:spacing w:after="0"/>
              <w:rPr>
                <w:sz w:val="22"/>
                <w:szCs w:val="22"/>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Pay Mix</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consists of a balance of cash and equity, with an emphasis on</w:t>
            </w:r>
          </w:p>
        </w:tc>
        <w:tc>
          <w:tcPr>
            <w:tcW w:w="160" w:type="dxa"/>
            <w:vAlign w:val="bottom"/>
            <w:tcBorders>
              <w:right w:val="single" w:sz="8" w:color="0063A6"/>
            </w:tcBorders>
          </w:tcPr>
          <w:p>
            <w:pPr>
              <w:spacing w:after="0"/>
              <w:rPr>
                <w:sz w:val="22"/>
                <w:szCs w:val="22"/>
                <w:color w:val="auto"/>
              </w:rPr>
            </w:pPr>
          </w:p>
        </w:tc>
        <w:tc>
          <w:tcPr>
            <w:tcW w:w="740" w:type="dxa"/>
            <w:vAlign w:val="bottom"/>
          </w:tcPr>
          <w:p>
            <w:pPr>
              <w:spacing w:after="0"/>
              <w:rPr>
                <w:sz w:val="22"/>
                <w:szCs w:val="22"/>
                <w:color w:val="auto"/>
              </w:rPr>
            </w:pPr>
          </w:p>
        </w:tc>
      </w:tr>
      <w:tr>
        <w:trPr>
          <w:trHeight w:val="195"/>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equity over cash, in order to better align the interests of our directors with that of our stockholders.</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60"/>
        </w:trPr>
        <w:tc>
          <w:tcPr>
            <w:tcW w:w="740" w:type="dxa"/>
            <w:vAlign w:val="bottom"/>
            <w:tcBorders>
              <w:right w:val="single" w:sz="8" w:color="0063A6"/>
            </w:tcBorders>
          </w:tcPr>
          <w:p>
            <w:pPr>
              <w:spacing w:after="0"/>
              <w:rPr>
                <w:sz w:val="5"/>
                <w:szCs w:val="5"/>
                <w:color w:val="auto"/>
              </w:rPr>
            </w:pPr>
          </w:p>
        </w:tc>
        <w:tc>
          <w:tcPr>
            <w:tcW w:w="2100" w:type="dxa"/>
            <w:vAlign w:val="bottom"/>
            <w:tcBorders>
              <w:bottom w:val="single" w:sz="8" w:color="0063A6"/>
              <w:right w:val="single" w:sz="8" w:color="0063A6"/>
            </w:tcBorders>
          </w:tcPr>
          <w:p>
            <w:pPr>
              <w:spacing w:after="0"/>
              <w:rPr>
                <w:sz w:val="5"/>
                <w:szCs w:val="5"/>
                <w:color w:val="auto"/>
              </w:rPr>
            </w:pPr>
          </w:p>
        </w:tc>
        <w:tc>
          <w:tcPr>
            <w:tcW w:w="7280" w:type="dxa"/>
            <w:vAlign w:val="bottom"/>
            <w:tcBorders>
              <w:bottom w:val="single" w:sz="8" w:color="0063A6"/>
            </w:tcBorders>
          </w:tcPr>
          <w:p>
            <w:pPr>
              <w:spacing w:after="0"/>
              <w:rPr>
                <w:sz w:val="5"/>
                <w:szCs w:val="5"/>
                <w:color w:val="auto"/>
              </w:rPr>
            </w:pPr>
          </w:p>
        </w:tc>
        <w:tc>
          <w:tcPr>
            <w:tcW w:w="160" w:type="dxa"/>
            <w:vAlign w:val="bottom"/>
            <w:tcBorders>
              <w:bottom w:val="single" w:sz="8" w:color="0063A6"/>
              <w:right w:val="single" w:sz="8" w:color="0063A6"/>
            </w:tcBorders>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740" w:type="dxa"/>
            <w:vAlign w:val="bottom"/>
            <w:tcBorders>
              <w:right w:val="single" w:sz="8" w:color="0063A6"/>
            </w:tcBorders>
          </w:tcPr>
          <w:p>
            <w:pPr>
              <w:spacing w:after="0"/>
              <w:rPr>
                <w:sz w:val="20"/>
                <w:szCs w:val="20"/>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Total Compensation</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includes a maximum annual limit of $1,200,000 of cash</w:t>
            </w:r>
          </w:p>
        </w:tc>
        <w:tc>
          <w:tcPr>
            <w:tcW w:w="160" w:type="dxa"/>
            <w:vAlign w:val="bottom"/>
            <w:tcBorders>
              <w:right w:val="single" w:sz="8" w:color="0063A6"/>
            </w:tcBorders>
          </w:tcPr>
          <w:p>
            <w:pPr>
              <w:spacing w:after="0"/>
              <w:rPr>
                <w:sz w:val="20"/>
                <w:szCs w:val="20"/>
                <w:color w:val="auto"/>
              </w:rPr>
            </w:pPr>
          </w:p>
        </w:tc>
        <w:tc>
          <w:tcPr>
            <w:tcW w:w="740" w:type="dxa"/>
            <w:vAlign w:val="bottom"/>
          </w:tcPr>
          <w:p>
            <w:pPr>
              <w:spacing w:after="0"/>
              <w:rPr>
                <w:sz w:val="20"/>
                <w:szCs w:val="20"/>
                <w:color w:val="auto"/>
              </w:rPr>
            </w:pPr>
          </w:p>
        </w:tc>
      </w:tr>
      <w:tr>
        <w:trPr>
          <w:trHeight w:val="209"/>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Limit</w:t>
            </w:r>
          </w:p>
        </w:tc>
        <w:tc>
          <w:tcPr>
            <w:tcW w:w="7280" w:type="dxa"/>
            <w:vAlign w:val="bottom"/>
          </w:tcPr>
          <w:p>
            <w:pPr>
              <w:ind w:left="100"/>
              <w:spacing w:after="0"/>
              <w:rPr>
                <w:sz w:val="20"/>
                <w:szCs w:val="20"/>
                <w:color w:val="auto"/>
              </w:rPr>
            </w:pPr>
            <w:r>
              <w:rPr>
                <w:rFonts w:ascii="Arial" w:cs="Arial" w:eastAsia="Arial" w:hAnsi="Arial"/>
                <w:sz w:val="16"/>
                <w:szCs w:val="16"/>
                <w:color w:val="auto"/>
              </w:rPr>
              <w:t>compensation and equity awards that may be paid, issued, or granted to a non-employee director in</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440" w:type="dxa"/>
            <w:vAlign w:val="bottom"/>
            <w:tcBorders>
              <w:right w:val="single" w:sz="8" w:color="0063A6"/>
            </w:tcBorders>
            <w:gridSpan w:val="2"/>
          </w:tcPr>
          <w:p>
            <w:pPr>
              <w:ind w:left="100"/>
              <w:spacing w:after="0"/>
              <w:rPr>
                <w:sz w:val="20"/>
                <w:szCs w:val="20"/>
                <w:color w:val="auto"/>
              </w:rPr>
            </w:pPr>
            <w:r>
              <w:rPr>
                <w:rFonts w:ascii="Arial" w:cs="Arial" w:eastAsia="Arial" w:hAnsi="Arial"/>
                <w:sz w:val="16"/>
                <w:szCs w:val="16"/>
                <w:color w:val="auto"/>
              </w:rPr>
              <w:t>any fiscal year. The maximum limit does not reflect the intended size of any potential compensation or</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equity awards to our non-employee directors. Any cash compensation paid or equity awards granted</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to a person for his or her services as an employee, or for his or her services as a consultant (other</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than as a non-employee director), will not count for purposes of the limitation. For purposes of this</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69"/>
        </w:trPr>
        <w:tc>
          <w:tcPr>
            <w:tcW w:w="740" w:type="dxa"/>
            <w:vAlign w:val="bottom"/>
            <w:tcBorders>
              <w:right w:val="single" w:sz="8" w:color="0063A6"/>
            </w:tcBorders>
          </w:tcPr>
          <w:p>
            <w:pPr>
              <w:spacing w:after="0"/>
              <w:rPr>
                <w:sz w:val="14"/>
                <w:szCs w:val="14"/>
                <w:color w:val="auto"/>
              </w:rPr>
            </w:pPr>
          </w:p>
        </w:tc>
        <w:tc>
          <w:tcPr>
            <w:tcW w:w="2100" w:type="dxa"/>
            <w:vAlign w:val="bottom"/>
            <w:tcBorders>
              <w:right w:val="single" w:sz="8" w:color="0063A6"/>
            </w:tcBorders>
          </w:tcPr>
          <w:p>
            <w:pPr>
              <w:spacing w:after="0"/>
              <w:rPr>
                <w:sz w:val="14"/>
                <w:szCs w:val="14"/>
                <w:color w:val="auto"/>
              </w:rPr>
            </w:pPr>
          </w:p>
        </w:tc>
        <w:tc>
          <w:tcPr>
            <w:tcW w:w="7280" w:type="dxa"/>
            <w:vAlign w:val="bottom"/>
          </w:tcPr>
          <w:p>
            <w:pPr>
              <w:ind w:left="100"/>
              <w:spacing w:after="0" w:line="169" w:lineRule="exact"/>
              <w:rPr>
                <w:sz w:val="20"/>
                <w:szCs w:val="20"/>
                <w:color w:val="auto"/>
              </w:rPr>
            </w:pPr>
            <w:r>
              <w:rPr>
                <w:rFonts w:ascii="Arial" w:cs="Arial" w:eastAsia="Arial" w:hAnsi="Arial"/>
                <w:sz w:val="16"/>
                <w:szCs w:val="16"/>
                <w:color w:val="auto"/>
              </w:rPr>
              <w:t>limitation, the value of equity awards is based on the grant date fair value (determined in accordance</w:t>
            </w:r>
          </w:p>
        </w:tc>
        <w:tc>
          <w:tcPr>
            <w:tcW w:w="160" w:type="dxa"/>
            <w:vAlign w:val="bottom"/>
            <w:tcBorders>
              <w:right w:val="single" w:sz="8" w:color="0063A6"/>
            </w:tcBorders>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60"/>
        </w:trPr>
        <w:tc>
          <w:tcPr>
            <w:tcW w:w="740" w:type="dxa"/>
            <w:vAlign w:val="bottom"/>
            <w:tcBorders>
              <w:right w:val="single" w:sz="8" w:color="0063A6"/>
            </w:tcBorders>
          </w:tcPr>
          <w:p>
            <w:pPr>
              <w:spacing w:after="0"/>
              <w:rPr>
                <w:sz w:val="5"/>
                <w:szCs w:val="5"/>
                <w:color w:val="auto"/>
              </w:rPr>
            </w:pPr>
          </w:p>
        </w:tc>
        <w:tc>
          <w:tcPr>
            <w:tcW w:w="2100" w:type="dxa"/>
            <w:vAlign w:val="bottom"/>
            <w:tcBorders>
              <w:bottom w:val="single" w:sz="8" w:color="0063A6"/>
              <w:right w:val="single" w:sz="8" w:color="0063A6"/>
            </w:tcBorders>
          </w:tcPr>
          <w:p>
            <w:pPr>
              <w:spacing w:after="0"/>
              <w:rPr>
                <w:sz w:val="5"/>
                <w:szCs w:val="5"/>
                <w:color w:val="auto"/>
              </w:rPr>
            </w:pPr>
          </w:p>
        </w:tc>
        <w:tc>
          <w:tcPr>
            <w:tcW w:w="7440" w:type="dxa"/>
            <w:vAlign w:val="bottom"/>
            <w:tcBorders>
              <w:bottom w:val="single" w:sz="8" w:color="0063A6"/>
              <w:right w:val="single" w:sz="8" w:color="0063A6"/>
            </w:tcBorders>
            <w:gridSpan w:val="2"/>
          </w:tcPr>
          <w:p>
            <w:pPr>
              <w:spacing w:after="0"/>
              <w:rPr>
                <w:sz w:val="5"/>
                <w:szCs w:val="5"/>
                <w:color w:val="auto"/>
              </w:rPr>
            </w:pPr>
          </w:p>
        </w:tc>
        <w:tc>
          <w:tcPr>
            <w:tcW w:w="740" w:type="dxa"/>
            <w:vAlign w:val="bottom"/>
          </w:tcPr>
          <w:p>
            <w:pPr>
              <w:spacing w:after="0"/>
              <w:rPr>
                <w:sz w:val="5"/>
                <w:szCs w:val="5"/>
                <w:color w:val="auto"/>
              </w:rPr>
            </w:pPr>
          </w:p>
        </w:tc>
      </w:tr>
      <w:tr>
        <w:trPr>
          <w:trHeight w:val="252"/>
        </w:trPr>
        <w:tc>
          <w:tcPr>
            <w:tcW w:w="740" w:type="dxa"/>
            <w:vAlign w:val="bottom"/>
            <w:tcBorders>
              <w:right w:val="single" w:sz="8" w:color="0063A6"/>
            </w:tcBorders>
          </w:tcPr>
          <w:p>
            <w:pPr>
              <w:spacing w:after="0"/>
              <w:rPr>
                <w:sz w:val="21"/>
                <w:szCs w:val="21"/>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Regular Review</w:t>
            </w:r>
          </w:p>
        </w:tc>
        <w:tc>
          <w:tcPr>
            <w:tcW w:w="7440" w:type="dxa"/>
            <w:vAlign w:val="bottom"/>
            <w:tcBorders>
              <w:right w:val="single" w:sz="8" w:color="0063A6"/>
            </w:tcBorders>
            <w:gridSpan w:val="2"/>
          </w:tcPr>
          <w:p>
            <w:pPr>
              <w:ind w:left="100"/>
              <w:spacing w:after="0"/>
              <w:rPr>
                <w:sz w:val="20"/>
                <w:szCs w:val="20"/>
                <w:color w:val="auto"/>
              </w:rPr>
            </w:pPr>
            <w:r>
              <w:rPr>
                <w:rFonts w:ascii="Arial" w:cs="Arial" w:eastAsia="Arial" w:hAnsi="Arial"/>
                <w:sz w:val="16"/>
                <w:szCs w:val="16"/>
                <w:color w:val="auto"/>
              </w:rPr>
              <w:t>With advice from Compensia, our compensation committee regularly reviews the amount and form of</w:t>
            </w:r>
          </w:p>
        </w:tc>
        <w:tc>
          <w:tcPr>
            <w:tcW w:w="740" w:type="dxa"/>
            <w:vAlign w:val="bottom"/>
          </w:tcPr>
          <w:p>
            <w:pPr>
              <w:spacing w:after="0"/>
              <w:rPr>
                <w:sz w:val="21"/>
                <w:szCs w:val="21"/>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director compensation to ensure consistency with prudent governance practices and comparability</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with our peer group.</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60"/>
        </w:trPr>
        <w:tc>
          <w:tcPr>
            <w:tcW w:w="740" w:type="dxa"/>
            <w:vAlign w:val="bottom"/>
            <w:tcBorders>
              <w:right w:val="single" w:sz="8" w:color="0063A6"/>
            </w:tcBorders>
          </w:tcPr>
          <w:p>
            <w:pPr>
              <w:spacing w:after="0"/>
              <w:rPr>
                <w:sz w:val="5"/>
                <w:szCs w:val="5"/>
                <w:color w:val="auto"/>
              </w:rPr>
            </w:pPr>
          </w:p>
        </w:tc>
        <w:tc>
          <w:tcPr>
            <w:tcW w:w="2100" w:type="dxa"/>
            <w:vAlign w:val="bottom"/>
            <w:tcBorders>
              <w:bottom w:val="single" w:sz="8" w:color="0063A6"/>
              <w:right w:val="single" w:sz="8" w:color="0063A6"/>
            </w:tcBorders>
          </w:tcPr>
          <w:p>
            <w:pPr>
              <w:spacing w:after="0"/>
              <w:rPr>
                <w:sz w:val="5"/>
                <w:szCs w:val="5"/>
                <w:color w:val="auto"/>
              </w:rPr>
            </w:pPr>
          </w:p>
        </w:tc>
        <w:tc>
          <w:tcPr>
            <w:tcW w:w="7280" w:type="dxa"/>
            <w:vAlign w:val="bottom"/>
            <w:tcBorders>
              <w:bottom w:val="single" w:sz="8" w:color="0063A6"/>
            </w:tcBorders>
          </w:tcPr>
          <w:p>
            <w:pPr>
              <w:spacing w:after="0"/>
              <w:rPr>
                <w:sz w:val="5"/>
                <w:szCs w:val="5"/>
                <w:color w:val="auto"/>
              </w:rPr>
            </w:pPr>
          </w:p>
        </w:tc>
        <w:tc>
          <w:tcPr>
            <w:tcW w:w="160" w:type="dxa"/>
            <w:vAlign w:val="bottom"/>
            <w:tcBorders>
              <w:bottom w:val="single" w:sz="8" w:color="0063A6"/>
              <w:right w:val="single" w:sz="8" w:color="0063A6"/>
            </w:tcBorders>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740" w:type="dxa"/>
            <w:vAlign w:val="bottom"/>
            <w:tcBorders>
              <w:right w:val="single" w:sz="8" w:color="0063A6"/>
            </w:tcBorders>
          </w:tcPr>
          <w:p>
            <w:pPr>
              <w:spacing w:after="0"/>
              <w:rPr>
                <w:sz w:val="20"/>
                <w:szCs w:val="20"/>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Board Leadership</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w:t>
            </w:r>
          </w:p>
        </w:tc>
        <w:tc>
          <w:tcPr>
            <w:tcW w:w="160" w:type="dxa"/>
            <w:vAlign w:val="bottom"/>
            <w:tcBorders>
              <w:right w:val="single" w:sz="8" w:color="0063A6"/>
            </w:tcBorders>
          </w:tcPr>
          <w:p>
            <w:pPr>
              <w:spacing w:after="0"/>
              <w:rPr>
                <w:sz w:val="20"/>
                <w:szCs w:val="20"/>
                <w:color w:val="auto"/>
              </w:rPr>
            </w:pPr>
          </w:p>
        </w:tc>
        <w:tc>
          <w:tcPr>
            <w:tcW w:w="740" w:type="dxa"/>
            <w:vAlign w:val="bottom"/>
          </w:tcPr>
          <w:p>
            <w:pPr>
              <w:spacing w:after="0"/>
              <w:rPr>
                <w:sz w:val="20"/>
                <w:szCs w:val="20"/>
                <w:color w:val="auto"/>
              </w:rPr>
            </w:pPr>
          </w:p>
        </w:tc>
      </w:tr>
      <w:tr>
        <w:trPr>
          <w:trHeight w:val="209"/>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Compensation</w:t>
            </w:r>
          </w:p>
        </w:tc>
        <w:tc>
          <w:tcPr>
            <w:tcW w:w="7280" w:type="dxa"/>
            <w:vAlign w:val="bottom"/>
          </w:tcPr>
          <w:p>
            <w:pPr>
              <w:ind w:left="100"/>
              <w:spacing w:after="0"/>
              <w:rPr>
                <w:sz w:val="20"/>
                <w:szCs w:val="20"/>
                <w:color w:val="auto"/>
              </w:rPr>
            </w:pPr>
            <w:r>
              <w:rPr>
                <w:rFonts w:ascii="Arial" w:cs="Arial" w:eastAsia="Arial" w:hAnsi="Arial"/>
                <w:sz w:val="16"/>
                <w:szCs w:val="16"/>
                <w:color w:val="auto"/>
              </w:rPr>
              <w:t>board of directors, including lead independent director and committee chair roles, to account for the</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195"/>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added time and effort associated with these positions.</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46"/>
        </w:trPr>
        <w:tc>
          <w:tcPr>
            <w:tcW w:w="740" w:type="dxa"/>
            <w:vAlign w:val="bottom"/>
            <w:tcBorders>
              <w:right w:val="single" w:sz="8" w:color="0063A6"/>
            </w:tcBorders>
          </w:tcPr>
          <w:p>
            <w:pPr>
              <w:spacing w:after="0"/>
              <w:rPr>
                <w:sz w:val="4"/>
                <w:szCs w:val="4"/>
                <w:color w:val="auto"/>
              </w:rPr>
            </w:pPr>
          </w:p>
        </w:tc>
        <w:tc>
          <w:tcPr>
            <w:tcW w:w="2100" w:type="dxa"/>
            <w:vAlign w:val="bottom"/>
            <w:tcBorders>
              <w:bottom w:val="single" w:sz="8" w:color="0063A6"/>
              <w:right w:val="single" w:sz="8" w:color="0063A6"/>
            </w:tcBorders>
          </w:tcPr>
          <w:p>
            <w:pPr>
              <w:spacing w:after="0"/>
              <w:rPr>
                <w:sz w:val="4"/>
                <w:szCs w:val="4"/>
                <w:color w:val="auto"/>
              </w:rPr>
            </w:pPr>
          </w:p>
        </w:tc>
        <w:tc>
          <w:tcPr>
            <w:tcW w:w="7280" w:type="dxa"/>
            <w:vAlign w:val="bottom"/>
            <w:tcBorders>
              <w:bottom w:val="single" w:sz="8" w:color="0063A6"/>
            </w:tcBorders>
          </w:tcPr>
          <w:p>
            <w:pPr>
              <w:spacing w:after="0"/>
              <w:rPr>
                <w:sz w:val="4"/>
                <w:szCs w:val="4"/>
                <w:color w:val="auto"/>
              </w:rPr>
            </w:pPr>
          </w:p>
        </w:tc>
        <w:tc>
          <w:tcPr>
            <w:tcW w:w="160" w:type="dxa"/>
            <w:vAlign w:val="bottom"/>
            <w:tcBorders>
              <w:bottom w:val="single" w:sz="8" w:color="0063A6"/>
              <w:right w:val="single" w:sz="8" w:color="0063A6"/>
            </w:tcBorders>
          </w:tcPr>
          <w:p>
            <w:pPr>
              <w:spacing w:after="0"/>
              <w:rPr>
                <w:sz w:val="4"/>
                <w:szCs w:val="4"/>
                <w:color w:val="auto"/>
              </w:rPr>
            </w:pPr>
          </w:p>
        </w:tc>
        <w:tc>
          <w:tcPr>
            <w:tcW w:w="740" w:type="dxa"/>
            <w:vAlign w:val="bottom"/>
          </w:tcPr>
          <w:p>
            <w:pPr>
              <w:spacing w:after="0"/>
              <w:rPr>
                <w:sz w:val="4"/>
                <w:szCs w:val="4"/>
                <w:color w:val="auto"/>
              </w:rPr>
            </w:pPr>
          </w:p>
        </w:tc>
      </w:tr>
      <w:tr>
        <w:trPr>
          <w:trHeight w:val="387"/>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80" w:type="dxa"/>
            <w:vAlign w:val="bottom"/>
          </w:tcPr>
          <w:p>
            <w:pPr>
              <w:ind w:left="15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9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19</w:t>
            </w:r>
          </w:p>
        </w:tc>
      </w:tr>
      <w:tr>
        <w:trPr>
          <w:trHeight w:val="167"/>
        </w:trPr>
        <w:tc>
          <w:tcPr>
            <w:tcW w:w="7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7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3" w:name="page24"/>
    <w:bookmarkEnd w:id="2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Components of Compensation</w:t>
      </w:r>
    </w:p>
    <w:p>
      <w:pPr>
        <w:spacing w:after="0" w:line="52"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64" w:lineRule="exact"/>
        <w:rPr>
          <w:sz w:val="20"/>
          <w:szCs w:val="20"/>
          <w:color w:val="auto"/>
        </w:rPr>
      </w:pPr>
    </w:p>
    <w:tbl>
      <w:tblPr>
        <w:tblLayout w:type="fixed"/>
        <w:tblInd w:w="14" w:type="dxa"/>
        <w:tblCellMar>
          <w:top w:w="0" w:type="dxa"/>
          <w:left w:w="0" w:type="dxa"/>
          <w:bottom w:w="0" w:type="dxa"/>
          <w:right w:w="0" w:type="dxa"/>
        </w:tblCellMar>
      </w:tblPr>
      <w:tr>
        <w:trPr>
          <w:trHeight w:val="298"/>
        </w:trPr>
        <w:tc>
          <w:tcPr>
            <w:tcW w:w="2360" w:type="dxa"/>
            <w:vAlign w:val="bottom"/>
            <w:tcBorders>
              <w:left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100" w:type="dxa"/>
            <w:vAlign w:val="bottom"/>
            <w:shd w:val="clear" w:color="auto" w:fill="0063A6"/>
          </w:tcPr>
          <w:p>
            <w:pPr>
              <w:spacing w:after="0"/>
              <w:rPr>
                <w:sz w:val="24"/>
                <w:szCs w:val="24"/>
                <w:color w:val="auto"/>
              </w:rPr>
            </w:pPr>
          </w:p>
        </w:tc>
        <w:tc>
          <w:tcPr>
            <w:tcW w:w="7100" w:type="dxa"/>
            <w:vAlign w:val="bottom"/>
            <w:tcBorders>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r>
      <w:tr>
        <w:trPr>
          <w:trHeight w:val="66"/>
        </w:trPr>
        <w:tc>
          <w:tcPr>
            <w:tcW w:w="2360" w:type="dxa"/>
            <w:vAlign w:val="bottom"/>
            <w:tcBorders>
              <w:left w:val="single" w:sz="8" w:color="0063A6"/>
              <w:right w:val="single" w:sz="8" w:color="0063A6"/>
            </w:tcBorders>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20" w:type="dxa"/>
            <w:vAlign w:val="bottom"/>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5800" w:type="dxa"/>
            <w:vAlign w:val="bottom"/>
            <w:tcBorders>
              <w:right w:val="single" w:sz="8" w:color="0063A6"/>
            </w:tcBorders>
            <w:shd w:val="clear" w:color="auto" w:fill="0063A6"/>
          </w:tcPr>
          <w:p>
            <w:pPr>
              <w:spacing w:after="0"/>
              <w:rPr>
                <w:sz w:val="5"/>
                <w:szCs w:val="5"/>
                <w:color w:val="auto"/>
              </w:rPr>
            </w:pPr>
          </w:p>
        </w:tc>
      </w:tr>
      <w:tr>
        <w:trPr>
          <w:trHeight w:val="329"/>
        </w:trPr>
        <w:tc>
          <w:tcPr>
            <w:tcW w:w="2360" w:type="dxa"/>
            <w:vAlign w:val="bottom"/>
            <w:tcBorders>
              <w:left w:val="single" w:sz="8" w:color="0063A6"/>
              <w:bottom w:val="single" w:sz="8" w:color="E5EFFD"/>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Cash Compensation</w:t>
            </w: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800" w:type="dxa"/>
            <w:vAlign w:val="bottom"/>
            <w:tcBorders>
              <w:bottom w:val="single" w:sz="8" w:color="E5EFFD"/>
              <w:right w:val="single" w:sz="8" w:color="0063A6"/>
            </w:tcBorders>
            <w:shd w:val="clear" w:color="auto" w:fill="E5EFFD"/>
          </w:tcPr>
          <w:p>
            <w:pPr>
              <w:spacing w:after="0"/>
              <w:rPr>
                <w:sz w:val="24"/>
                <w:szCs w:val="24"/>
                <w:color w:val="auto"/>
              </w:rPr>
            </w:pPr>
          </w:p>
        </w:tc>
      </w:tr>
      <w:tr>
        <w:trPr>
          <w:trHeight w:val="258"/>
        </w:trPr>
        <w:tc>
          <w:tcPr>
            <w:tcW w:w="2360" w:type="dxa"/>
            <w:vAlign w:val="bottom"/>
            <w:tcBorders>
              <w:top w:val="single" w:sz="8" w:color="0063A6"/>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Cash Retainer</w:t>
            </w:r>
          </w:p>
        </w:tc>
        <w:tc>
          <w:tcPr>
            <w:tcW w:w="100" w:type="dxa"/>
            <w:vAlign w:val="bottom"/>
            <w:tcBorders>
              <w:top w:val="single" w:sz="8" w:color="0063A6"/>
            </w:tcBorders>
          </w:tcPr>
          <w:p>
            <w:pPr>
              <w:spacing w:after="0"/>
              <w:rPr>
                <w:sz w:val="22"/>
                <w:szCs w:val="22"/>
                <w:color w:val="auto"/>
              </w:rPr>
            </w:pPr>
          </w:p>
        </w:tc>
        <w:tc>
          <w:tcPr>
            <w:tcW w:w="7100" w:type="dxa"/>
            <w:vAlign w:val="bottom"/>
            <w:tcBorders>
              <w:top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$50,000, paid quarterly in arrears on a prorated basis.</w:t>
            </w:r>
          </w:p>
        </w:tc>
      </w:tr>
      <w:tr>
        <w:trPr>
          <w:trHeight w:val="60"/>
        </w:trPr>
        <w:tc>
          <w:tcPr>
            <w:tcW w:w="2360" w:type="dxa"/>
            <w:vAlign w:val="bottom"/>
            <w:tcBorders>
              <w:left w:val="single" w:sz="8" w:color="0063A6"/>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800" w:type="dxa"/>
            <w:vAlign w:val="bottom"/>
            <w:tcBorders>
              <w:bottom w:val="single" w:sz="8" w:color="0063A6"/>
              <w:right w:val="single" w:sz="8" w:color="0063A6"/>
            </w:tcBorders>
          </w:tcPr>
          <w:p>
            <w:pPr>
              <w:spacing w:after="0"/>
              <w:rPr>
                <w:sz w:val="5"/>
                <w:szCs w:val="5"/>
                <w:color w:val="auto"/>
              </w:rPr>
            </w:pPr>
          </w:p>
        </w:tc>
      </w:tr>
      <w:tr>
        <w:trPr>
          <w:trHeight w:val="232"/>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Committee and Board</w:t>
            </w:r>
          </w:p>
        </w:tc>
        <w:tc>
          <w:tcPr>
            <w:tcW w:w="100" w:type="dxa"/>
            <w:vAlign w:val="bottom"/>
          </w:tcPr>
          <w:p>
            <w:pPr>
              <w:spacing w:after="0"/>
              <w:rPr>
                <w:sz w:val="20"/>
                <w:szCs w:val="20"/>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Under the policy in fiscal 2020, each non-employee director was entitled to receive the following</w:t>
            </w:r>
          </w:p>
        </w:tc>
      </w:tr>
      <w:tr>
        <w:trPr>
          <w:trHeight w:val="215"/>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Leadership Compensation</w:t>
            </w: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cash compensation for their additional services:</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$35,000 per year for service as a lead independent director;</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$30,000 per year for service as chair of the audit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$12,500 per year for service as a member of the audit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$20,000 per year for service as chair of the compensation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$10,000 per year for service as a member of the compensation committee;</w:t>
            </w:r>
          </w:p>
        </w:tc>
      </w:tr>
      <w:tr>
        <w:trPr>
          <w:trHeight w:val="37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$15,000 per year for service as chair of the nominating and corporate governance committee;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ind w:left="240"/>
              <w:spacing w:after="0"/>
              <w:rPr>
                <w:sz w:val="20"/>
                <w:szCs w:val="20"/>
                <w:color w:val="auto"/>
              </w:rPr>
            </w:pPr>
            <w:r>
              <w:rPr>
                <w:rFonts w:ascii="Arial" w:cs="Arial" w:eastAsia="Arial" w:hAnsi="Arial"/>
                <w:sz w:val="16"/>
                <w:szCs w:val="16"/>
                <w:color w:val="auto"/>
              </w:rPr>
              <w:t>and</w:t>
            </w:r>
          </w:p>
        </w:tc>
      </w:tr>
      <w:tr>
        <w:trPr>
          <w:trHeight w:val="37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$5,000 per year for service as a member of the nominating and corporate governance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ind w:left="240"/>
              <w:spacing w:after="0"/>
              <w:rPr>
                <w:sz w:val="20"/>
                <w:szCs w:val="20"/>
                <w:color w:val="auto"/>
              </w:rPr>
            </w:pPr>
            <w:r>
              <w:rPr>
                <w:rFonts w:ascii="Arial" w:cs="Arial" w:eastAsia="Arial" w:hAnsi="Arial"/>
                <w:sz w:val="16"/>
                <w:szCs w:val="16"/>
                <w:color w:val="auto"/>
              </w:rPr>
              <w:t>committee.</w:t>
            </w:r>
          </w:p>
        </w:tc>
      </w:tr>
      <w:tr>
        <w:trPr>
          <w:trHeight w:val="37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Directors who serve as the chair of a committee will receive only the annual fee as the chair of the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committee and not any additional fees for serving as a member of that committee.</w:t>
            </w:r>
          </w:p>
        </w:tc>
      </w:tr>
      <w:tr>
        <w:trPr>
          <w:trHeight w:val="60"/>
        </w:trPr>
        <w:tc>
          <w:tcPr>
            <w:tcW w:w="2360" w:type="dxa"/>
            <w:vAlign w:val="bottom"/>
            <w:tcBorders>
              <w:left w:val="single" w:sz="8" w:color="0063A6"/>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800" w:type="dxa"/>
            <w:vAlign w:val="bottom"/>
            <w:tcBorders>
              <w:bottom w:val="single" w:sz="8" w:color="0063A6"/>
              <w:right w:val="single" w:sz="8" w:color="0063A6"/>
            </w:tcBorders>
          </w:tcPr>
          <w:p>
            <w:pPr>
              <w:spacing w:after="0"/>
              <w:rPr>
                <w:sz w:val="5"/>
                <w:szCs w:val="5"/>
                <w:color w:val="auto"/>
              </w:rPr>
            </w:pPr>
          </w:p>
        </w:tc>
      </w:tr>
      <w:tr>
        <w:trPr>
          <w:trHeight w:val="323"/>
        </w:trPr>
        <w:tc>
          <w:tcPr>
            <w:tcW w:w="2360" w:type="dxa"/>
            <w:vAlign w:val="bottom"/>
            <w:tcBorders>
              <w:left w:val="single" w:sz="8" w:color="0063A6"/>
              <w:bottom w:val="single" w:sz="8" w:color="E5EFFD"/>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Equity Compensation</w:t>
            </w: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800" w:type="dxa"/>
            <w:vAlign w:val="bottom"/>
            <w:tcBorders>
              <w:bottom w:val="single" w:sz="8" w:color="E5EFFD"/>
              <w:right w:val="single" w:sz="8" w:color="0063A6"/>
            </w:tcBorders>
            <w:shd w:val="clear" w:color="auto" w:fill="E5EFFD"/>
          </w:tcPr>
          <w:p>
            <w:pPr>
              <w:spacing w:after="0"/>
              <w:rPr>
                <w:sz w:val="24"/>
                <w:szCs w:val="24"/>
                <w:color w:val="auto"/>
              </w:rPr>
            </w:pPr>
          </w:p>
        </w:tc>
      </w:tr>
      <w:tr>
        <w:trPr>
          <w:trHeight w:val="252"/>
        </w:trPr>
        <w:tc>
          <w:tcPr>
            <w:tcW w:w="2360" w:type="dxa"/>
            <w:vAlign w:val="bottom"/>
            <w:tcBorders>
              <w:top w:val="single" w:sz="8" w:color="0063A6"/>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Initial Award</w:t>
            </w:r>
          </w:p>
        </w:tc>
        <w:tc>
          <w:tcPr>
            <w:tcW w:w="100" w:type="dxa"/>
            <w:vAlign w:val="bottom"/>
            <w:tcBorders>
              <w:top w:val="single" w:sz="8" w:color="0063A6"/>
            </w:tcBorders>
          </w:tcPr>
          <w:p>
            <w:pPr>
              <w:spacing w:after="0"/>
              <w:rPr>
                <w:sz w:val="21"/>
                <w:szCs w:val="21"/>
                <w:color w:val="auto"/>
              </w:rPr>
            </w:pPr>
          </w:p>
        </w:tc>
        <w:tc>
          <w:tcPr>
            <w:tcW w:w="7100" w:type="dxa"/>
            <w:vAlign w:val="bottom"/>
            <w:tcBorders>
              <w:top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or after</w:t>
            </w:r>
          </w:p>
        </w:tc>
      </w:tr>
      <w:tr>
        <w:trPr>
          <w:trHeight w:val="169"/>
        </w:trPr>
        <w:tc>
          <w:tcPr>
            <w:tcW w:w="2360" w:type="dxa"/>
            <w:vAlign w:val="bottom"/>
            <w:tcBorders>
              <w:left w:val="single" w:sz="8" w:color="0063A6"/>
              <w:right w:val="single" w:sz="8" w:color="0063A6"/>
            </w:tcBorders>
          </w:tcPr>
          <w:p>
            <w:pPr>
              <w:spacing w:after="0"/>
              <w:rPr>
                <w:sz w:val="14"/>
                <w:szCs w:val="14"/>
                <w:color w:val="auto"/>
              </w:rPr>
            </w:pPr>
          </w:p>
        </w:tc>
        <w:tc>
          <w:tcPr>
            <w:tcW w:w="100" w:type="dxa"/>
            <w:vAlign w:val="bottom"/>
          </w:tcPr>
          <w:p>
            <w:pPr>
              <w:spacing w:after="0"/>
              <w:rPr>
                <w:sz w:val="14"/>
                <w:szCs w:val="14"/>
                <w:color w:val="auto"/>
              </w:rPr>
            </w:pPr>
          </w:p>
        </w:tc>
        <w:tc>
          <w:tcPr>
            <w:tcW w:w="7100" w:type="dxa"/>
            <w:vAlign w:val="bottom"/>
            <w:tcBorders>
              <w:right w:val="single" w:sz="8" w:color="0063A6"/>
            </w:tcBorders>
            <w:gridSpan w:val="3"/>
          </w:tcPr>
          <w:p>
            <w:pPr>
              <w:spacing w:after="0" w:line="169" w:lineRule="exact"/>
              <w:rPr>
                <w:sz w:val="20"/>
                <w:szCs w:val="20"/>
                <w:color w:val="auto"/>
              </w:rPr>
            </w:pPr>
            <w:r>
              <w:rPr>
                <w:rFonts w:ascii="Arial" w:cs="Arial" w:eastAsia="Arial" w:hAnsi="Arial"/>
                <w:sz w:val="16"/>
                <w:szCs w:val="16"/>
                <w:color w:val="auto"/>
              </w:rPr>
              <w:t>the date on which the person first becomes a non-employee director, an initial award of restricted</w:t>
            </w:r>
          </w:p>
        </w:tc>
      </w:tr>
      <w:tr>
        <w:trPr>
          <w:trHeight w:val="209"/>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or the Initial Award. An employee director who becomes a non-employee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 due to termination of employment will not entitle such director to an Initial Award.</w:t>
            </w:r>
          </w:p>
        </w:tc>
      </w:tr>
      <w:tr>
        <w:trPr>
          <w:trHeight w:val="344"/>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r>
      <w:tr>
        <w:trPr>
          <w:trHeight w:val="20"/>
        </w:trPr>
        <w:tc>
          <w:tcPr>
            <w:tcW w:w="2360" w:type="dxa"/>
            <w:vAlign w:val="bottom"/>
            <w:tcBorders>
              <w:left w:val="single" w:sz="8" w:color="0063A6"/>
              <w:right w:val="single" w:sz="8" w:color="0063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0" w:type="dxa"/>
            <w:vAlign w:val="bottom"/>
            <w:tcBorders>
              <w:right w:val="single" w:sz="8" w:color="0063A6"/>
            </w:tcBorders>
          </w:tcPr>
          <w:p>
            <w:pPr>
              <w:spacing w:after="0" w:line="20" w:lineRule="exact"/>
              <w:rPr>
                <w:sz w:val="1"/>
                <w:szCs w:val="1"/>
                <w:color w:val="auto"/>
              </w:rPr>
            </w:pPr>
          </w:p>
        </w:tc>
      </w:tr>
      <w:tr>
        <w:trPr>
          <w:trHeight w:val="387"/>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value (determined in accordance with GAAP) equal to $250,000 multiplied by the fraction obtained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by dividing (a) the number of full months during the period beginning on the date the person first</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becomes a non-employee director and ending on the one-year anniversary of the date of the then-</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most recent annual meeting of the company’s stockholders, or the Initial Award Vesting Period by</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 12, rounded to the nearest whole share.</w:t>
            </w:r>
          </w:p>
        </w:tc>
      </w:tr>
      <w:tr>
        <w:trPr>
          <w:trHeight w:val="344"/>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9"/>
              </w:rPr>
              <w:t>Vesting of Award</w:t>
            </w:r>
          </w:p>
        </w:tc>
        <w:tc>
          <w:tcPr>
            <w:tcW w:w="5880" w:type="dxa"/>
            <w:vAlign w:val="bottom"/>
            <w:tcBorders>
              <w:right w:val="single" w:sz="8" w:color="0063A6"/>
            </w:tcBorders>
            <w:gridSpan w:val="2"/>
          </w:tcPr>
          <w:p>
            <w:pPr>
              <w:spacing w:after="0"/>
              <w:rPr>
                <w:sz w:val="24"/>
                <w:szCs w:val="24"/>
                <w:color w:val="auto"/>
              </w:rPr>
            </w:pPr>
          </w:p>
        </w:tc>
      </w:tr>
      <w:tr>
        <w:trPr>
          <w:trHeight w:val="387"/>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before the annual meeting of our stockholders that follows the grant date of the Initial Award,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subject to the non-employee director continuing to provide services to us through the applicable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vesting date.</w:t>
            </w:r>
          </w:p>
        </w:tc>
      </w:tr>
      <w:tr>
        <w:trPr>
          <w:trHeight w:val="46"/>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bl>
    <w:p>
      <w:pPr>
        <w:spacing w:after="0" w:line="203" w:lineRule="exact"/>
        <w:rPr>
          <w:sz w:val="20"/>
          <w:szCs w:val="20"/>
          <w:color w:val="auto"/>
        </w:rPr>
      </w:pPr>
    </w:p>
    <w:p>
      <w:pPr>
        <w:ind w:left="524" w:hanging="524"/>
        <w:spacing w:after="0"/>
        <w:tabs>
          <w:tab w:leader="none" w:pos="524"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4" w:name="page25"/>
    <w:bookmarkEnd w:id="2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200" w:lineRule="exact"/>
        <w:rPr>
          <w:sz w:val="20"/>
          <w:szCs w:val="20"/>
          <w:color w:val="auto"/>
        </w:rPr>
      </w:pPr>
    </w:p>
    <w:p>
      <w:pPr>
        <w:spacing w:after="0" w:line="241" w:lineRule="exact"/>
        <w:rPr>
          <w:sz w:val="20"/>
          <w:szCs w:val="20"/>
          <w:color w:val="auto"/>
        </w:rPr>
      </w:pPr>
    </w:p>
    <w:tbl>
      <w:tblPr>
        <w:tblLayout w:type="fixed"/>
        <w:tblInd w:w="730" w:type="dxa"/>
        <w:tblCellMar>
          <w:top w:w="0" w:type="dxa"/>
          <w:left w:w="0" w:type="dxa"/>
          <w:bottom w:w="0" w:type="dxa"/>
          <w:right w:w="0" w:type="dxa"/>
        </w:tblCellMar>
      </w:tblPr>
      <w:tr>
        <w:trPr>
          <w:trHeight w:val="298"/>
        </w:trPr>
        <w:tc>
          <w:tcPr>
            <w:tcW w:w="2360" w:type="dxa"/>
            <w:vAlign w:val="bottom"/>
            <w:tcBorders>
              <w:left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100" w:type="dxa"/>
            <w:vAlign w:val="bottom"/>
            <w:shd w:val="clear" w:color="auto" w:fill="0063A6"/>
          </w:tcPr>
          <w:p>
            <w:pPr>
              <w:spacing w:after="0"/>
              <w:rPr>
                <w:sz w:val="24"/>
                <w:szCs w:val="24"/>
                <w:color w:val="auto"/>
              </w:rPr>
            </w:pPr>
          </w:p>
        </w:tc>
        <w:tc>
          <w:tcPr>
            <w:tcW w:w="7100" w:type="dxa"/>
            <w:vAlign w:val="bottom"/>
            <w:tcBorders>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r>
      <w:tr>
        <w:trPr>
          <w:trHeight w:val="66"/>
        </w:trPr>
        <w:tc>
          <w:tcPr>
            <w:tcW w:w="2360" w:type="dxa"/>
            <w:vAlign w:val="bottom"/>
            <w:tcBorders>
              <w:left w:val="single" w:sz="8" w:color="0063A6"/>
              <w:right w:val="single" w:sz="8" w:color="0063A6"/>
            </w:tcBorders>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20" w:type="dxa"/>
            <w:vAlign w:val="bottom"/>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5800" w:type="dxa"/>
            <w:vAlign w:val="bottom"/>
            <w:tcBorders>
              <w:right w:val="single" w:sz="8" w:color="0063A6"/>
            </w:tcBorders>
            <w:shd w:val="clear" w:color="auto" w:fill="0063A6"/>
          </w:tcPr>
          <w:p>
            <w:pPr>
              <w:spacing w:after="0"/>
              <w:rPr>
                <w:sz w:val="5"/>
                <w:szCs w:val="5"/>
                <w:color w:val="auto"/>
              </w:rPr>
            </w:pPr>
          </w:p>
        </w:tc>
      </w:tr>
      <w:tr>
        <w:trPr>
          <w:trHeight w:val="258"/>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100" w:type="dxa"/>
            <w:vAlign w:val="bottom"/>
          </w:tcPr>
          <w:p>
            <w:pPr>
              <w:spacing w:after="0"/>
              <w:rPr>
                <w:sz w:val="22"/>
                <w:szCs w:val="22"/>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stockholders following the effective date of the policy, an annual award of RSUs, each of which we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refer to as an Annual Award.</w:t>
            </w:r>
          </w:p>
        </w:tc>
      </w:tr>
      <w:tr>
        <w:trPr>
          <w:trHeight w:val="343"/>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r>
      <w:tr>
        <w:trPr>
          <w:trHeight w:val="20"/>
        </w:trPr>
        <w:tc>
          <w:tcPr>
            <w:tcW w:w="2360" w:type="dxa"/>
            <w:vAlign w:val="bottom"/>
            <w:tcBorders>
              <w:left w:val="single" w:sz="8" w:color="0063A6"/>
              <w:right w:val="single" w:sz="8" w:color="0063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0" w:type="dxa"/>
            <w:vAlign w:val="bottom"/>
            <w:tcBorders>
              <w:right w:val="single" w:sz="8" w:color="0063A6"/>
            </w:tcBorders>
          </w:tcPr>
          <w:p>
            <w:pPr>
              <w:spacing w:after="0" w:line="20" w:lineRule="exact"/>
              <w:rPr>
                <w:sz w:val="1"/>
                <w:szCs w:val="1"/>
                <w:color w:val="auto"/>
              </w:rPr>
            </w:pPr>
          </w:p>
        </w:tc>
      </w:tr>
      <w:tr>
        <w:trPr>
          <w:trHeight w:val="387"/>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fair value (determined in accordance with GAAP) of $250,000, rounded to the nearest whole</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share.</w:t>
            </w:r>
          </w:p>
        </w:tc>
      </w:tr>
      <w:tr>
        <w:trPr>
          <w:trHeight w:val="343"/>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9"/>
              </w:rPr>
              <w:t>Vesting of Award</w:t>
            </w:r>
          </w:p>
        </w:tc>
        <w:tc>
          <w:tcPr>
            <w:tcW w:w="5880" w:type="dxa"/>
            <w:vAlign w:val="bottom"/>
            <w:tcBorders>
              <w:right w:val="single" w:sz="8" w:color="0063A6"/>
            </w:tcBorders>
            <w:gridSpan w:val="2"/>
          </w:tcPr>
          <w:p>
            <w:pPr>
              <w:spacing w:after="0"/>
              <w:rPr>
                <w:sz w:val="24"/>
                <w:szCs w:val="24"/>
                <w:color w:val="auto"/>
              </w:rPr>
            </w:pPr>
          </w:p>
        </w:tc>
      </w:tr>
      <w:tr>
        <w:trPr>
          <w:trHeight w:val="387"/>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if earlier, the day before our annual meeting of stockholders that follows the grant date of the</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Annual Award, subject to the non-employee director continuing to provide services to us through</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applicable vesting date.</w:t>
            </w:r>
          </w:p>
        </w:tc>
      </w:tr>
      <w:tr>
        <w:trPr>
          <w:trHeight w:val="60"/>
        </w:trPr>
        <w:tc>
          <w:tcPr>
            <w:tcW w:w="2360" w:type="dxa"/>
            <w:vAlign w:val="bottom"/>
            <w:tcBorders>
              <w:left w:val="single" w:sz="8" w:color="0063A6"/>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800" w:type="dxa"/>
            <w:vAlign w:val="bottom"/>
            <w:tcBorders>
              <w:bottom w:val="single" w:sz="8" w:color="0063A6"/>
              <w:right w:val="single" w:sz="8" w:color="0063A6"/>
            </w:tcBorders>
          </w:tcPr>
          <w:p>
            <w:pPr>
              <w:spacing w:after="0"/>
              <w:rPr>
                <w:sz w:val="5"/>
                <w:szCs w:val="5"/>
                <w:color w:val="auto"/>
              </w:rPr>
            </w:pPr>
          </w:p>
        </w:tc>
      </w:tr>
      <w:tr>
        <w:trPr>
          <w:trHeight w:val="252"/>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100" w:type="dxa"/>
            <w:vAlign w:val="bottom"/>
          </w:tcPr>
          <w:p>
            <w:pPr>
              <w:spacing w:after="0"/>
              <w:rPr>
                <w:sz w:val="21"/>
                <w:szCs w:val="21"/>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or Annual Award that would otherwise be delivered to such non-employee director on or following</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date such award vests pursuant to the terms of a deferral election such non-employee director</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makes in accordance with the policy.</w:t>
            </w:r>
          </w:p>
        </w:tc>
      </w:tr>
      <w:tr>
        <w:trPr>
          <w:trHeight w:val="60"/>
        </w:trPr>
        <w:tc>
          <w:tcPr>
            <w:tcW w:w="2360" w:type="dxa"/>
            <w:vAlign w:val="bottom"/>
            <w:tcBorders>
              <w:left w:val="single" w:sz="8" w:color="0063A6"/>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800" w:type="dxa"/>
            <w:vAlign w:val="bottom"/>
            <w:tcBorders>
              <w:bottom w:val="single" w:sz="8" w:color="0063A6"/>
              <w:right w:val="single" w:sz="8" w:color="0063A6"/>
            </w:tcBorders>
          </w:tcPr>
          <w:p>
            <w:pPr>
              <w:spacing w:after="0"/>
              <w:rPr>
                <w:sz w:val="5"/>
                <w:szCs w:val="5"/>
                <w:color w:val="auto"/>
              </w:rPr>
            </w:pPr>
          </w:p>
        </w:tc>
      </w:tr>
      <w:tr>
        <w:trPr>
          <w:trHeight w:val="252"/>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100" w:type="dxa"/>
            <w:vAlign w:val="bottom"/>
          </w:tcPr>
          <w:p>
            <w:pPr>
              <w:spacing w:after="0"/>
              <w:rPr>
                <w:sz w:val="21"/>
                <w:szCs w:val="21"/>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employee director will fully vest in his or her outstanding company equity awards, including any</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Initial Award or Annual Award, provided that the non-employee director continues to be a non-</w:t>
            </w:r>
          </w:p>
        </w:tc>
      </w:tr>
      <w:tr>
        <w:trPr>
          <w:trHeight w:val="195"/>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employee director through such date.</w:t>
            </w:r>
          </w:p>
        </w:tc>
      </w:tr>
      <w:tr>
        <w:trPr>
          <w:trHeight w:val="47"/>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bl>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2020 Compensation</w:t>
      </w:r>
    </w:p>
    <w:p>
      <w:pPr>
        <w:spacing w:after="0" w:line="52" w:lineRule="exact"/>
        <w:rPr>
          <w:sz w:val="20"/>
          <w:szCs w:val="20"/>
          <w:color w:val="auto"/>
        </w:rPr>
      </w:pPr>
    </w:p>
    <w:p>
      <w:pPr>
        <w:jc w:val="both"/>
        <w:ind w:left="720" w:right="820"/>
        <w:spacing w:after="0" w:line="249" w:lineRule="auto"/>
        <w:rPr>
          <w:sz w:val="20"/>
          <w:szCs w:val="20"/>
          <w:color w:val="auto"/>
        </w:rPr>
      </w:pPr>
      <w:r>
        <w:rPr>
          <w:rFonts w:ascii="Arial" w:cs="Arial" w:eastAsia="Arial" w:hAnsi="Arial"/>
          <w:sz w:val="16"/>
          <w:szCs w:val="16"/>
          <w:color w:val="auto"/>
        </w:rPr>
        <w:t xml:space="preserve">The following table provides information regarding compensation of our non-employee directors for their service as directors, for the fiscal year ended December 31, 2020. Directors who are also our employees receive no additional compensation for their service as directors. During 2020, Messrs. Houston and Ferdowsi were employees and executive officers of the company and therefore, did not receive compensation as directors. See “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Mr. Houston’s compensation. Mr. Ferdowsi was not a named executive officer in 2020 and resigned as a member of the board and as an officer of the company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43180</wp:posOffset>
            </wp:positionV>
            <wp:extent cx="6077585" cy="2691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2691765"/>
                    </a:xfrm>
                    <a:prstGeom prst="rect">
                      <a:avLst/>
                    </a:prstGeom>
                    <a:noFill/>
                  </pic:spPr>
                </pic:pic>
              </a:graphicData>
            </a:graphic>
          </wp:anchor>
        </w:drawing>
      </w:r>
    </w:p>
    <w:p>
      <w:pPr>
        <w:spacing w:after="0" w:line="48"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2500" w:type="dxa"/>
            <w:vAlign w:val="bottom"/>
            <w:shd w:val="clear" w:color="auto" w:fill="0063A6"/>
          </w:tcPr>
          <w:p>
            <w:pPr>
              <w:spacing w:after="0"/>
              <w:rPr>
                <w:sz w:val="22"/>
                <w:szCs w:val="22"/>
                <w:color w:val="auto"/>
              </w:rPr>
            </w:pPr>
          </w:p>
        </w:tc>
        <w:tc>
          <w:tcPr>
            <w:tcW w:w="1840" w:type="dxa"/>
            <w:vAlign w:val="bottom"/>
            <w:shd w:val="clear" w:color="auto" w:fill="0063A6"/>
          </w:tcPr>
          <w:p>
            <w:pPr>
              <w:jc w:val="center"/>
              <w:ind w:left="222"/>
              <w:spacing w:after="0"/>
              <w:rPr>
                <w:sz w:val="20"/>
                <w:szCs w:val="20"/>
                <w:color w:val="auto"/>
              </w:rPr>
            </w:pPr>
            <w:r>
              <w:rPr>
                <w:rFonts w:ascii="Arial" w:cs="Arial" w:eastAsia="Arial" w:hAnsi="Arial"/>
                <w:sz w:val="14"/>
                <w:szCs w:val="14"/>
                <w:b w:val="1"/>
                <w:bCs w:val="1"/>
                <w:color w:val="FFFFFF"/>
              </w:rPr>
              <w:t>Fees Paid</w:t>
            </w:r>
          </w:p>
        </w:tc>
        <w:tc>
          <w:tcPr>
            <w:tcW w:w="1760" w:type="dxa"/>
            <w:vAlign w:val="bottom"/>
            <w:shd w:val="clear" w:color="auto" w:fill="0063A6"/>
          </w:tcPr>
          <w:p>
            <w:pPr>
              <w:spacing w:after="0"/>
              <w:rPr>
                <w:sz w:val="22"/>
                <w:szCs w:val="22"/>
                <w:color w:val="auto"/>
              </w:rPr>
            </w:pPr>
          </w:p>
        </w:tc>
        <w:tc>
          <w:tcPr>
            <w:tcW w:w="1900" w:type="dxa"/>
            <w:vAlign w:val="bottom"/>
            <w:shd w:val="clear" w:color="auto" w:fill="0063A6"/>
          </w:tcPr>
          <w:p>
            <w:pPr>
              <w:spacing w:after="0"/>
              <w:rPr>
                <w:sz w:val="22"/>
                <w:szCs w:val="22"/>
                <w:color w:val="auto"/>
              </w:rPr>
            </w:pPr>
          </w:p>
        </w:tc>
        <w:tc>
          <w:tcPr>
            <w:tcW w:w="1560" w:type="dxa"/>
            <w:vAlign w:val="bottom"/>
            <w:shd w:val="clear" w:color="auto" w:fill="0063A6"/>
          </w:tcPr>
          <w:p>
            <w:pPr>
              <w:spacing w:after="0"/>
              <w:rPr>
                <w:sz w:val="22"/>
                <w:szCs w:val="22"/>
                <w:color w:val="auto"/>
              </w:rPr>
            </w:pPr>
          </w:p>
        </w:tc>
      </w:tr>
      <w:tr>
        <w:trPr>
          <w:trHeight w:val="162"/>
        </w:trPr>
        <w:tc>
          <w:tcPr>
            <w:tcW w:w="2500" w:type="dxa"/>
            <w:vAlign w:val="bottom"/>
            <w:shd w:val="clear" w:color="auto" w:fill="0063A6"/>
          </w:tcPr>
          <w:p>
            <w:pPr>
              <w:spacing w:after="0"/>
              <w:rPr>
                <w:sz w:val="14"/>
                <w:szCs w:val="14"/>
                <w:color w:val="auto"/>
              </w:rPr>
            </w:pPr>
          </w:p>
        </w:tc>
        <w:tc>
          <w:tcPr>
            <w:tcW w:w="1840" w:type="dxa"/>
            <w:vAlign w:val="bottom"/>
            <w:shd w:val="clear" w:color="auto" w:fill="0063A6"/>
          </w:tcPr>
          <w:p>
            <w:pPr>
              <w:jc w:val="center"/>
              <w:ind w:left="222"/>
              <w:spacing w:after="0"/>
              <w:rPr>
                <w:sz w:val="20"/>
                <w:szCs w:val="20"/>
                <w:color w:val="auto"/>
              </w:rPr>
            </w:pPr>
            <w:r>
              <w:rPr>
                <w:rFonts w:ascii="Arial" w:cs="Arial" w:eastAsia="Arial" w:hAnsi="Arial"/>
                <w:sz w:val="14"/>
                <w:szCs w:val="14"/>
                <w:b w:val="1"/>
                <w:bCs w:val="1"/>
                <w:color w:val="FFFFFF"/>
                <w:w w:val="99"/>
              </w:rPr>
              <w:t>or</w:t>
            </w:r>
          </w:p>
        </w:tc>
        <w:tc>
          <w:tcPr>
            <w:tcW w:w="1760" w:type="dxa"/>
            <w:vAlign w:val="bottom"/>
            <w:shd w:val="clear" w:color="auto" w:fill="0063A6"/>
          </w:tcPr>
          <w:p>
            <w:pPr>
              <w:spacing w:after="0"/>
              <w:rPr>
                <w:sz w:val="14"/>
                <w:szCs w:val="14"/>
                <w:color w:val="auto"/>
              </w:rPr>
            </w:pPr>
          </w:p>
        </w:tc>
        <w:tc>
          <w:tcPr>
            <w:tcW w:w="1900" w:type="dxa"/>
            <w:vAlign w:val="bottom"/>
            <w:shd w:val="clear" w:color="auto" w:fill="0063A6"/>
          </w:tcPr>
          <w:p>
            <w:pPr>
              <w:spacing w:after="0"/>
              <w:rPr>
                <w:sz w:val="14"/>
                <w:szCs w:val="14"/>
                <w:color w:val="auto"/>
              </w:rPr>
            </w:pPr>
          </w:p>
        </w:tc>
        <w:tc>
          <w:tcPr>
            <w:tcW w:w="1560" w:type="dxa"/>
            <w:vAlign w:val="bottom"/>
            <w:shd w:val="clear" w:color="auto" w:fill="0063A6"/>
          </w:tcPr>
          <w:p>
            <w:pPr>
              <w:spacing w:after="0"/>
              <w:rPr>
                <w:sz w:val="14"/>
                <w:szCs w:val="14"/>
                <w:color w:val="auto"/>
              </w:rPr>
            </w:pPr>
          </w:p>
        </w:tc>
      </w:tr>
      <w:tr>
        <w:trPr>
          <w:trHeight w:val="148"/>
        </w:trPr>
        <w:tc>
          <w:tcPr>
            <w:tcW w:w="2500" w:type="dxa"/>
            <w:vAlign w:val="bottom"/>
            <w:shd w:val="clear" w:color="auto" w:fill="0063A6"/>
          </w:tcPr>
          <w:p>
            <w:pPr>
              <w:spacing w:after="0"/>
              <w:rPr>
                <w:sz w:val="12"/>
                <w:szCs w:val="12"/>
                <w:color w:val="auto"/>
              </w:rPr>
            </w:pPr>
          </w:p>
        </w:tc>
        <w:tc>
          <w:tcPr>
            <w:tcW w:w="1840" w:type="dxa"/>
            <w:vAlign w:val="bottom"/>
            <w:shd w:val="clear" w:color="auto" w:fill="0063A6"/>
          </w:tcPr>
          <w:p>
            <w:pPr>
              <w:jc w:val="center"/>
              <w:ind w:left="222"/>
              <w:spacing w:after="0" w:line="148" w:lineRule="exact"/>
              <w:rPr>
                <w:sz w:val="20"/>
                <w:szCs w:val="20"/>
                <w:color w:val="auto"/>
              </w:rPr>
            </w:pPr>
            <w:r>
              <w:rPr>
                <w:rFonts w:ascii="Arial" w:cs="Arial" w:eastAsia="Arial" w:hAnsi="Arial"/>
                <w:sz w:val="14"/>
                <w:szCs w:val="14"/>
                <w:b w:val="1"/>
                <w:bCs w:val="1"/>
                <w:color w:val="FFFFFF"/>
              </w:rPr>
              <w:t>Earned in</w:t>
            </w:r>
          </w:p>
        </w:tc>
        <w:tc>
          <w:tcPr>
            <w:tcW w:w="1760" w:type="dxa"/>
            <w:vAlign w:val="bottom"/>
            <w:shd w:val="clear" w:color="auto" w:fill="0063A6"/>
          </w:tcPr>
          <w:p>
            <w:pPr>
              <w:jc w:val="center"/>
              <w:ind w:left="21"/>
              <w:spacing w:after="0" w:line="148" w:lineRule="exact"/>
              <w:rPr>
                <w:sz w:val="20"/>
                <w:szCs w:val="20"/>
                <w:color w:val="auto"/>
              </w:rPr>
            </w:pPr>
            <w:r>
              <w:rPr>
                <w:rFonts w:ascii="Arial" w:cs="Arial" w:eastAsia="Arial" w:hAnsi="Arial"/>
                <w:sz w:val="14"/>
                <w:szCs w:val="14"/>
                <w:b w:val="1"/>
                <w:bCs w:val="1"/>
                <w:color w:val="FFFFFF"/>
                <w:w w:val="99"/>
              </w:rPr>
              <w:t>Stock</w:t>
            </w:r>
          </w:p>
        </w:tc>
        <w:tc>
          <w:tcPr>
            <w:tcW w:w="1900" w:type="dxa"/>
            <w:vAlign w:val="bottom"/>
            <w:shd w:val="clear" w:color="auto" w:fill="0063A6"/>
          </w:tcPr>
          <w:p>
            <w:pPr>
              <w:ind w:left="560"/>
              <w:spacing w:after="0" w:line="148" w:lineRule="exact"/>
              <w:rPr>
                <w:sz w:val="20"/>
                <w:szCs w:val="20"/>
                <w:color w:val="auto"/>
              </w:rPr>
            </w:pPr>
            <w:r>
              <w:rPr>
                <w:rFonts w:ascii="Arial" w:cs="Arial" w:eastAsia="Arial" w:hAnsi="Arial"/>
                <w:sz w:val="14"/>
                <w:szCs w:val="14"/>
                <w:b w:val="1"/>
                <w:bCs w:val="1"/>
                <w:color w:val="FFFFFF"/>
              </w:rPr>
              <w:t>All Other</w:t>
            </w:r>
          </w:p>
        </w:tc>
        <w:tc>
          <w:tcPr>
            <w:tcW w:w="1560" w:type="dxa"/>
            <w:vAlign w:val="bottom"/>
            <w:shd w:val="clear" w:color="auto" w:fill="0063A6"/>
          </w:tcPr>
          <w:p>
            <w:pPr>
              <w:spacing w:after="0"/>
              <w:rPr>
                <w:sz w:val="12"/>
                <w:szCs w:val="12"/>
                <w:color w:val="auto"/>
              </w:rPr>
            </w:pPr>
          </w:p>
        </w:tc>
      </w:tr>
      <w:tr>
        <w:trPr>
          <w:trHeight w:val="283"/>
        </w:trPr>
        <w:tc>
          <w:tcPr>
            <w:tcW w:w="25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0063A6"/>
          </w:tcPr>
          <w:p>
            <w:pPr>
              <w:jc w:val="center"/>
              <w:ind w:left="262"/>
              <w:spacing w:after="0"/>
              <w:rPr>
                <w:sz w:val="20"/>
                <w:szCs w:val="20"/>
                <w:color w:val="auto"/>
              </w:rPr>
            </w:pPr>
            <w:r>
              <w:rPr>
                <w:rFonts w:ascii="Arial" w:cs="Arial" w:eastAsia="Arial" w:hAnsi="Arial"/>
                <w:sz w:val="14"/>
                <w:szCs w:val="14"/>
                <w:b w:val="1"/>
                <w:bCs w:val="1"/>
                <w:color w:val="FFFFFF"/>
              </w:rPr>
              <w:t>Cash ($)</w:t>
            </w:r>
          </w:p>
        </w:tc>
        <w:tc>
          <w:tcPr>
            <w:tcW w:w="1760" w:type="dxa"/>
            <w:vAlign w:val="bottom"/>
            <w:shd w:val="clear" w:color="auto" w:fill="0063A6"/>
          </w:tcPr>
          <w:p>
            <w:pPr>
              <w:jc w:val="center"/>
              <w:ind w:left="61"/>
              <w:spacing w:after="0"/>
              <w:rPr>
                <w:sz w:val="20"/>
                <w:szCs w:val="20"/>
                <w:color w:val="auto"/>
              </w:rPr>
            </w:pPr>
            <w:r>
              <w:rPr>
                <w:rFonts w:ascii="Arial" w:cs="Arial" w:eastAsia="Arial" w:hAnsi="Arial"/>
                <w:sz w:val="14"/>
                <w:szCs w:val="14"/>
                <w:b w:val="1"/>
                <w:bCs w:val="1"/>
                <w:color w:val="FFFFFF"/>
                <w:w w:val="93"/>
              </w:rPr>
              <w:t>Awards ($)</w:t>
            </w:r>
            <w:r>
              <w:rPr>
                <w:rFonts w:ascii="Arial" w:cs="Arial" w:eastAsia="Arial" w:hAnsi="Arial"/>
                <w:sz w:val="23"/>
                <w:szCs w:val="23"/>
                <w:b w:val="1"/>
                <w:bCs w:val="1"/>
                <w:color w:val="FFFFFF"/>
                <w:w w:val="93"/>
                <w:vertAlign w:val="superscript"/>
              </w:rPr>
              <w:t>(1)(2)</w:t>
            </w:r>
          </w:p>
        </w:tc>
        <w:tc>
          <w:tcPr>
            <w:tcW w:w="1900" w:type="dxa"/>
            <w:vAlign w:val="bottom"/>
            <w:shd w:val="clear" w:color="auto" w:fill="0063A6"/>
          </w:tcPr>
          <w:p>
            <w:pPr>
              <w:jc w:val="center"/>
              <w:ind w:right="41"/>
              <w:spacing w:after="0"/>
              <w:rPr>
                <w:sz w:val="20"/>
                <w:szCs w:val="20"/>
                <w:color w:val="auto"/>
              </w:rPr>
            </w:pPr>
            <w:r>
              <w:rPr>
                <w:rFonts w:ascii="Arial" w:cs="Arial" w:eastAsia="Arial" w:hAnsi="Arial"/>
                <w:sz w:val="14"/>
                <w:szCs w:val="14"/>
                <w:b w:val="1"/>
                <w:bCs w:val="1"/>
                <w:color w:val="FFFFFF"/>
              </w:rPr>
              <w:t>Compensation ($)</w:t>
            </w:r>
          </w:p>
        </w:tc>
        <w:tc>
          <w:tcPr>
            <w:tcW w:w="1560" w:type="dxa"/>
            <w:vAlign w:val="bottom"/>
            <w:shd w:val="clear" w:color="auto" w:fill="0063A6"/>
          </w:tcPr>
          <w:p>
            <w:pPr>
              <w:jc w:val="right"/>
              <w:ind w:right="520"/>
              <w:spacing w:after="0"/>
              <w:rPr>
                <w:sz w:val="20"/>
                <w:szCs w:val="20"/>
                <w:color w:val="auto"/>
              </w:rPr>
            </w:pPr>
            <w:r>
              <w:rPr>
                <w:rFonts w:ascii="Arial" w:cs="Arial" w:eastAsia="Arial" w:hAnsi="Arial"/>
                <w:sz w:val="14"/>
                <w:szCs w:val="14"/>
                <w:b w:val="1"/>
                <w:bCs w:val="1"/>
                <w:color w:val="FFFFFF"/>
              </w:rPr>
              <w:t>Total ($)</w:t>
            </w:r>
          </w:p>
        </w:tc>
      </w:tr>
      <w:tr>
        <w:trPr>
          <w:trHeight w:val="291"/>
        </w:trPr>
        <w:tc>
          <w:tcPr>
            <w:tcW w:w="25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Donald W. Blair</w:t>
            </w:r>
          </w:p>
        </w:tc>
        <w:tc>
          <w:tcPr>
            <w:tcW w:w="18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102,664</w:t>
            </w:r>
          </w:p>
        </w:tc>
        <w:tc>
          <w:tcPr>
            <w:tcW w:w="1760" w:type="dxa"/>
            <w:vAlign w:val="bottom"/>
            <w:shd w:val="clear" w:color="auto" w:fill="F2F2F2"/>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jc w:val="right"/>
              <w:ind w:right="500"/>
              <w:spacing w:after="0"/>
              <w:rPr>
                <w:sz w:val="20"/>
                <w:szCs w:val="20"/>
                <w:color w:val="auto"/>
              </w:rPr>
            </w:pPr>
            <w:r>
              <w:rPr>
                <w:rFonts w:ascii="Arial" w:cs="Arial" w:eastAsia="Arial" w:hAnsi="Arial"/>
                <w:sz w:val="16"/>
                <w:szCs w:val="16"/>
                <w:color w:val="auto"/>
              </w:rPr>
              <w:t>353,740</w:t>
            </w:r>
          </w:p>
        </w:tc>
      </w:tr>
      <w:tr>
        <w:trPr>
          <w:trHeight w:val="87"/>
        </w:trPr>
        <w:tc>
          <w:tcPr>
            <w:tcW w:w="250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1760" w:type="dxa"/>
            <w:vAlign w:val="bottom"/>
            <w:shd w:val="clear" w:color="auto" w:fill="F2F2F2"/>
          </w:tcPr>
          <w:p>
            <w:pPr>
              <w:spacing w:after="0"/>
              <w:rPr>
                <w:sz w:val="7"/>
                <w:szCs w:val="7"/>
                <w:color w:val="auto"/>
              </w:rPr>
            </w:pPr>
          </w:p>
        </w:tc>
        <w:tc>
          <w:tcPr>
            <w:tcW w:w="190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1"/>
        </w:trPr>
        <w:tc>
          <w:tcPr>
            <w:tcW w:w="2500" w:type="dxa"/>
            <w:vAlign w:val="bottom"/>
          </w:tcPr>
          <w:p>
            <w:pPr>
              <w:ind w:left="80"/>
              <w:spacing w:after="0"/>
              <w:rPr>
                <w:sz w:val="20"/>
                <w:szCs w:val="20"/>
                <w:color w:val="auto"/>
              </w:rPr>
            </w:pPr>
            <w:r>
              <w:rPr>
                <w:rFonts w:ascii="Arial" w:cs="Arial" w:eastAsia="Arial" w:hAnsi="Arial"/>
                <w:sz w:val="16"/>
                <w:szCs w:val="16"/>
                <w:color w:val="auto"/>
              </w:rPr>
              <w:t>Lisa Campbell</w:t>
            </w:r>
          </w:p>
        </w:tc>
        <w:tc>
          <w:tcPr>
            <w:tcW w:w="1840" w:type="dxa"/>
            <w:vAlign w:val="bottom"/>
          </w:tcPr>
          <w:p>
            <w:pPr>
              <w:jc w:val="right"/>
              <w:ind w:right="382"/>
              <w:spacing w:after="0"/>
              <w:rPr>
                <w:sz w:val="20"/>
                <w:szCs w:val="20"/>
                <w:color w:val="auto"/>
              </w:rPr>
            </w:pPr>
            <w:r>
              <w:rPr>
                <w:rFonts w:ascii="Arial" w:cs="Arial" w:eastAsia="Arial" w:hAnsi="Arial"/>
                <w:sz w:val="16"/>
                <w:szCs w:val="16"/>
                <w:color w:val="auto"/>
              </w:rPr>
              <w:t>66,831</w:t>
            </w:r>
          </w:p>
        </w:tc>
        <w:tc>
          <w:tcPr>
            <w:tcW w:w="1760" w:type="dxa"/>
            <w:vAlign w:val="bottom"/>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jc w:val="right"/>
              <w:ind w:right="500"/>
              <w:spacing w:after="0"/>
              <w:rPr>
                <w:sz w:val="20"/>
                <w:szCs w:val="20"/>
                <w:color w:val="auto"/>
              </w:rPr>
            </w:pPr>
            <w:r>
              <w:rPr>
                <w:rFonts w:ascii="Arial" w:cs="Arial" w:eastAsia="Arial" w:hAnsi="Arial"/>
                <w:sz w:val="16"/>
                <w:szCs w:val="16"/>
                <w:color w:val="auto"/>
              </w:rPr>
              <w:t>317,907</w:t>
            </w:r>
          </w:p>
        </w:tc>
      </w:tr>
      <w:tr>
        <w:trPr>
          <w:trHeight w:val="87"/>
        </w:trPr>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91"/>
        </w:trPr>
        <w:tc>
          <w:tcPr>
            <w:tcW w:w="2500" w:type="dxa"/>
            <w:vAlign w:val="bottom"/>
            <w:shd w:val="clear" w:color="auto" w:fill="F2F2F2"/>
          </w:tcPr>
          <w:p>
            <w:pPr>
              <w:ind w:left="80"/>
              <w:spacing w:after="0"/>
              <w:rPr>
                <w:sz w:val="20"/>
                <w:szCs w:val="20"/>
                <w:color w:val="auto"/>
              </w:rPr>
            </w:pPr>
            <w:r>
              <w:rPr>
                <w:rFonts w:ascii="Arial" w:cs="Arial" w:eastAsia="Arial" w:hAnsi="Arial"/>
                <w:sz w:val="16"/>
                <w:szCs w:val="16"/>
                <w:color w:val="auto"/>
              </w:rPr>
              <w:t>Paul E. Jacobs</w:t>
            </w:r>
          </w:p>
        </w:tc>
        <w:tc>
          <w:tcPr>
            <w:tcW w:w="18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62,650</w:t>
            </w:r>
          </w:p>
        </w:tc>
        <w:tc>
          <w:tcPr>
            <w:tcW w:w="1760" w:type="dxa"/>
            <w:vAlign w:val="bottom"/>
            <w:shd w:val="clear" w:color="auto" w:fill="F2F2F2"/>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jc w:val="right"/>
              <w:ind w:right="500"/>
              <w:spacing w:after="0"/>
              <w:rPr>
                <w:sz w:val="20"/>
                <w:szCs w:val="20"/>
                <w:color w:val="auto"/>
              </w:rPr>
            </w:pPr>
            <w:r>
              <w:rPr>
                <w:rFonts w:ascii="Arial" w:cs="Arial" w:eastAsia="Arial" w:hAnsi="Arial"/>
                <w:sz w:val="16"/>
                <w:szCs w:val="16"/>
                <w:color w:val="auto"/>
              </w:rPr>
              <w:t>313,726</w:t>
            </w:r>
          </w:p>
        </w:tc>
      </w:tr>
      <w:tr>
        <w:trPr>
          <w:trHeight w:val="87"/>
        </w:trPr>
        <w:tc>
          <w:tcPr>
            <w:tcW w:w="250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1760" w:type="dxa"/>
            <w:vAlign w:val="bottom"/>
            <w:shd w:val="clear" w:color="auto" w:fill="F2F2F2"/>
          </w:tcPr>
          <w:p>
            <w:pPr>
              <w:spacing w:after="0"/>
              <w:rPr>
                <w:sz w:val="7"/>
                <w:szCs w:val="7"/>
                <w:color w:val="auto"/>
              </w:rPr>
            </w:pPr>
          </w:p>
        </w:tc>
        <w:tc>
          <w:tcPr>
            <w:tcW w:w="190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1"/>
        </w:trPr>
        <w:tc>
          <w:tcPr>
            <w:tcW w:w="2500" w:type="dxa"/>
            <w:vAlign w:val="bottom"/>
          </w:tcPr>
          <w:p>
            <w:pPr>
              <w:ind w:left="80"/>
              <w:spacing w:after="0"/>
              <w:rPr>
                <w:sz w:val="20"/>
                <w:szCs w:val="20"/>
                <w:color w:val="auto"/>
              </w:rPr>
            </w:pPr>
            <w:r>
              <w:rPr>
                <w:rFonts w:ascii="Arial" w:cs="Arial" w:eastAsia="Arial" w:hAnsi="Arial"/>
                <w:sz w:val="16"/>
                <w:szCs w:val="16"/>
                <w:color w:val="auto"/>
              </w:rPr>
              <w:t>Robert J. Mylod, Jr.</w:t>
            </w:r>
          </w:p>
        </w:tc>
        <w:tc>
          <w:tcPr>
            <w:tcW w:w="1840" w:type="dxa"/>
            <w:vAlign w:val="bottom"/>
          </w:tcPr>
          <w:p>
            <w:pPr>
              <w:jc w:val="right"/>
              <w:ind w:right="382"/>
              <w:spacing w:after="0"/>
              <w:rPr>
                <w:sz w:val="20"/>
                <w:szCs w:val="20"/>
                <w:color w:val="auto"/>
              </w:rPr>
            </w:pPr>
            <w:r>
              <w:rPr>
                <w:rFonts w:ascii="Arial" w:cs="Arial" w:eastAsia="Arial" w:hAnsi="Arial"/>
                <w:sz w:val="16"/>
                <w:szCs w:val="16"/>
                <w:color w:val="auto"/>
              </w:rPr>
              <w:t>76,612</w:t>
            </w:r>
          </w:p>
        </w:tc>
        <w:tc>
          <w:tcPr>
            <w:tcW w:w="1760" w:type="dxa"/>
            <w:vAlign w:val="bottom"/>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jc w:val="right"/>
              <w:ind w:right="500"/>
              <w:spacing w:after="0"/>
              <w:rPr>
                <w:sz w:val="20"/>
                <w:szCs w:val="20"/>
                <w:color w:val="auto"/>
              </w:rPr>
            </w:pPr>
            <w:r>
              <w:rPr>
                <w:rFonts w:ascii="Arial" w:cs="Arial" w:eastAsia="Arial" w:hAnsi="Arial"/>
                <w:sz w:val="16"/>
                <w:szCs w:val="16"/>
                <w:color w:val="auto"/>
              </w:rPr>
              <w:t>327,688</w:t>
            </w:r>
          </w:p>
        </w:tc>
      </w:tr>
      <w:tr>
        <w:trPr>
          <w:trHeight w:val="87"/>
        </w:trPr>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91"/>
        </w:trPr>
        <w:tc>
          <w:tcPr>
            <w:tcW w:w="2500" w:type="dxa"/>
            <w:vAlign w:val="bottom"/>
            <w:shd w:val="clear" w:color="auto" w:fill="F2F2F2"/>
          </w:tcPr>
          <w:p>
            <w:pPr>
              <w:ind w:left="80"/>
              <w:spacing w:after="0"/>
              <w:rPr>
                <w:sz w:val="20"/>
                <w:szCs w:val="20"/>
                <w:color w:val="auto"/>
              </w:rPr>
            </w:pPr>
            <w:r>
              <w:rPr>
                <w:rFonts w:ascii="Arial" w:cs="Arial" w:eastAsia="Arial" w:hAnsi="Arial"/>
                <w:sz w:val="16"/>
                <w:szCs w:val="16"/>
                <w:color w:val="auto"/>
              </w:rPr>
              <w:t>Karen Peacock</w:t>
            </w:r>
          </w:p>
        </w:tc>
        <w:tc>
          <w:tcPr>
            <w:tcW w:w="18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60,000</w:t>
            </w:r>
          </w:p>
        </w:tc>
        <w:tc>
          <w:tcPr>
            <w:tcW w:w="1760" w:type="dxa"/>
            <w:vAlign w:val="bottom"/>
            <w:shd w:val="clear" w:color="auto" w:fill="F2F2F2"/>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jc w:val="right"/>
              <w:ind w:right="500"/>
              <w:spacing w:after="0"/>
              <w:rPr>
                <w:sz w:val="20"/>
                <w:szCs w:val="20"/>
                <w:color w:val="auto"/>
              </w:rPr>
            </w:pPr>
            <w:r>
              <w:rPr>
                <w:rFonts w:ascii="Arial" w:cs="Arial" w:eastAsia="Arial" w:hAnsi="Arial"/>
                <w:sz w:val="16"/>
                <w:szCs w:val="16"/>
                <w:color w:val="auto"/>
              </w:rPr>
              <w:t>311,076</w:t>
            </w:r>
          </w:p>
        </w:tc>
      </w:tr>
      <w:tr>
        <w:trPr>
          <w:trHeight w:val="87"/>
        </w:trPr>
        <w:tc>
          <w:tcPr>
            <w:tcW w:w="250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1760" w:type="dxa"/>
            <w:vAlign w:val="bottom"/>
            <w:shd w:val="clear" w:color="auto" w:fill="F2F2F2"/>
          </w:tcPr>
          <w:p>
            <w:pPr>
              <w:spacing w:after="0"/>
              <w:rPr>
                <w:sz w:val="7"/>
                <w:szCs w:val="7"/>
                <w:color w:val="auto"/>
              </w:rPr>
            </w:pPr>
          </w:p>
        </w:tc>
        <w:tc>
          <w:tcPr>
            <w:tcW w:w="190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1"/>
        </w:trPr>
        <w:tc>
          <w:tcPr>
            <w:tcW w:w="2500" w:type="dxa"/>
            <w:vAlign w:val="bottom"/>
          </w:tcPr>
          <w:p>
            <w:pPr>
              <w:ind w:left="80"/>
              <w:spacing w:after="0"/>
              <w:rPr>
                <w:sz w:val="20"/>
                <w:szCs w:val="20"/>
                <w:color w:val="auto"/>
              </w:rPr>
            </w:pPr>
            <w:r>
              <w:rPr>
                <w:rFonts w:ascii="Arial" w:cs="Arial" w:eastAsia="Arial" w:hAnsi="Arial"/>
                <w:sz w:val="16"/>
                <w:szCs w:val="16"/>
                <w:color w:val="auto"/>
              </w:rPr>
              <w:t>Condoleezza Rice</w:t>
            </w:r>
          </w:p>
        </w:tc>
        <w:tc>
          <w:tcPr>
            <w:tcW w:w="1840" w:type="dxa"/>
            <w:vAlign w:val="bottom"/>
          </w:tcPr>
          <w:p>
            <w:pPr>
              <w:jc w:val="right"/>
              <w:ind w:right="382"/>
              <w:spacing w:after="0"/>
              <w:rPr>
                <w:sz w:val="20"/>
                <w:szCs w:val="20"/>
                <w:color w:val="auto"/>
              </w:rPr>
            </w:pPr>
            <w:r>
              <w:rPr>
                <w:rFonts w:ascii="Arial" w:cs="Arial" w:eastAsia="Arial" w:hAnsi="Arial"/>
                <w:sz w:val="16"/>
                <w:szCs w:val="16"/>
                <w:color w:val="auto"/>
              </w:rPr>
              <w:t>78,224</w:t>
            </w:r>
          </w:p>
        </w:tc>
        <w:tc>
          <w:tcPr>
            <w:tcW w:w="1760" w:type="dxa"/>
            <w:vAlign w:val="bottom"/>
          </w:tcPr>
          <w:p>
            <w:pPr>
              <w:jc w:val="right"/>
              <w:ind w:right="381"/>
              <w:spacing w:after="0"/>
              <w:rPr>
                <w:sz w:val="20"/>
                <w:szCs w:val="20"/>
                <w:color w:val="auto"/>
              </w:rPr>
            </w:pPr>
            <w:r>
              <w:rPr>
                <w:rFonts w:ascii="Arial" w:cs="Arial" w:eastAsia="Arial" w:hAnsi="Arial"/>
                <w:sz w:val="16"/>
                <w:szCs w:val="16"/>
                <w:color w:val="auto"/>
              </w:rPr>
              <w:t>251,076</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jc w:val="right"/>
              <w:ind w:right="500"/>
              <w:spacing w:after="0"/>
              <w:rPr>
                <w:sz w:val="20"/>
                <w:szCs w:val="20"/>
                <w:color w:val="auto"/>
              </w:rPr>
            </w:pPr>
            <w:r>
              <w:rPr>
                <w:rFonts w:ascii="Arial" w:cs="Arial" w:eastAsia="Arial" w:hAnsi="Arial"/>
                <w:sz w:val="16"/>
                <w:szCs w:val="16"/>
                <w:color w:val="auto"/>
              </w:rPr>
              <w:t>329,300</w:t>
            </w:r>
          </w:p>
        </w:tc>
      </w:tr>
      <w:tr>
        <w:trPr>
          <w:trHeight w:val="87"/>
        </w:trPr>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378"/>
        </w:trPr>
        <w:tc>
          <w:tcPr>
            <w:tcW w:w="2500" w:type="dxa"/>
            <w:vAlign w:val="bottom"/>
            <w:shd w:val="clear" w:color="auto" w:fill="F2F2F2"/>
          </w:tcPr>
          <w:p>
            <w:pPr>
              <w:ind w:left="80"/>
              <w:spacing w:after="0"/>
              <w:rPr>
                <w:sz w:val="20"/>
                <w:szCs w:val="20"/>
                <w:color w:val="auto"/>
              </w:rPr>
            </w:pPr>
            <w:r>
              <w:rPr>
                <w:rFonts w:ascii="Arial" w:cs="Arial" w:eastAsia="Arial" w:hAnsi="Arial"/>
                <w:sz w:val="16"/>
                <w:szCs w:val="16"/>
                <w:color w:val="auto"/>
              </w:rPr>
              <w:t>R. Bryan Schreier</w:t>
            </w:r>
            <w:r>
              <w:rPr>
                <w:rFonts w:ascii="Arial" w:cs="Arial" w:eastAsia="Arial" w:hAnsi="Arial"/>
                <w:sz w:val="26"/>
                <w:szCs w:val="26"/>
                <w:color w:val="auto"/>
                <w:vertAlign w:val="superscript"/>
              </w:rPr>
              <w:t>(3)</w:t>
            </w:r>
          </w:p>
        </w:tc>
        <w:tc>
          <w:tcPr>
            <w:tcW w:w="18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56,639</w:t>
            </w:r>
          </w:p>
        </w:tc>
        <w:tc>
          <w:tcPr>
            <w:tcW w:w="1760" w:type="dxa"/>
            <w:vAlign w:val="bottom"/>
            <w:shd w:val="clear" w:color="auto" w:fill="F2F2F2"/>
          </w:tcPr>
          <w:p>
            <w:pPr>
              <w:jc w:val="right"/>
              <w:ind w:right="321"/>
              <w:spacing w:after="0"/>
              <w:rPr>
                <w:sz w:val="20"/>
                <w:szCs w:val="20"/>
                <w:color w:val="auto"/>
              </w:rPr>
            </w:pPr>
            <w:r>
              <w:rPr>
                <w:rFonts w:ascii="Arial" w:cs="Arial" w:eastAsia="Arial" w:hAnsi="Arial"/>
                <w:sz w:val="16"/>
                <w:szCs w:val="16"/>
                <w:color w:val="auto"/>
              </w:rPr>
              <w:t>251,076</w:t>
            </w:r>
            <w:r>
              <w:rPr>
                <w:rFonts w:ascii="Arial" w:cs="Arial" w:eastAsia="Arial" w:hAnsi="Arial"/>
                <w:sz w:val="26"/>
                <w:szCs w:val="26"/>
                <w:color w:val="auto"/>
                <w:vertAlign w:val="superscript"/>
              </w:rPr>
              <w:t>(4)</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jc w:val="right"/>
              <w:ind w:right="500"/>
              <w:spacing w:after="0"/>
              <w:rPr>
                <w:sz w:val="20"/>
                <w:szCs w:val="20"/>
                <w:color w:val="auto"/>
              </w:rPr>
            </w:pPr>
            <w:r>
              <w:rPr>
                <w:rFonts w:ascii="Arial" w:cs="Arial" w:eastAsia="Arial" w:hAnsi="Arial"/>
                <w:sz w:val="16"/>
                <w:szCs w:val="16"/>
                <w:color w:val="auto"/>
              </w:rPr>
              <w:t>307,715</w:t>
            </w:r>
          </w:p>
        </w:tc>
      </w:tr>
      <w:tr>
        <w:trPr>
          <w:trHeight w:val="378"/>
        </w:trPr>
        <w:tc>
          <w:tcPr>
            <w:tcW w:w="2500" w:type="dxa"/>
            <w:vAlign w:val="bottom"/>
          </w:tcPr>
          <w:p>
            <w:pPr>
              <w:ind w:left="80"/>
              <w:spacing w:after="0"/>
              <w:rPr>
                <w:sz w:val="20"/>
                <w:szCs w:val="20"/>
                <w:color w:val="auto"/>
              </w:rPr>
            </w:pPr>
            <w:r>
              <w:rPr>
                <w:rFonts w:ascii="Arial" w:cs="Arial" w:eastAsia="Arial" w:hAnsi="Arial"/>
                <w:sz w:val="16"/>
                <w:szCs w:val="16"/>
                <w:color w:val="auto"/>
              </w:rPr>
              <w:t>Michael Seibel</w:t>
            </w:r>
            <w:r>
              <w:rPr>
                <w:rFonts w:ascii="Arial" w:cs="Arial" w:eastAsia="Arial" w:hAnsi="Arial"/>
                <w:sz w:val="26"/>
                <w:szCs w:val="26"/>
                <w:color w:val="auto"/>
                <w:vertAlign w:val="superscript"/>
              </w:rPr>
              <w:t>(5)</w:t>
            </w:r>
          </w:p>
        </w:tc>
        <w:tc>
          <w:tcPr>
            <w:tcW w:w="1840" w:type="dxa"/>
            <w:vAlign w:val="bottom"/>
          </w:tcPr>
          <w:p>
            <w:pPr>
              <w:jc w:val="right"/>
              <w:ind w:right="382"/>
              <w:spacing w:after="0"/>
              <w:rPr>
                <w:sz w:val="20"/>
                <w:szCs w:val="20"/>
                <w:color w:val="auto"/>
              </w:rPr>
            </w:pPr>
            <w:r>
              <w:rPr>
                <w:rFonts w:ascii="Arial" w:cs="Arial" w:eastAsia="Arial" w:hAnsi="Arial"/>
                <w:sz w:val="16"/>
                <w:szCs w:val="16"/>
                <w:color w:val="auto"/>
              </w:rPr>
              <w:t>3,607</w:t>
            </w:r>
          </w:p>
        </w:tc>
        <w:tc>
          <w:tcPr>
            <w:tcW w:w="1760" w:type="dxa"/>
            <w:vAlign w:val="bottom"/>
          </w:tcPr>
          <w:p>
            <w:pPr>
              <w:jc w:val="right"/>
              <w:ind w:right="401"/>
              <w:spacing w:after="0"/>
              <w:rPr>
                <w:sz w:val="20"/>
                <w:szCs w:val="20"/>
                <w:color w:val="auto"/>
              </w:rPr>
            </w:pPr>
            <w:r>
              <w:rPr>
                <w:rFonts w:ascii="Arial" w:cs="Arial" w:eastAsia="Arial" w:hAnsi="Arial"/>
                <w:sz w:val="16"/>
                <w:szCs w:val="16"/>
                <w:color w:val="auto"/>
              </w:rPr>
              <w:t>98,384</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jc w:val="right"/>
              <w:ind w:right="500"/>
              <w:spacing w:after="0"/>
              <w:rPr>
                <w:sz w:val="20"/>
                <w:szCs w:val="20"/>
                <w:color w:val="auto"/>
              </w:rPr>
            </w:pPr>
            <w:r>
              <w:rPr>
                <w:rFonts w:ascii="Arial" w:cs="Arial" w:eastAsia="Arial" w:hAnsi="Arial"/>
                <w:sz w:val="16"/>
                <w:szCs w:val="16"/>
                <w:color w:val="auto"/>
              </w:rPr>
              <w:t>101,991</w:t>
            </w:r>
          </w:p>
        </w:tc>
      </w:tr>
      <w:tr>
        <w:trPr>
          <w:trHeight w:val="351"/>
        </w:trPr>
        <w:tc>
          <w:tcPr>
            <w:tcW w:w="2500" w:type="dxa"/>
            <w:vAlign w:val="bottom"/>
            <w:shd w:val="clear" w:color="auto" w:fill="F2F2F2"/>
          </w:tcPr>
          <w:p>
            <w:pPr>
              <w:ind w:left="80"/>
              <w:spacing w:after="0"/>
              <w:rPr>
                <w:sz w:val="20"/>
                <w:szCs w:val="20"/>
                <w:color w:val="auto"/>
              </w:rPr>
            </w:pPr>
            <w:r>
              <w:rPr>
                <w:rFonts w:ascii="Arial" w:cs="Arial" w:eastAsia="Arial" w:hAnsi="Arial"/>
                <w:sz w:val="16"/>
                <w:szCs w:val="16"/>
                <w:color w:val="auto"/>
              </w:rPr>
              <w:t>Margaret C. Whitman</w:t>
            </w:r>
            <w:r>
              <w:rPr>
                <w:rFonts w:ascii="Arial" w:cs="Arial" w:eastAsia="Arial" w:hAnsi="Arial"/>
                <w:sz w:val="26"/>
                <w:szCs w:val="26"/>
                <w:color w:val="auto"/>
                <w:vertAlign w:val="superscript"/>
              </w:rPr>
              <w:t>(6)</w:t>
            </w:r>
          </w:p>
        </w:tc>
        <w:tc>
          <w:tcPr>
            <w:tcW w:w="18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23,764</w:t>
            </w:r>
          </w:p>
        </w:tc>
        <w:tc>
          <w:tcPr>
            <w:tcW w:w="1760" w:type="dxa"/>
            <w:vAlign w:val="bottom"/>
            <w:shd w:val="clear" w:color="auto" w:fill="F2F2F2"/>
          </w:tcPr>
          <w:p>
            <w:pPr>
              <w:jc w:val="center"/>
              <w:ind w:left="61"/>
              <w:spacing w:after="0"/>
              <w:rPr>
                <w:sz w:val="20"/>
                <w:szCs w:val="20"/>
                <w:color w:val="auto"/>
              </w:rPr>
            </w:pPr>
            <w:r>
              <w:rPr>
                <w:rFonts w:ascii="Arial" w:cs="Arial" w:eastAsia="Arial" w:hAnsi="Arial"/>
                <w:sz w:val="16"/>
                <w:szCs w:val="16"/>
                <w:color w:val="auto"/>
              </w:rPr>
              <w:t>—</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jc w:val="right"/>
              <w:ind w:right="500"/>
              <w:spacing w:after="0"/>
              <w:rPr>
                <w:sz w:val="20"/>
                <w:szCs w:val="20"/>
                <w:color w:val="auto"/>
              </w:rPr>
            </w:pPr>
            <w:r>
              <w:rPr>
                <w:rFonts w:ascii="Arial" w:cs="Arial" w:eastAsia="Arial" w:hAnsi="Arial"/>
                <w:sz w:val="16"/>
                <w:szCs w:val="16"/>
                <w:color w:val="auto"/>
              </w:rPr>
              <w:t>23,764</w:t>
            </w:r>
          </w:p>
        </w:tc>
      </w:tr>
    </w:tbl>
    <w:p>
      <w:pPr>
        <w:spacing w:after="0" w:line="99" w:lineRule="exact"/>
        <w:rPr>
          <w:sz w:val="20"/>
          <w:szCs w:val="20"/>
          <w:color w:val="auto"/>
        </w:rPr>
      </w:pPr>
    </w:p>
    <w:p>
      <w:pPr>
        <w:ind w:left="960" w:right="760" w:hanging="244"/>
        <w:spacing w:after="0" w:line="207" w:lineRule="auto"/>
        <w:tabs>
          <w:tab w:leader="none" w:pos="96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2020 computed in accordance with ASC Topic 718 —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w:t>
      </w:r>
    </w:p>
    <w:p>
      <w:pPr>
        <w:spacing w:after="0" w:line="17" w:lineRule="exact"/>
        <w:rPr>
          <w:rFonts w:ascii="Arial" w:cs="Arial" w:eastAsia="Arial" w:hAnsi="Arial"/>
          <w:sz w:val="22"/>
          <w:szCs w:val="22"/>
          <w:color w:val="auto"/>
          <w:vertAlign w:val="superscript"/>
        </w:rPr>
      </w:pPr>
    </w:p>
    <w:p>
      <w:pPr>
        <w:ind w:left="960" w:right="1040" w:hanging="244"/>
        <w:spacing w:after="0" w:line="193" w:lineRule="auto"/>
        <w:tabs>
          <w:tab w:leader="none" w:pos="96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21, 2021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21</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63A6"/>
        </w:rPr>
        <w:t>BOARD OF DIRECTORS AND CORPORATE GOVERNANCE (continued)</w:t>
      </w:r>
    </w:p>
    <w:p>
      <w:pPr>
        <w:spacing w:after="0" w:line="338" w:lineRule="exact"/>
        <w:rPr>
          <w:sz w:val="20"/>
          <w:szCs w:val="20"/>
          <w:color w:val="auto"/>
        </w:rPr>
      </w:pPr>
    </w:p>
    <w:p>
      <w:pPr>
        <w:ind w:left="244" w:right="200" w:hanging="244"/>
        <w:spacing w:after="0" w:line="193"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Mr. Schreier resigned as a member of the board of directors, effective December 10, 2020 and as such, his fees were prorated for the portion of 2020 in which he served as a director, as reflected in the amount set forth in the table above.</w:t>
      </w:r>
    </w:p>
    <w:p>
      <w:pPr>
        <w:spacing w:after="0" w:line="4" w:lineRule="exact"/>
        <w:rPr>
          <w:rFonts w:ascii="Arial" w:cs="Arial" w:eastAsia="Arial" w:hAnsi="Arial"/>
          <w:sz w:val="22"/>
          <w:szCs w:val="22"/>
          <w:color w:val="auto"/>
          <w:vertAlign w:val="superscript"/>
        </w:rPr>
      </w:pPr>
    </w:p>
    <w:p>
      <w:pPr>
        <w:ind w:left="244" w:right="20" w:hanging="244"/>
        <w:spacing w:after="0" w:line="193"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11,297 unvested RSUs, representing a grant date fair value of $251,076, were forfeited upon Mr. Schreier’s resignation from the board of directors on December 10, 2020.</w:t>
      </w:r>
    </w:p>
    <w:p>
      <w:pPr>
        <w:spacing w:after="0" w:line="4" w:lineRule="exact"/>
        <w:rPr>
          <w:rFonts w:ascii="Arial" w:cs="Arial" w:eastAsia="Arial" w:hAnsi="Arial"/>
          <w:sz w:val="22"/>
          <w:szCs w:val="22"/>
          <w:color w:val="auto"/>
          <w:vertAlign w:val="superscript"/>
        </w:rPr>
      </w:pPr>
    </w:p>
    <w:p>
      <w:pPr>
        <w:ind w:left="244" w:right="20" w:hanging="244"/>
        <w:spacing w:after="0" w:line="193"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Mr. Seibel joined our board of directors in December 2020, and therefore his fees and equity awards were prorated for the portion of 2020 in which he served as a director, as reflected in the amount set forth in the table above.</w:t>
      </w:r>
    </w:p>
    <w:p>
      <w:pPr>
        <w:spacing w:after="0" w:line="18" w:lineRule="exact"/>
        <w:rPr>
          <w:rFonts w:ascii="Arial" w:cs="Arial" w:eastAsia="Arial" w:hAnsi="Arial"/>
          <w:sz w:val="22"/>
          <w:szCs w:val="22"/>
          <w:color w:val="auto"/>
          <w:vertAlign w:val="superscript"/>
        </w:rPr>
      </w:pPr>
    </w:p>
    <w:p>
      <w:pPr>
        <w:ind w:left="244" w:right="220" w:hanging="244"/>
        <w:spacing w:after="0" w:line="207"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Ms. Whitman did not stand for re-election as a director at the 2020 annual meeting of stockholders and as such, her term as director ended effective as of May 21, 2020 and her fees were prorated for the portion of 2020 in which she served as a director, as reflected in the amount set forth in the table above.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108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7585" cy="210883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400" w:type="dxa"/>
            <w:vAlign w:val="bottom"/>
            <w:shd w:val="clear" w:color="auto" w:fill="0063A6"/>
          </w:tcPr>
          <w:p>
            <w:pPr>
              <w:spacing w:after="0"/>
              <w:rPr>
                <w:sz w:val="22"/>
                <w:szCs w:val="22"/>
                <w:color w:val="auto"/>
              </w:rPr>
            </w:pPr>
          </w:p>
        </w:tc>
        <w:tc>
          <w:tcPr>
            <w:tcW w:w="3340" w:type="dxa"/>
            <w:vAlign w:val="bottom"/>
            <w:shd w:val="clear" w:color="auto" w:fill="0063A6"/>
          </w:tcPr>
          <w:p>
            <w:pPr>
              <w:spacing w:after="0"/>
              <w:rPr>
                <w:sz w:val="22"/>
                <w:szCs w:val="22"/>
                <w:color w:val="auto"/>
              </w:rPr>
            </w:pPr>
          </w:p>
        </w:tc>
        <w:tc>
          <w:tcPr>
            <w:tcW w:w="2820" w:type="dxa"/>
            <w:vAlign w:val="bottom"/>
            <w:shd w:val="clear" w:color="auto" w:fill="0063A6"/>
          </w:tcPr>
          <w:p>
            <w:pPr>
              <w:jc w:val="center"/>
              <w:ind w:left="142"/>
              <w:spacing w:after="0"/>
              <w:rPr>
                <w:sz w:val="20"/>
                <w:szCs w:val="20"/>
                <w:color w:val="auto"/>
              </w:rPr>
            </w:pPr>
            <w:r>
              <w:rPr>
                <w:rFonts w:ascii="Arial" w:cs="Arial" w:eastAsia="Arial" w:hAnsi="Arial"/>
                <w:sz w:val="14"/>
                <w:szCs w:val="14"/>
                <w:b w:val="1"/>
                <w:bCs w:val="1"/>
                <w:color w:val="FFFFFF"/>
              </w:rPr>
              <w:t>Number of Shares</w:t>
            </w:r>
          </w:p>
        </w:tc>
      </w:tr>
      <w:tr>
        <w:trPr>
          <w:trHeight w:val="148"/>
        </w:trPr>
        <w:tc>
          <w:tcPr>
            <w:tcW w:w="3400" w:type="dxa"/>
            <w:vAlign w:val="bottom"/>
            <w:shd w:val="clear" w:color="auto" w:fill="0063A6"/>
          </w:tcPr>
          <w:p>
            <w:pPr>
              <w:spacing w:after="0"/>
              <w:rPr>
                <w:sz w:val="12"/>
                <w:szCs w:val="12"/>
                <w:color w:val="auto"/>
              </w:rPr>
            </w:pPr>
          </w:p>
        </w:tc>
        <w:tc>
          <w:tcPr>
            <w:tcW w:w="3340" w:type="dxa"/>
            <w:vAlign w:val="bottom"/>
            <w:shd w:val="clear" w:color="auto" w:fill="0063A6"/>
          </w:tcPr>
          <w:p>
            <w:pPr>
              <w:ind w:left="2080"/>
              <w:spacing w:after="0" w:line="148" w:lineRule="exact"/>
              <w:rPr>
                <w:sz w:val="20"/>
                <w:szCs w:val="20"/>
                <w:color w:val="auto"/>
              </w:rPr>
            </w:pPr>
            <w:r>
              <w:rPr>
                <w:rFonts w:ascii="Arial" w:cs="Arial" w:eastAsia="Arial" w:hAnsi="Arial"/>
                <w:sz w:val="14"/>
                <w:szCs w:val="14"/>
                <w:b w:val="1"/>
                <w:bCs w:val="1"/>
                <w:color w:val="FFFFFF"/>
              </w:rPr>
              <w:t>Date of</w:t>
            </w:r>
          </w:p>
        </w:tc>
        <w:tc>
          <w:tcPr>
            <w:tcW w:w="2820" w:type="dxa"/>
            <w:vAlign w:val="bottom"/>
            <w:shd w:val="clear" w:color="auto" w:fill="0063A6"/>
          </w:tcPr>
          <w:p>
            <w:pPr>
              <w:jc w:val="center"/>
              <w:ind w:left="122"/>
              <w:spacing w:after="0" w:line="148" w:lineRule="exact"/>
              <w:rPr>
                <w:sz w:val="20"/>
                <w:szCs w:val="20"/>
                <w:color w:val="auto"/>
              </w:rPr>
            </w:pPr>
            <w:r>
              <w:rPr>
                <w:rFonts w:ascii="Arial" w:cs="Arial" w:eastAsia="Arial" w:hAnsi="Arial"/>
                <w:sz w:val="14"/>
                <w:szCs w:val="14"/>
                <w:b w:val="1"/>
                <w:bCs w:val="1"/>
                <w:color w:val="FFFFFF"/>
              </w:rPr>
              <w:t>Underlying</w:t>
            </w:r>
          </w:p>
        </w:tc>
      </w:tr>
      <w:tr>
        <w:trPr>
          <w:trHeight w:val="283"/>
        </w:trPr>
        <w:tc>
          <w:tcPr>
            <w:tcW w:w="34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3340" w:type="dxa"/>
            <w:vAlign w:val="bottom"/>
            <w:shd w:val="clear" w:color="auto" w:fill="0063A6"/>
          </w:tcPr>
          <w:p>
            <w:pPr>
              <w:ind w:left="2080"/>
              <w:spacing w:after="0"/>
              <w:rPr>
                <w:sz w:val="20"/>
                <w:szCs w:val="20"/>
                <w:color w:val="auto"/>
              </w:rPr>
            </w:pPr>
            <w:r>
              <w:rPr>
                <w:rFonts w:ascii="Arial" w:cs="Arial" w:eastAsia="Arial" w:hAnsi="Arial"/>
                <w:sz w:val="14"/>
                <w:szCs w:val="14"/>
                <w:b w:val="1"/>
                <w:bCs w:val="1"/>
                <w:color w:val="FFFFFF"/>
              </w:rPr>
              <w:t>Grant</w:t>
            </w:r>
            <w:r>
              <w:rPr>
                <w:rFonts w:ascii="Arial" w:cs="Arial" w:eastAsia="Arial" w:hAnsi="Arial"/>
                <w:sz w:val="23"/>
                <w:szCs w:val="23"/>
                <w:b w:val="1"/>
                <w:bCs w:val="1"/>
                <w:color w:val="FFFFFF"/>
                <w:vertAlign w:val="superscript"/>
              </w:rPr>
              <w:t>(1)</w:t>
            </w:r>
          </w:p>
        </w:tc>
        <w:tc>
          <w:tcPr>
            <w:tcW w:w="2820" w:type="dxa"/>
            <w:vAlign w:val="bottom"/>
            <w:shd w:val="clear" w:color="auto" w:fill="0063A6"/>
          </w:tcPr>
          <w:p>
            <w:pPr>
              <w:jc w:val="center"/>
              <w:ind w:left="162"/>
              <w:spacing w:after="0"/>
              <w:rPr>
                <w:sz w:val="20"/>
                <w:szCs w:val="20"/>
                <w:color w:val="auto"/>
              </w:rPr>
            </w:pPr>
            <w:r>
              <w:rPr>
                <w:rFonts w:ascii="Arial" w:cs="Arial" w:eastAsia="Arial" w:hAnsi="Arial"/>
                <w:sz w:val="14"/>
                <w:szCs w:val="14"/>
                <w:b w:val="1"/>
                <w:bCs w:val="1"/>
                <w:color w:val="FFFFFF"/>
              </w:rPr>
              <w:t>Unvested Stock Awards (#)</w:t>
            </w:r>
          </w:p>
        </w:tc>
      </w:tr>
      <w:tr>
        <w:trPr>
          <w:trHeight w:val="291"/>
        </w:trPr>
        <w:tc>
          <w:tcPr>
            <w:tcW w:w="3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Donald W. Blair</w:t>
            </w:r>
          </w:p>
        </w:tc>
        <w:tc>
          <w:tcPr>
            <w:tcW w:w="3340" w:type="dxa"/>
            <w:vAlign w:val="bottom"/>
            <w:shd w:val="clear" w:color="auto" w:fill="F2F2F2"/>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shd w:val="clear" w:color="auto" w:fill="F2F2F2"/>
          </w:tcPr>
          <w:p>
            <w:pPr>
              <w:spacing w:after="0"/>
              <w:rPr>
                <w:sz w:val="7"/>
                <w:szCs w:val="7"/>
                <w:color w:val="auto"/>
              </w:rPr>
            </w:pPr>
          </w:p>
        </w:tc>
        <w:tc>
          <w:tcPr>
            <w:tcW w:w="3340" w:type="dxa"/>
            <w:vAlign w:val="bottom"/>
            <w:shd w:val="clear" w:color="auto" w:fill="F2F2F2"/>
          </w:tcPr>
          <w:p>
            <w:pPr>
              <w:spacing w:after="0"/>
              <w:rPr>
                <w:sz w:val="7"/>
                <w:szCs w:val="7"/>
                <w:color w:val="auto"/>
              </w:rPr>
            </w:pPr>
          </w:p>
        </w:tc>
        <w:tc>
          <w:tcPr>
            <w:tcW w:w="2820" w:type="dxa"/>
            <w:vAlign w:val="bottom"/>
            <w:shd w:val="clear" w:color="auto" w:fill="F2F2F2"/>
          </w:tcPr>
          <w:p>
            <w:pPr>
              <w:spacing w:after="0"/>
              <w:rPr>
                <w:sz w:val="7"/>
                <w:szCs w:val="7"/>
                <w:color w:val="auto"/>
              </w:rPr>
            </w:pPr>
          </w:p>
        </w:tc>
      </w:tr>
      <w:tr>
        <w:trPr>
          <w:trHeight w:val="291"/>
        </w:trPr>
        <w:tc>
          <w:tcPr>
            <w:tcW w:w="3400" w:type="dxa"/>
            <w:vAlign w:val="bottom"/>
          </w:tcPr>
          <w:p>
            <w:pPr>
              <w:ind w:left="80"/>
              <w:spacing w:after="0"/>
              <w:rPr>
                <w:sz w:val="20"/>
                <w:szCs w:val="20"/>
                <w:color w:val="auto"/>
              </w:rPr>
            </w:pPr>
            <w:r>
              <w:rPr>
                <w:rFonts w:ascii="Arial" w:cs="Arial" w:eastAsia="Arial" w:hAnsi="Arial"/>
                <w:sz w:val="16"/>
                <w:szCs w:val="16"/>
                <w:color w:val="auto"/>
              </w:rPr>
              <w:t>Lisa Campbell</w:t>
            </w:r>
          </w:p>
        </w:tc>
        <w:tc>
          <w:tcPr>
            <w:tcW w:w="3340" w:type="dxa"/>
            <w:vAlign w:val="bottom"/>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820" w:type="dxa"/>
            <w:vAlign w:val="bottom"/>
          </w:tcPr>
          <w:p>
            <w:pPr>
              <w:spacing w:after="0"/>
              <w:rPr>
                <w:sz w:val="7"/>
                <w:szCs w:val="7"/>
                <w:color w:val="auto"/>
              </w:rPr>
            </w:pPr>
          </w:p>
        </w:tc>
      </w:tr>
      <w:tr>
        <w:trPr>
          <w:trHeight w:val="291"/>
        </w:trPr>
        <w:tc>
          <w:tcPr>
            <w:tcW w:w="3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Paul E. Jacobs</w:t>
            </w:r>
          </w:p>
        </w:tc>
        <w:tc>
          <w:tcPr>
            <w:tcW w:w="3340" w:type="dxa"/>
            <w:vAlign w:val="bottom"/>
            <w:shd w:val="clear" w:color="auto" w:fill="F2F2F2"/>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shd w:val="clear" w:color="auto" w:fill="F2F2F2"/>
          </w:tcPr>
          <w:p>
            <w:pPr>
              <w:spacing w:after="0"/>
              <w:rPr>
                <w:sz w:val="7"/>
                <w:szCs w:val="7"/>
                <w:color w:val="auto"/>
              </w:rPr>
            </w:pPr>
          </w:p>
        </w:tc>
        <w:tc>
          <w:tcPr>
            <w:tcW w:w="3340" w:type="dxa"/>
            <w:vAlign w:val="bottom"/>
            <w:shd w:val="clear" w:color="auto" w:fill="F2F2F2"/>
          </w:tcPr>
          <w:p>
            <w:pPr>
              <w:spacing w:after="0"/>
              <w:rPr>
                <w:sz w:val="7"/>
                <w:szCs w:val="7"/>
                <w:color w:val="auto"/>
              </w:rPr>
            </w:pPr>
          </w:p>
        </w:tc>
        <w:tc>
          <w:tcPr>
            <w:tcW w:w="2820" w:type="dxa"/>
            <w:vAlign w:val="bottom"/>
            <w:shd w:val="clear" w:color="auto" w:fill="F2F2F2"/>
          </w:tcPr>
          <w:p>
            <w:pPr>
              <w:spacing w:after="0"/>
              <w:rPr>
                <w:sz w:val="7"/>
                <w:szCs w:val="7"/>
                <w:color w:val="auto"/>
              </w:rPr>
            </w:pPr>
          </w:p>
        </w:tc>
      </w:tr>
      <w:tr>
        <w:trPr>
          <w:trHeight w:val="291"/>
        </w:trPr>
        <w:tc>
          <w:tcPr>
            <w:tcW w:w="3400" w:type="dxa"/>
            <w:vAlign w:val="bottom"/>
          </w:tcPr>
          <w:p>
            <w:pPr>
              <w:ind w:left="80"/>
              <w:spacing w:after="0"/>
              <w:rPr>
                <w:sz w:val="20"/>
                <w:szCs w:val="20"/>
                <w:color w:val="auto"/>
              </w:rPr>
            </w:pPr>
            <w:r>
              <w:rPr>
                <w:rFonts w:ascii="Arial" w:cs="Arial" w:eastAsia="Arial" w:hAnsi="Arial"/>
                <w:sz w:val="16"/>
                <w:szCs w:val="16"/>
                <w:color w:val="auto"/>
              </w:rPr>
              <w:t>Robert J. Mylod, Jr.</w:t>
            </w:r>
          </w:p>
        </w:tc>
        <w:tc>
          <w:tcPr>
            <w:tcW w:w="3340" w:type="dxa"/>
            <w:vAlign w:val="bottom"/>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820" w:type="dxa"/>
            <w:vAlign w:val="bottom"/>
          </w:tcPr>
          <w:p>
            <w:pPr>
              <w:spacing w:after="0"/>
              <w:rPr>
                <w:sz w:val="7"/>
                <w:szCs w:val="7"/>
                <w:color w:val="auto"/>
              </w:rPr>
            </w:pPr>
          </w:p>
        </w:tc>
      </w:tr>
      <w:tr>
        <w:trPr>
          <w:trHeight w:val="291"/>
        </w:trPr>
        <w:tc>
          <w:tcPr>
            <w:tcW w:w="3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Karen Peacock</w:t>
            </w:r>
          </w:p>
        </w:tc>
        <w:tc>
          <w:tcPr>
            <w:tcW w:w="3340" w:type="dxa"/>
            <w:vAlign w:val="bottom"/>
            <w:shd w:val="clear" w:color="auto" w:fill="F2F2F2"/>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shd w:val="clear" w:color="auto" w:fill="F2F2F2"/>
          </w:tcPr>
          <w:p>
            <w:pPr>
              <w:spacing w:after="0"/>
              <w:rPr>
                <w:sz w:val="7"/>
                <w:szCs w:val="7"/>
                <w:color w:val="auto"/>
              </w:rPr>
            </w:pPr>
          </w:p>
        </w:tc>
        <w:tc>
          <w:tcPr>
            <w:tcW w:w="3340" w:type="dxa"/>
            <w:vAlign w:val="bottom"/>
            <w:shd w:val="clear" w:color="auto" w:fill="F2F2F2"/>
          </w:tcPr>
          <w:p>
            <w:pPr>
              <w:spacing w:after="0"/>
              <w:rPr>
                <w:sz w:val="7"/>
                <w:szCs w:val="7"/>
                <w:color w:val="auto"/>
              </w:rPr>
            </w:pPr>
          </w:p>
        </w:tc>
        <w:tc>
          <w:tcPr>
            <w:tcW w:w="2820" w:type="dxa"/>
            <w:vAlign w:val="bottom"/>
            <w:shd w:val="clear" w:color="auto" w:fill="F2F2F2"/>
          </w:tcPr>
          <w:p>
            <w:pPr>
              <w:spacing w:after="0"/>
              <w:rPr>
                <w:sz w:val="7"/>
                <w:szCs w:val="7"/>
                <w:color w:val="auto"/>
              </w:rPr>
            </w:pPr>
          </w:p>
        </w:tc>
      </w:tr>
      <w:tr>
        <w:trPr>
          <w:trHeight w:val="291"/>
        </w:trPr>
        <w:tc>
          <w:tcPr>
            <w:tcW w:w="3400" w:type="dxa"/>
            <w:vAlign w:val="bottom"/>
          </w:tcPr>
          <w:p>
            <w:pPr>
              <w:ind w:left="80"/>
              <w:spacing w:after="0"/>
              <w:rPr>
                <w:sz w:val="20"/>
                <w:szCs w:val="20"/>
                <w:color w:val="auto"/>
              </w:rPr>
            </w:pPr>
            <w:r>
              <w:rPr>
                <w:rFonts w:ascii="Arial" w:cs="Arial" w:eastAsia="Arial" w:hAnsi="Arial"/>
                <w:sz w:val="16"/>
                <w:szCs w:val="16"/>
                <w:color w:val="auto"/>
              </w:rPr>
              <w:t>Condoleezza Rice</w:t>
            </w:r>
          </w:p>
        </w:tc>
        <w:tc>
          <w:tcPr>
            <w:tcW w:w="3340" w:type="dxa"/>
            <w:vAlign w:val="bottom"/>
          </w:tcPr>
          <w:p>
            <w:pPr>
              <w:jc w:val="right"/>
              <w:ind w:right="541"/>
              <w:spacing w:after="0"/>
              <w:rPr>
                <w:sz w:val="20"/>
                <w:szCs w:val="20"/>
                <w:color w:val="auto"/>
              </w:rPr>
            </w:pPr>
            <w:r>
              <w:rPr>
                <w:rFonts w:ascii="Arial" w:cs="Arial" w:eastAsia="Arial" w:hAnsi="Arial"/>
                <w:sz w:val="16"/>
                <w:szCs w:val="16"/>
                <w:color w:val="auto"/>
              </w:rPr>
              <w:t>5/21/2020</w:t>
            </w:r>
          </w:p>
        </w:tc>
        <w:tc>
          <w:tcPr>
            <w:tcW w:w="2820" w:type="dxa"/>
            <w:vAlign w:val="bottom"/>
          </w:tcPr>
          <w:p>
            <w:pPr>
              <w:jc w:val="center"/>
              <w:ind w:left="202"/>
              <w:spacing w:after="0"/>
              <w:rPr>
                <w:sz w:val="20"/>
                <w:szCs w:val="20"/>
                <w:color w:val="auto"/>
              </w:rPr>
            </w:pPr>
            <w:r>
              <w:rPr>
                <w:rFonts w:ascii="Arial" w:cs="Arial" w:eastAsia="Arial" w:hAnsi="Arial"/>
                <w:sz w:val="16"/>
                <w:szCs w:val="16"/>
                <w:color w:val="auto"/>
              </w:rPr>
              <w:t>11,297</w:t>
            </w:r>
          </w:p>
        </w:tc>
      </w:tr>
      <w:tr>
        <w:trPr>
          <w:trHeight w:val="87"/>
        </w:trPr>
        <w:tc>
          <w:tcPr>
            <w:tcW w:w="34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820" w:type="dxa"/>
            <w:vAlign w:val="bottom"/>
          </w:tcPr>
          <w:p>
            <w:pPr>
              <w:spacing w:after="0"/>
              <w:rPr>
                <w:sz w:val="7"/>
                <w:szCs w:val="7"/>
                <w:color w:val="auto"/>
              </w:rPr>
            </w:pPr>
          </w:p>
        </w:tc>
      </w:tr>
      <w:tr>
        <w:trPr>
          <w:trHeight w:val="351"/>
        </w:trPr>
        <w:tc>
          <w:tcPr>
            <w:tcW w:w="3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Michael Seibel</w:t>
            </w:r>
            <w:r>
              <w:rPr>
                <w:rFonts w:ascii="Arial" w:cs="Arial" w:eastAsia="Arial" w:hAnsi="Arial"/>
                <w:sz w:val="26"/>
                <w:szCs w:val="26"/>
                <w:color w:val="auto"/>
                <w:vertAlign w:val="superscript"/>
              </w:rPr>
              <w:t>(2)</w:t>
            </w:r>
          </w:p>
        </w:tc>
        <w:tc>
          <w:tcPr>
            <w:tcW w:w="3340" w:type="dxa"/>
            <w:vAlign w:val="bottom"/>
            <w:shd w:val="clear" w:color="auto" w:fill="F2F2F2"/>
          </w:tcPr>
          <w:p>
            <w:pPr>
              <w:jc w:val="right"/>
              <w:ind w:right="501"/>
              <w:spacing w:after="0"/>
              <w:rPr>
                <w:sz w:val="20"/>
                <w:szCs w:val="20"/>
                <w:color w:val="auto"/>
              </w:rPr>
            </w:pPr>
            <w:r>
              <w:rPr>
                <w:rFonts w:ascii="Arial" w:cs="Arial" w:eastAsia="Arial" w:hAnsi="Arial"/>
                <w:sz w:val="16"/>
                <w:szCs w:val="16"/>
                <w:color w:val="auto"/>
              </w:rPr>
              <w:t>12/11/2020</w:t>
            </w:r>
          </w:p>
        </w:tc>
        <w:tc>
          <w:tcPr>
            <w:tcW w:w="2820" w:type="dxa"/>
            <w:vAlign w:val="bottom"/>
            <w:shd w:val="clear" w:color="auto" w:fill="F2F2F2"/>
          </w:tcPr>
          <w:p>
            <w:pPr>
              <w:jc w:val="right"/>
              <w:ind w:right="982"/>
              <w:spacing w:after="0"/>
              <w:rPr>
                <w:sz w:val="20"/>
                <w:szCs w:val="20"/>
                <w:color w:val="auto"/>
              </w:rPr>
            </w:pPr>
            <w:r>
              <w:rPr>
                <w:rFonts w:ascii="Arial" w:cs="Arial" w:eastAsia="Arial" w:hAnsi="Arial"/>
                <w:sz w:val="16"/>
                <w:szCs w:val="16"/>
                <w:color w:val="auto"/>
              </w:rPr>
              <w:t>4,632</w:t>
            </w:r>
          </w:p>
        </w:tc>
      </w:tr>
    </w:tbl>
    <w:p>
      <w:pPr>
        <w:spacing w:after="0" w:line="113" w:lineRule="exact"/>
        <w:rPr>
          <w:sz w:val="20"/>
          <w:szCs w:val="20"/>
          <w:color w:val="auto"/>
        </w:rPr>
      </w:pPr>
    </w:p>
    <w:p>
      <w:pPr>
        <w:ind w:left="244" w:right="300" w:hanging="244"/>
        <w:spacing w:after="0" w:line="193" w:lineRule="auto"/>
        <w:tabs>
          <w:tab w:leader="none" w:pos="244"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21, 2021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4" w:lineRule="exact"/>
        <w:rPr>
          <w:rFonts w:ascii="Arial" w:cs="Arial" w:eastAsia="Arial" w:hAnsi="Arial"/>
          <w:sz w:val="22"/>
          <w:szCs w:val="22"/>
          <w:color w:val="auto"/>
          <w:vertAlign w:val="superscript"/>
        </w:rPr>
      </w:pPr>
    </w:p>
    <w:p>
      <w:pPr>
        <w:ind w:left="244" w:right="160" w:hanging="244"/>
        <w:spacing w:after="0" w:line="193" w:lineRule="auto"/>
        <w:tabs>
          <w:tab w:leader="none" w:pos="244"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Mr. Seibel joined our board of directors in December 2020, and therefore the number of shares covered by his equity award was prorated for the portion of 2020 in which he served as a director, as reflected in the figure set forth in the table above.</w:t>
      </w:r>
    </w:p>
    <w:p>
      <w:pPr>
        <w:spacing w:after="0" w:line="189" w:lineRule="exact"/>
        <w:rPr>
          <w:sz w:val="20"/>
          <w:szCs w:val="20"/>
          <w:color w:val="auto"/>
        </w:rPr>
      </w:pPr>
    </w:p>
    <w:p>
      <w:pPr>
        <w:ind w:left="524" w:hanging="524"/>
        <w:spacing w:after="0"/>
        <w:tabs>
          <w:tab w:leader="none" w:pos="524"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6" w:name="page27"/>
    <w:bookmarkEnd w:id="2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PROPOSAL NO. 1—ELECTION OF DIRECTORS</w:t>
      </w:r>
    </w:p>
    <w:p>
      <w:pPr>
        <w:spacing w:after="0" w:line="170" w:lineRule="exact"/>
        <w:rPr>
          <w:sz w:val="20"/>
          <w:szCs w:val="20"/>
          <w:color w:val="auto"/>
        </w:rPr>
      </w:pPr>
    </w:p>
    <w:p>
      <w:pPr>
        <w:ind w:left="720" w:right="820"/>
        <w:spacing w:after="0" w:line="253" w:lineRule="auto"/>
        <w:rPr>
          <w:sz w:val="20"/>
          <w:szCs w:val="20"/>
          <w:color w:val="auto"/>
        </w:rPr>
      </w:pPr>
      <w:r>
        <w:rPr>
          <w:rFonts w:ascii="Arial" w:cs="Arial" w:eastAsia="Arial" w:hAnsi="Arial"/>
          <w:sz w:val="16"/>
          <w:szCs w:val="16"/>
          <w:color w:val="auto"/>
        </w:rPr>
        <w:t>As of March 15, 2021, our board of directors consisted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5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Nominees</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Donald W. Blair, Lisa Campbell, Paul E. Jacobs, Robert J. Mylod, Jr., Karen Peacock and Michael Seibel as nominees for election as directors at the Annual Meeting. If elected, each of the nominees will serve as directors until the 2022 annual meeting of stockholders and until their successors are duly elected and qualified. Each of the nominees is currently a director of our company, although Mr. Seibel is standing for election by our stockholders for the first time.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We expect that each of Dr. Jacobs, Messrs. Houston, Blair, Mylod, and Seibel,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52" w:lineRule="exact"/>
        <w:rPr>
          <w:sz w:val="20"/>
          <w:szCs w:val="20"/>
          <w:color w:val="auto"/>
        </w:rPr>
      </w:pPr>
    </w:p>
    <w:p>
      <w:pPr>
        <w:jc w:val="both"/>
        <w:ind w:left="720" w:right="840"/>
        <w:spacing w:after="0" w:line="251"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 Jacobs, Messrs. Houston, Blair, Mylod, and Seibel, and Mss. Campbell and Peacock. If you are a street name stockholder and you do not give voting instructions to your broker or nominee, your broker will leave your shares unvoted on this matter.</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ind w:left="720" w:right="740"/>
        <w:spacing w:after="0" w:line="250"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23</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7" w:name="page28"/>
    <w:bookmarkEnd w:id="2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40"/>
        <w:spacing w:after="0" w:line="260"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119" w:lineRule="exact"/>
        <w:rPr>
          <w:sz w:val="20"/>
          <w:szCs w:val="20"/>
          <w:color w:val="auto"/>
        </w:rPr>
      </w:pPr>
    </w:p>
    <w:p>
      <w:pPr>
        <w:ind w:left="4" w:right="220"/>
        <w:spacing w:after="0" w:line="253"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2021. Ernst &amp; Young LLP has served as our independent registered public accounting firm since 2013.</w:t>
      </w:r>
    </w:p>
    <w:p>
      <w:pPr>
        <w:spacing w:after="0" w:line="147"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2021.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169" w:lineRule="exact"/>
        <w:rPr>
          <w:sz w:val="20"/>
          <w:szCs w:val="20"/>
          <w:color w:val="auto"/>
        </w:rPr>
      </w:pPr>
    </w:p>
    <w:p>
      <w:pPr>
        <w:ind w:left="4" w:right="160"/>
        <w:spacing w:after="0" w:line="260"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077585" cy="1423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38"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3960" w:type="dxa"/>
            <w:vAlign w:val="bottom"/>
            <w:shd w:val="clear" w:color="auto" w:fill="0063A6"/>
          </w:tcPr>
          <w:p>
            <w:pPr>
              <w:spacing w:after="0"/>
              <w:rPr>
                <w:sz w:val="24"/>
                <w:szCs w:val="24"/>
                <w:color w:val="auto"/>
              </w:rPr>
            </w:pPr>
          </w:p>
        </w:tc>
        <w:tc>
          <w:tcPr>
            <w:tcW w:w="2680" w:type="dxa"/>
            <w:vAlign w:val="bottom"/>
            <w:shd w:val="clear" w:color="auto" w:fill="0063A6"/>
          </w:tcPr>
          <w:p>
            <w:pPr>
              <w:spacing w:after="0"/>
              <w:rPr>
                <w:sz w:val="24"/>
                <w:szCs w:val="24"/>
                <w:color w:val="auto"/>
              </w:rPr>
            </w:pPr>
          </w:p>
        </w:tc>
        <w:tc>
          <w:tcPr>
            <w:tcW w:w="1240" w:type="dxa"/>
            <w:vAlign w:val="bottom"/>
            <w:shd w:val="clear" w:color="auto" w:fill="0063A6"/>
          </w:tcPr>
          <w:p>
            <w:pPr>
              <w:jc w:val="right"/>
              <w:ind w:right="601"/>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0063A6"/>
          </w:tcPr>
          <w:p>
            <w:pPr>
              <w:spacing w:after="0"/>
              <w:rPr>
                <w:sz w:val="24"/>
                <w:szCs w:val="24"/>
                <w:color w:val="auto"/>
              </w:rPr>
            </w:pPr>
          </w:p>
        </w:tc>
        <w:tc>
          <w:tcPr>
            <w:tcW w:w="1260" w:type="dxa"/>
            <w:vAlign w:val="bottom"/>
            <w:shd w:val="clear" w:color="auto" w:fill="0063A6"/>
          </w:tcPr>
          <w:p>
            <w:pPr>
              <w:jc w:val="right"/>
              <w:ind w:right="621"/>
              <w:spacing w:after="0"/>
              <w:rPr>
                <w:sz w:val="20"/>
                <w:szCs w:val="20"/>
                <w:color w:val="auto"/>
              </w:rPr>
            </w:pPr>
            <w:r>
              <w:rPr>
                <w:rFonts w:ascii="Arial" w:cs="Arial" w:eastAsia="Arial" w:hAnsi="Arial"/>
                <w:sz w:val="14"/>
                <w:szCs w:val="14"/>
                <w:b w:val="1"/>
                <w:bCs w:val="1"/>
                <w:color w:val="FFFFFF"/>
              </w:rPr>
              <w:t>2019</w:t>
            </w:r>
          </w:p>
        </w:tc>
      </w:tr>
      <w:tr>
        <w:trPr>
          <w:trHeight w:val="80"/>
        </w:trPr>
        <w:tc>
          <w:tcPr>
            <w:tcW w:w="3960" w:type="dxa"/>
            <w:vAlign w:val="bottom"/>
            <w:shd w:val="clear" w:color="auto" w:fill="0063A6"/>
          </w:tcPr>
          <w:p>
            <w:pPr>
              <w:spacing w:after="0"/>
              <w:rPr>
                <w:sz w:val="6"/>
                <w:szCs w:val="6"/>
                <w:color w:val="auto"/>
              </w:rPr>
            </w:pPr>
          </w:p>
        </w:tc>
        <w:tc>
          <w:tcPr>
            <w:tcW w:w="2680" w:type="dxa"/>
            <w:vAlign w:val="bottom"/>
            <w:shd w:val="clear" w:color="auto" w:fill="0063A6"/>
          </w:tcPr>
          <w:p>
            <w:pPr>
              <w:spacing w:after="0"/>
              <w:rPr>
                <w:sz w:val="6"/>
                <w:szCs w:val="6"/>
                <w:color w:val="auto"/>
              </w:rPr>
            </w:pPr>
          </w:p>
        </w:tc>
        <w:tc>
          <w:tcPr>
            <w:tcW w:w="1240" w:type="dxa"/>
            <w:vAlign w:val="bottom"/>
            <w:shd w:val="clear" w:color="auto" w:fill="0063A6"/>
          </w:tcPr>
          <w:p>
            <w:pPr>
              <w:spacing w:after="0"/>
              <w:rPr>
                <w:sz w:val="6"/>
                <w:szCs w:val="6"/>
                <w:color w:val="auto"/>
              </w:rPr>
            </w:pPr>
          </w:p>
        </w:tc>
        <w:tc>
          <w:tcPr>
            <w:tcW w:w="420" w:type="dxa"/>
            <w:vAlign w:val="bottom"/>
            <w:shd w:val="clear" w:color="auto" w:fill="0063A6"/>
          </w:tcPr>
          <w:p>
            <w:pPr>
              <w:spacing w:after="0"/>
              <w:rPr>
                <w:sz w:val="6"/>
                <w:szCs w:val="6"/>
                <w:color w:val="auto"/>
              </w:rPr>
            </w:pPr>
          </w:p>
        </w:tc>
        <w:tc>
          <w:tcPr>
            <w:tcW w:w="1260" w:type="dxa"/>
            <w:vAlign w:val="bottom"/>
            <w:shd w:val="clear" w:color="auto" w:fill="0063A6"/>
          </w:tcPr>
          <w:p>
            <w:pPr>
              <w:spacing w:after="0"/>
              <w:rPr>
                <w:sz w:val="6"/>
                <w:szCs w:val="6"/>
                <w:color w:val="auto"/>
              </w:rPr>
            </w:pPr>
          </w:p>
        </w:tc>
      </w:tr>
      <w:tr>
        <w:trPr>
          <w:trHeight w:val="378"/>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3,082,000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3,203,000</w:t>
            </w:r>
          </w:p>
        </w:tc>
      </w:tr>
      <w:tr>
        <w:trPr>
          <w:trHeight w:val="378"/>
        </w:trPr>
        <w:tc>
          <w:tcPr>
            <w:tcW w:w="3960" w:type="dxa"/>
            <w:vAlign w:val="bottom"/>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711,000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571,000</w:t>
            </w:r>
          </w:p>
        </w:tc>
      </w:tr>
      <w:tr>
        <w:trPr>
          <w:trHeight w:val="378"/>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126,000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321,000</w:t>
            </w:r>
          </w:p>
        </w:tc>
      </w:tr>
      <w:tr>
        <w:trPr>
          <w:trHeight w:val="378"/>
        </w:trPr>
        <w:tc>
          <w:tcPr>
            <w:tcW w:w="3960" w:type="dxa"/>
            <w:vAlign w:val="bottom"/>
          </w:tcPr>
          <w:p>
            <w:pPr>
              <w:ind w:left="80"/>
              <w:spacing w:after="0"/>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6,000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6,000</w:t>
            </w:r>
          </w:p>
        </w:tc>
      </w:tr>
      <w:tr>
        <w:trPr>
          <w:trHeight w:val="291"/>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Total Fees</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b w:val="1"/>
                <w:bCs w:val="1"/>
                <w:color w:val="auto"/>
              </w:rPr>
              <w:t>3,925,000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b w:val="1"/>
                <w:bCs w:val="1"/>
                <w:color w:val="auto"/>
              </w:rPr>
              <w:t>4,101,000</w:t>
            </w:r>
          </w:p>
        </w:tc>
      </w:tr>
      <w:tr>
        <w:trPr>
          <w:trHeight w:val="60"/>
        </w:trPr>
        <w:tc>
          <w:tcPr>
            <w:tcW w:w="3960" w:type="dxa"/>
            <w:vAlign w:val="bottom"/>
            <w:shd w:val="clear" w:color="auto" w:fill="F2F2F2"/>
          </w:tcPr>
          <w:p>
            <w:pPr>
              <w:spacing w:after="0"/>
              <w:rPr>
                <w:sz w:val="5"/>
                <w:szCs w:val="5"/>
                <w:color w:val="auto"/>
              </w:rPr>
            </w:pPr>
          </w:p>
        </w:tc>
        <w:tc>
          <w:tcPr>
            <w:tcW w:w="2680" w:type="dxa"/>
            <w:vAlign w:val="bottom"/>
            <w:shd w:val="clear" w:color="auto" w:fill="F2F2F2"/>
          </w:tcPr>
          <w:p>
            <w:pPr>
              <w:spacing w:after="0"/>
              <w:rPr>
                <w:sz w:val="5"/>
                <w:szCs w:val="5"/>
                <w:color w:val="auto"/>
              </w:rPr>
            </w:pPr>
          </w:p>
        </w:tc>
        <w:tc>
          <w:tcPr>
            <w:tcW w:w="1240" w:type="dxa"/>
            <w:vAlign w:val="bottom"/>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1260" w:type="dxa"/>
            <w:vAlign w:val="bottom"/>
            <w:shd w:val="clear" w:color="auto" w:fill="F2F2F2"/>
          </w:tcPr>
          <w:p>
            <w:pPr>
              <w:spacing w:after="0"/>
              <w:rPr>
                <w:sz w:val="5"/>
                <w:szCs w:val="5"/>
                <w:color w:val="auto"/>
              </w:rPr>
            </w:pPr>
          </w:p>
        </w:tc>
      </w:tr>
    </w:tbl>
    <w:p>
      <w:pPr>
        <w:spacing w:after="0" w:line="99" w:lineRule="exact"/>
        <w:rPr>
          <w:sz w:val="20"/>
          <w:szCs w:val="20"/>
          <w:color w:val="auto"/>
        </w:rPr>
      </w:pPr>
    </w:p>
    <w:p>
      <w:pPr>
        <w:ind w:left="244" w:right="60" w:hanging="244"/>
        <w:spacing w:after="0" w:line="207" w:lineRule="auto"/>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spacing w:after="0" w:line="17" w:lineRule="exact"/>
        <w:rPr>
          <w:rFonts w:ascii="Arial" w:cs="Arial" w:eastAsia="Arial" w:hAnsi="Arial"/>
          <w:sz w:val="22"/>
          <w:szCs w:val="22"/>
          <w:color w:val="auto"/>
          <w:vertAlign w:val="superscript"/>
        </w:rPr>
      </w:pPr>
    </w:p>
    <w:p>
      <w:pPr>
        <w:ind w:left="244" w:hanging="244"/>
        <w:spacing w:after="0" w:line="219" w:lineRule="auto"/>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For fiscal 2019 and fiscal 2020, this includes fees for professional services with respect to the Statement on Standards for Attestation Engagements (SSAE) No. 16 and other service organization control related examinations, certifications, and assessments, and for fiscal 2019, due diligence services related to mergers and acquisitions.</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spacing w:after="0" w:line="3" w:lineRule="exact"/>
        <w:rPr>
          <w:rFonts w:ascii="Arial" w:cs="Arial" w:eastAsia="Arial" w:hAnsi="Arial"/>
          <w:sz w:val="20"/>
          <w:szCs w:val="20"/>
          <w:color w:val="auto"/>
          <w:vertAlign w:val="superscript"/>
        </w:rPr>
      </w:pPr>
    </w:p>
    <w:p>
      <w:pPr>
        <w:ind w:left="244" w:right="540" w:hanging="244"/>
        <w:spacing w:after="0" w:line="193" w:lineRule="auto"/>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189" w:lineRule="exact"/>
        <w:rPr>
          <w:sz w:val="20"/>
          <w:szCs w:val="20"/>
          <w:color w:val="auto"/>
        </w:rPr>
      </w:pPr>
    </w:p>
    <w:p>
      <w:pPr>
        <w:ind w:left="524" w:hanging="524"/>
        <w:spacing w:after="0"/>
        <w:tabs>
          <w:tab w:leader="none" w:pos="52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 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8" w:name="page29"/>
    <w:bookmarkEnd w:id="2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jc w:val="both"/>
        <w:ind w:left="720" w:right="1380"/>
        <w:spacing w:after="0" w:line="253" w:lineRule="auto"/>
        <w:rPr>
          <w:sz w:val="20"/>
          <w:szCs w:val="20"/>
          <w:color w:val="auto"/>
        </w:rPr>
      </w:pPr>
      <w:r>
        <w:rPr>
          <w:rFonts w:ascii="Arial" w:cs="Arial" w:eastAsia="Arial" w:hAnsi="Arial"/>
          <w:sz w:val="32"/>
          <w:szCs w:val="32"/>
          <w:color w:val="0063A6"/>
        </w:rPr>
        <w:t>PROPOSAL NO. 2—RATIFICATION OF APPOINTMENT OF INDEPENDENT REGISTERED PUBLIC ACCOUNTING FIRM (continued)</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Auditor Independence</w:t>
      </w:r>
    </w:p>
    <w:p>
      <w:pPr>
        <w:spacing w:after="0" w:line="169" w:lineRule="exact"/>
        <w:rPr>
          <w:sz w:val="20"/>
          <w:szCs w:val="20"/>
          <w:color w:val="auto"/>
        </w:rPr>
      </w:pPr>
    </w:p>
    <w:p>
      <w:pPr>
        <w:ind w:left="720" w:right="820"/>
        <w:spacing w:after="0" w:line="253" w:lineRule="auto"/>
        <w:rPr>
          <w:sz w:val="20"/>
          <w:szCs w:val="20"/>
          <w:color w:val="auto"/>
        </w:rPr>
      </w:pPr>
      <w:r>
        <w:rPr>
          <w:rFonts w:ascii="Arial" w:cs="Arial" w:eastAsia="Arial" w:hAnsi="Arial"/>
          <w:sz w:val="16"/>
          <w:szCs w:val="16"/>
          <w:color w:val="auto"/>
        </w:rPr>
        <w:t>In our fiscal year ended December 31, 2020, there were no other professional services provided by Ernst &amp; Young LLP, other than those listed above, that would have required our audit committee to consider their compatibility with maintaining the independence of Ernst &amp; Young LLP.</w:t>
      </w:r>
    </w:p>
    <w:p>
      <w:pPr>
        <w:spacing w:after="0" w:line="193" w:lineRule="exact"/>
        <w:rPr>
          <w:sz w:val="20"/>
          <w:szCs w:val="20"/>
          <w:color w:val="auto"/>
        </w:rPr>
      </w:pPr>
    </w:p>
    <w:p>
      <w:pPr>
        <w:ind w:left="720" w:right="1520"/>
        <w:spacing w:after="0" w:line="250"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142" w:lineRule="exact"/>
        <w:rPr>
          <w:sz w:val="20"/>
          <w:szCs w:val="20"/>
          <w:color w:val="auto"/>
        </w:rPr>
      </w:pPr>
    </w:p>
    <w:p>
      <w:pPr>
        <w:ind w:left="720" w:right="840"/>
        <w:spacing w:after="0" w:line="250"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2019 and 2020 were pre-approved by our audit committee.</w:t>
      </w:r>
    </w:p>
    <w:p>
      <w:pPr>
        <w:spacing w:after="0" w:line="35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ind w:left="720" w:right="860"/>
        <w:spacing w:after="0" w:line="251"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2021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58" w:lineRule="exact"/>
        <w:rPr>
          <w:sz w:val="20"/>
          <w:szCs w:val="20"/>
          <w:color w:val="auto"/>
        </w:rPr>
      </w:pPr>
    </w:p>
    <w:p>
      <w:pPr>
        <w:ind w:left="720" w:right="1220"/>
        <w:spacing w:after="0" w:line="28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 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9" w:name="page30"/>
    <w:bookmarkEnd w:id="2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REPORT OF THE AUDIT COMMITTEE</w:t>
      </w:r>
    </w:p>
    <w:p>
      <w:pPr>
        <w:spacing w:after="0" w:line="170"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51" w:lineRule="exact"/>
        <w:rPr>
          <w:sz w:val="20"/>
          <w:szCs w:val="20"/>
          <w:color w:val="auto"/>
        </w:rPr>
      </w:pPr>
    </w:p>
    <w:p>
      <w:pPr>
        <w:ind w:left="644" w:hanging="284"/>
        <w:spacing w:after="0"/>
        <w:tabs>
          <w:tab w:leader="none" w:pos="644" w:val="left"/>
        </w:tabs>
        <w:numPr>
          <w:ilvl w:val="0"/>
          <w:numId w:val="45"/>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644" w:right="180" w:hanging="284"/>
        <w:spacing w:after="0" w:line="260" w:lineRule="auto"/>
        <w:tabs>
          <w:tab w:leader="none" w:pos="644" w:val="left"/>
        </w:tabs>
        <w:numPr>
          <w:ilvl w:val="0"/>
          <w:numId w:val="45"/>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141" w:lineRule="exact"/>
        <w:rPr>
          <w:rFonts w:ascii="Arial" w:cs="Arial" w:eastAsia="Arial" w:hAnsi="Arial"/>
          <w:sz w:val="16"/>
          <w:szCs w:val="16"/>
          <w:color w:val="0063A6"/>
        </w:rPr>
      </w:pPr>
    </w:p>
    <w:p>
      <w:pPr>
        <w:jc w:val="both"/>
        <w:ind w:left="644" w:right="480" w:hanging="284"/>
        <w:spacing w:after="0" w:line="253" w:lineRule="auto"/>
        <w:tabs>
          <w:tab w:leader="none" w:pos="644" w:val="left"/>
        </w:tabs>
        <w:numPr>
          <w:ilvl w:val="0"/>
          <w:numId w:val="45"/>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47" w:lineRule="exact"/>
        <w:rPr>
          <w:sz w:val="20"/>
          <w:szCs w:val="20"/>
          <w:color w:val="auto"/>
        </w:rPr>
      </w:pPr>
    </w:p>
    <w:p>
      <w:pPr>
        <w:jc w:val="both"/>
        <w:ind w:left="4" w:right="100"/>
        <w:spacing w:after="0" w:line="253"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2020 for filing with the SEC.</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Donald W. Blair (Chair)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Robert J. Mylod, Jr.</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Lisa Campbell</w:t>
      </w:r>
    </w:p>
    <w:p>
      <w:pPr>
        <w:spacing w:after="0" w:line="167"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the Exchange Act, except to the extent that we specifically incorporate this information by reference, and will not otherwise be deemed “soliciting material” or “filed” under either the Securities Act or the Exchange Act.</w:t>
      </w:r>
    </w:p>
    <w:p>
      <w:pPr>
        <w:spacing w:after="0" w:line="188" w:lineRule="exact"/>
        <w:rPr>
          <w:sz w:val="20"/>
          <w:szCs w:val="20"/>
          <w:color w:val="auto"/>
        </w:rPr>
      </w:pPr>
    </w:p>
    <w:p>
      <w:pPr>
        <w:ind w:left="524" w:hanging="524"/>
        <w:spacing w:after="0"/>
        <w:tabs>
          <w:tab w:leader="none" w:pos="52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30" w:name="page31"/>
    <w:bookmarkEnd w:id="3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440"/>
        <w:spacing w:after="0" w:line="260" w:lineRule="auto"/>
        <w:rPr>
          <w:sz w:val="20"/>
          <w:szCs w:val="20"/>
          <w:color w:val="auto"/>
        </w:rPr>
      </w:pPr>
      <w:r>
        <w:rPr>
          <w:rFonts w:ascii="Arial" w:cs="Arial" w:eastAsia="Arial" w:hAnsi="Arial"/>
          <w:sz w:val="32"/>
          <w:szCs w:val="32"/>
          <w:color w:val="0063A6"/>
        </w:rPr>
        <w:t>PROPOSAL NO. 3—ADVISORY VOTE ON THE COMPENSATION OF OUR NAMED EXECUTIVE OFFICERS</w:t>
      </w:r>
    </w:p>
    <w:p>
      <w:pPr>
        <w:spacing w:after="0" w:line="99"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7"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37" w:lineRule="exact"/>
        <w:rPr>
          <w:sz w:val="20"/>
          <w:szCs w:val="20"/>
          <w:color w:val="auto"/>
        </w:rPr>
      </w:pPr>
    </w:p>
    <w:p>
      <w:pPr>
        <w:ind w:left="720" w:right="780"/>
        <w:spacing w:after="0" w:line="258"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43" w:lineRule="exact"/>
        <w:rPr>
          <w:sz w:val="20"/>
          <w:szCs w:val="20"/>
          <w:color w:val="auto"/>
        </w:rPr>
      </w:pPr>
    </w:p>
    <w:p>
      <w:pPr>
        <w:ind w:left="720" w:right="1140"/>
        <w:spacing w:after="0" w:line="253"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5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jc w:val="both"/>
        <w:ind w:left="720" w:right="760"/>
        <w:spacing w:after="0" w:line="253"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spacing w:after="0" w:line="147" w:lineRule="exact"/>
        <w:rPr>
          <w:sz w:val="20"/>
          <w:szCs w:val="20"/>
          <w:color w:val="auto"/>
        </w:rPr>
      </w:pPr>
    </w:p>
    <w:p>
      <w:pPr>
        <w:jc w:val="both"/>
        <w:ind w:left="720" w:right="1300"/>
        <w:spacing w:after="0" w:line="253"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147" w:lineRule="exact"/>
        <w:rPr>
          <w:sz w:val="20"/>
          <w:szCs w:val="20"/>
          <w:color w:val="auto"/>
        </w:rPr>
      </w:pPr>
    </w:p>
    <w:p>
      <w:pPr>
        <w:ind w:left="720" w:right="1580"/>
        <w:spacing w:after="0" w:line="260" w:lineRule="auto"/>
        <w:rPr>
          <w:sz w:val="20"/>
          <w:szCs w:val="20"/>
          <w:color w:val="auto"/>
        </w:rPr>
      </w:pPr>
      <w:r>
        <w:rPr>
          <w:rFonts w:ascii="Arial" w:cs="Arial" w:eastAsia="Arial" w:hAnsi="Arial"/>
          <w:sz w:val="16"/>
          <w:szCs w:val="16"/>
          <w:color w:val="auto"/>
        </w:rPr>
        <w:t>We currently hold our advisory vote on executive compensation annually. Accordingly, the next advisory vote on executive compensation will be held at our 2022 annual meeting of stockholders.</w:t>
      </w:r>
    </w:p>
    <w:p>
      <w:pPr>
        <w:spacing w:after="0" w:line="351" w:lineRule="exact"/>
        <w:rPr>
          <w:sz w:val="20"/>
          <w:szCs w:val="20"/>
          <w:color w:val="auto"/>
        </w:rPr>
      </w:pPr>
    </w:p>
    <w:p>
      <w:pPr>
        <w:ind w:left="720" w:right="1620"/>
        <w:spacing w:after="0" w:line="28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27</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OFFICERS</w:t>
      </w:r>
    </w:p>
    <w:p>
      <w:pPr>
        <w:spacing w:after="0" w:line="170"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The following table identifies certain information about our executive officers as of March 15, 2021.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6077585" cy="1183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7585" cy="1183005"/>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9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2040" w:type="dxa"/>
            <w:vAlign w:val="bottom"/>
            <w:shd w:val="clear" w:color="auto" w:fill="0063A6"/>
          </w:tcPr>
          <w:p>
            <w:pPr>
              <w:ind w:left="1420"/>
              <w:spacing w:after="0"/>
              <w:rPr>
                <w:sz w:val="20"/>
                <w:szCs w:val="20"/>
                <w:color w:val="auto"/>
              </w:rPr>
            </w:pPr>
            <w:r>
              <w:rPr>
                <w:rFonts w:ascii="Arial" w:cs="Arial" w:eastAsia="Arial" w:hAnsi="Arial"/>
                <w:sz w:val="14"/>
                <w:szCs w:val="14"/>
                <w:b w:val="1"/>
                <w:bCs w:val="1"/>
                <w:color w:val="FFFFFF"/>
              </w:rPr>
              <w:t>Age</w:t>
            </w:r>
          </w:p>
        </w:tc>
        <w:tc>
          <w:tcPr>
            <w:tcW w:w="562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80"/>
        </w:trPr>
        <w:tc>
          <w:tcPr>
            <w:tcW w:w="1900" w:type="dxa"/>
            <w:vAlign w:val="bottom"/>
            <w:shd w:val="clear" w:color="auto" w:fill="0063A6"/>
          </w:tcPr>
          <w:p>
            <w:pPr>
              <w:spacing w:after="0"/>
              <w:rPr>
                <w:sz w:val="6"/>
                <w:szCs w:val="6"/>
                <w:color w:val="auto"/>
              </w:rPr>
            </w:pPr>
          </w:p>
        </w:tc>
        <w:tc>
          <w:tcPr>
            <w:tcW w:w="2040" w:type="dxa"/>
            <w:vAlign w:val="bottom"/>
            <w:shd w:val="clear" w:color="auto" w:fill="0063A6"/>
          </w:tcPr>
          <w:p>
            <w:pPr>
              <w:spacing w:after="0"/>
              <w:rPr>
                <w:sz w:val="6"/>
                <w:szCs w:val="6"/>
                <w:color w:val="auto"/>
              </w:rPr>
            </w:pPr>
          </w:p>
        </w:tc>
        <w:tc>
          <w:tcPr>
            <w:tcW w:w="5620" w:type="dxa"/>
            <w:vAlign w:val="bottom"/>
            <w:shd w:val="clear" w:color="auto" w:fill="0063A6"/>
          </w:tcPr>
          <w:p>
            <w:pPr>
              <w:spacing w:after="0"/>
              <w:rPr>
                <w:sz w:val="6"/>
                <w:szCs w:val="6"/>
                <w:color w:val="auto"/>
              </w:rPr>
            </w:pPr>
          </w:p>
        </w:tc>
      </w:tr>
    </w:tbl>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271"/>
        </w:trPr>
        <w:tc>
          <w:tcPr>
            <w:tcW w:w="244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1480" w:type="dxa"/>
            <w:vAlign w:val="bottom"/>
            <w:shd w:val="clear" w:color="auto" w:fill="F2F2F2"/>
          </w:tcPr>
          <w:p>
            <w:pPr>
              <w:jc w:val="right"/>
              <w:ind w:right="279"/>
              <w:spacing w:after="0"/>
              <w:rPr>
                <w:sz w:val="20"/>
                <w:szCs w:val="20"/>
                <w:color w:val="auto"/>
              </w:rPr>
            </w:pPr>
            <w:r>
              <w:rPr>
                <w:rFonts w:ascii="Arial" w:cs="Arial" w:eastAsia="Arial" w:hAnsi="Arial"/>
                <w:sz w:val="16"/>
                <w:szCs w:val="16"/>
                <w:color w:val="auto"/>
              </w:rPr>
              <w:t>38</w:t>
            </w:r>
          </w:p>
        </w:tc>
        <w:tc>
          <w:tcPr>
            <w:tcW w:w="564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Chief Executive Officer, Co-Founder, and Chairman</w:t>
            </w:r>
          </w:p>
        </w:tc>
      </w:tr>
      <w:tr>
        <w:trPr>
          <w:trHeight w:val="87"/>
        </w:trPr>
        <w:tc>
          <w:tcPr>
            <w:tcW w:w="2440" w:type="dxa"/>
            <w:vAlign w:val="bottom"/>
            <w:shd w:val="clear" w:color="auto" w:fill="F2F2F2"/>
          </w:tcPr>
          <w:p>
            <w:pPr>
              <w:spacing w:after="0"/>
              <w:rPr>
                <w:sz w:val="7"/>
                <w:szCs w:val="7"/>
                <w:color w:val="auto"/>
              </w:rPr>
            </w:pPr>
          </w:p>
        </w:tc>
        <w:tc>
          <w:tcPr>
            <w:tcW w:w="1480" w:type="dxa"/>
            <w:vAlign w:val="bottom"/>
            <w:shd w:val="clear" w:color="auto" w:fill="F2F2F2"/>
          </w:tcPr>
          <w:p>
            <w:pPr>
              <w:spacing w:after="0"/>
              <w:rPr>
                <w:sz w:val="7"/>
                <w:szCs w:val="7"/>
                <w:color w:val="auto"/>
              </w:rPr>
            </w:pPr>
          </w:p>
        </w:tc>
        <w:tc>
          <w:tcPr>
            <w:tcW w:w="5640" w:type="dxa"/>
            <w:vAlign w:val="bottom"/>
            <w:shd w:val="clear" w:color="auto" w:fill="F2F2F2"/>
          </w:tcPr>
          <w:p>
            <w:pPr>
              <w:spacing w:after="0"/>
              <w:rPr>
                <w:sz w:val="7"/>
                <w:szCs w:val="7"/>
                <w:color w:val="auto"/>
              </w:rPr>
            </w:pPr>
          </w:p>
        </w:tc>
      </w:tr>
      <w:tr>
        <w:trPr>
          <w:trHeight w:val="378"/>
        </w:trPr>
        <w:tc>
          <w:tcPr>
            <w:tcW w:w="2440" w:type="dxa"/>
            <w:vAlign w:val="bottom"/>
          </w:tcPr>
          <w:p>
            <w:pPr>
              <w:ind w:left="80"/>
              <w:spacing w:after="0"/>
              <w:rPr>
                <w:sz w:val="20"/>
                <w:szCs w:val="20"/>
                <w:color w:val="auto"/>
              </w:rPr>
            </w:pPr>
            <w:r>
              <w:rPr>
                <w:rFonts w:ascii="Arial" w:cs="Arial" w:eastAsia="Arial" w:hAnsi="Arial"/>
                <w:sz w:val="16"/>
                <w:szCs w:val="16"/>
                <w:color w:val="auto"/>
              </w:rPr>
              <w:t>Timothy Regan</w:t>
            </w:r>
            <w:r>
              <w:rPr>
                <w:rFonts w:ascii="Arial" w:cs="Arial" w:eastAsia="Arial" w:hAnsi="Arial"/>
                <w:sz w:val="26"/>
                <w:szCs w:val="26"/>
                <w:color w:val="auto"/>
                <w:vertAlign w:val="superscript"/>
              </w:rPr>
              <w:t>(1)</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44</w:t>
            </w:r>
          </w:p>
        </w:tc>
        <w:tc>
          <w:tcPr>
            <w:tcW w:w="5640" w:type="dxa"/>
            <w:vAlign w:val="bottom"/>
          </w:tcPr>
          <w:p>
            <w:pPr>
              <w:ind w:left="340"/>
              <w:spacing w:after="0"/>
              <w:rPr>
                <w:sz w:val="20"/>
                <w:szCs w:val="20"/>
                <w:color w:val="auto"/>
              </w:rPr>
            </w:pPr>
            <w:r>
              <w:rPr>
                <w:rFonts w:ascii="Arial" w:cs="Arial" w:eastAsia="Arial" w:hAnsi="Arial"/>
                <w:sz w:val="16"/>
                <w:szCs w:val="16"/>
                <w:color w:val="auto"/>
              </w:rPr>
              <w:t>Chief Financial Officer</w:t>
            </w:r>
          </w:p>
        </w:tc>
      </w:tr>
      <w:tr>
        <w:trPr>
          <w:trHeight w:val="378"/>
        </w:trPr>
        <w:tc>
          <w:tcPr>
            <w:tcW w:w="2440" w:type="dxa"/>
            <w:vAlign w:val="bottom"/>
            <w:shd w:val="clear" w:color="auto" w:fill="F2F2F2"/>
          </w:tcPr>
          <w:p>
            <w:pPr>
              <w:ind w:left="80"/>
              <w:spacing w:after="0"/>
              <w:rPr>
                <w:sz w:val="20"/>
                <w:szCs w:val="20"/>
                <w:color w:val="auto"/>
              </w:rPr>
            </w:pPr>
            <w:r>
              <w:rPr>
                <w:rFonts w:ascii="Arial" w:cs="Arial" w:eastAsia="Arial" w:hAnsi="Arial"/>
                <w:sz w:val="16"/>
                <w:szCs w:val="16"/>
                <w:color w:val="auto"/>
              </w:rPr>
              <w:t>Bart E. Volkmer</w:t>
            </w:r>
            <w:r>
              <w:rPr>
                <w:rFonts w:ascii="Arial" w:cs="Arial" w:eastAsia="Arial" w:hAnsi="Arial"/>
                <w:sz w:val="26"/>
                <w:szCs w:val="26"/>
                <w:color w:val="auto"/>
                <w:vertAlign w:val="superscript"/>
              </w:rPr>
              <w:t>(2)</w:t>
            </w:r>
          </w:p>
        </w:tc>
        <w:tc>
          <w:tcPr>
            <w:tcW w:w="1480" w:type="dxa"/>
            <w:vAlign w:val="bottom"/>
            <w:shd w:val="clear" w:color="auto" w:fill="F2F2F2"/>
          </w:tcPr>
          <w:p>
            <w:pPr>
              <w:jc w:val="right"/>
              <w:ind w:right="279"/>
              <w:spacing w:after="0"/>
              <w:rPr>
                <w:sz w:val="20"/>
                <w:szCs w:val="20"/>
                <w:color w:val="auto"/>
              </w:rPr>
            </w:pPr>
            <w:r>
              <w:rPr>
                <w:rFonts w:ascii="Arial" w:cs="Arial" w:eastAsia="Arial" w:hAnsi="Arial"/>
                <w:sz w:val="16"/>
                <w:szCs w:val="16"/>
                <w:color w:val="auto"/>
              </w:rPr>
              <w:t>46</w:t>
            </w:r>
          </w:p>
        </w:tc>
        <w:tc>
          <w:tcPr>
            <w:tcW w:w="564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Chief Legal Officer</w:t>
            </w:r>
          </w:p>
        </w:tc>
      </w:tr>
      <w:tr>
        <w:trPr>
          <w:trHeight w:val="388"/>
        </w:trPr>
        <w:tc>
          <w:tcPr>
            <w:tcW w:w="2440" w:type="dxa"/>
            <w:vAlign w:val="bottom"/>
          </w:tcPr>
          <w:p>
            <w:pPr>
              <w:ind w:left="80"/>
              <w:spacing w:after="0"/>
              <w:rPr>
                <w:sz w:val="20"/>
                <w:szCs w:val="20"/>
                <w:color w:val="auto"/>
              </w:rPr>
            </w:pPr>
            <w:r>
              <w:rPr>
                <w:rFonts w:ascii="Arial" w:cs="Arial" w:eastAsia="Arial" w:hAnsi="Arial"/>
                <w:sz w:val="16"/>
                <w:szCs w:val="16"/>
                <w:color w:val="auto"/>
              </w:rPr>
              <w:t>Timothy Young</w:t>
            </w:r>
            <w:r>
              <w:rPr>
                <w:rFonts w:ascii="Arial" w:cs="Arial" w:eastAsia="Arial" w:hAnsi="Arial"/>
                <w:sz w:val="26"/>
                <w:szCs w:val="26"/>
                <w:color w:val="auto"/>
                <w:vertAlign w:val="superscript"/>
              </w:rPr>
              <w:t>(3)</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39</w:t>
            </w:r>
          </w:p>
        </w:tc>
        <w:tc>
          <w:tcPr>
            <w:tcW w:w="5640" w:type="dxa"/>
            <w:vAlign w:val="bottom"/>
          </w:tcPr>
          <w:p>
            <w:pPr>
              <w:ind w:left="340"/>
              <w:spacing w:after="0"/>
              <w:rPr>
                <w:sz w:val="20"/>
                <w:szCs w:val="20"/>
                <w:color w:val="auto"/>
              </w:rPr>
            </w:pPr>
            <w:r>
              <w:rPr>
                <w:rFonts w:ascii="Arial" w:cs="Arial" w:eastAsia="Arial" w:hAnsi="Arial"/>
                <w:sz w:val="16"/>
                <w:szCs w:val="16"/>
                <w:color w:val="auto"/>
              </w:rPr>
              <w:t>President</w:t>
            </w: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40"/>
        </w:trPr>
        <w:tc>
          <w:tcPr>
            <w:tcW w:w="240" w:type="dxa"/>
            <w:vAlign w:val="bottom"/>
          </w:tcPr>
          <w:p>
            <w:pPr>
              <w:jc w:val="right"/>
              <w:ind w:right="66"/>
              <w:spacing w:after="0"/>
              <w:rPr>
                <w:sz w:val="20"/>
                <w:szCs w:val="20"/>
                <w:color w:val="auto"/>
              </w:rPr>
            </w:pPr>
            <w:r>
              <w:rPr>
                <w:rFonts w:ascii="Arial" w:cs="Arial" w:eastAsia="Arial" w:hAnsi="Arial"/>
                <w:sz w:val="11"/>
                <w:szCs w:val="11"/>
                <w:i w:val="1"/>
                <w:iCs w:val="1"/>
                <w:color w:val="auto"/>
                <w:w w:val="74"/>
              </w:rPr>
              <w:t>(1)</w:t>
            </w:r>
          </w:p>
        </w:tc>
        <w:tc>
          <w:tcPr>
            <w:tcW w:w="9180" w:type="dxa"/>
            <w:vAlign w:val="bottom"/>
            <w:vMerge w:val="restart"/>
          </w:tcPr>
          <w:p>
            <w:pPr>
              <w:ind w:left="100"/>
              <w:spacing w:after="0"/>
              <w:rPr>
                <w:sz w:val="20"/>
                <w:szCs w:val="20"/>
                <w:color w:val="auto"/>
              </w:rPr>
            </w:pPr>
            <w:r>
              <w:rPr>
                <w:rFonts w:ascii="Arial" w:cs="Arial" w:eastAsia="Arial" w:hAnsi="Arial"/>
                <w:sz w:val="14"/>
                <w:szCs w:val="14"/>
                <w:color w:val="auto"/>
              </w:rPr>
              <w:t>Mr. Regan has served as our Chief Financial Officer since September 2020, and previously served as our Chief Accounting Officer from</w:t>
            </w:r>
          </w:p>
        </w:tc>
        <w:tc>
          <w:tcPr>
            <w:tcW w:w="0" w:type="dxa"/>
            <w:vAlign w:val="bottom"/>
          </w:tcPr>
          <w:p>
            <w:pPr>
              <w:spacing w:after="0"/>
              <w:rPr>
                <w:sz w:val="1"/>
                <w:szCs w:val="1"/>
                <w:color w:val="auto"/>
              </w:rPr>
            </w:pPr>
          </w:p>
        </w:tc>
      </w:tr>
      <w:tr>
        <w:trPr>
          <w:trHeight w:val="98"/>
        </w:trPr>
        <w:tc>
          <w:tcPr>
            <w:tcW w:w="240" w:type="dxa"/>
            <w:vAlign w:val="bottom"/>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40" w:type="dxa"/>
            <w:vAlign w:val="bottom"/>
            <w:vMerge w:val="restart"/>
          </w:tcPr>
          <w:p>
            <w:pPr>
              <w:jc w:val="right"/>
              <w:ind w:right="66"/>
              <w:spacing w:after="0"/>
              <w:rPr>
                <w:sz w:val="20"/>
                <w:szCs w:val="20"/>
                <w:color w:val="auto"/>
              </w:rPr>
            </w:pPr>
            <w:r>
              <w:rPr>
                <w:rFonts w:ascii="Arial" w:cs="Arial" w:eastAsia="Arial" w:hAnsi="Arial"/>
                <w:sz w:val="11"/>
                <w:szCs w:val="11"/>
                <w:i w:val="1"/>
                <w:iCs w:val="1"/>
                <w:color w:val="auto"/>
                <w:w w:val="74"/>
              </w:rPr>
              <w:t>(2)</w:t>
            </w:r>
          </w:p>
        </w:tc>
        <w:tc>
          <w:tcPr>
            <w:tcW w:w="9180" w:type="dxa"/>
            <w:vAlign w:val="bottom"/>
          </w:tcPr>
          <w:p>
            <w:pPr>
              <w:ind w:left="100"/>
              <w:spacing w:after="0"/>
              <w:rPr>
                <w:sz w:val="20"/>
                <w:szCs w:val="20"/>
                <w:color w:val="auto"/>
              </w:rPr>
            </w:pPr>
            <w:r>
              <w:rPr>
                <w:rFonts w:ascii="Arial" w:cs="Arial" w:eastAsia="Arial" w:hAnsi="Arial"/>
                <w:sz w:val="14"/>
                <w:szCs w:val="14"/>
                <w:color w:val="auto"/>
              </w:rPr>
              <w:t>December 2016 until September 2020.</w:t>
            </w:r>
          </w:p>
        </w:tc>
        <w:tc>
          <w:tcPr>
            <w:tcW w:w="0" w:type="dxa"/>
            <w:vAlign w:val="bottom"/>
          </w:tcPr>
          <w:p>
            <w:pPr>
              <w:spacing w:after="0"/>
              <w:rPr>
                <w:sz w:val="1"/>
                <w:szCs w:val="1"/>
                <w:color w:val="auto"/>
              </w:rPr>
            </w:pPr>
          </w:p>
        </w:tc>
      </w:tr>
      <w:tr>
        <w:trPr>
          <w:trHeight w:val="71"/>
        </w:trPr>
        <w:tc>
          <w:tcPr>
            <w:tcW w:w="240" w:type="dxa"/>
            <w:vAlign w:val="bottom"/>
            <w:vMerge w:val="continue"/>
          </w:tcPr>
          <w:p>
            <w:pPr>
              <w:spacing w:after="0"/>
              <w:rPr>
                <w:sz w:val="6"/>
                <w:szCs w:val="6"/>
                <w:color w:val="auto"/>
              </w:rPr>
            </w:pPr>
          </w:p>
        </w:tc>
        <w:tc>
          <w:tcPr>
            <w:tcW w:w="9180" w:type="dxa"/>
            <w:vAlign w:val="bottom"/>
            <w:vMerge w:val="restart"/>
          </w:tcPr>
          <w:p>
            <w:pPr>
              <w:ind w:left="100"/>
              <w:spacing w:after="0"/>
              <w:rPr>
                <w:sz w:val="20"/>
                <w:szCs w:val="20"/>
                <w:color w:val="auto"/>
              </w:rPr>
            </w:pPr>
            <w:r>
              <w:rPr>
                <w:rFonts w:ascii="Arial" w:cs="Arial" w:eastAsia="Arial" w:hAnsi="Arial"/>
                <w:sz w:val="14"/>
                <w:szCs w:val="14"/>
                <w:color w:val="auto"/>
              </w:rPr>
              <w:t>Mr. Volkmer has served as our Chief Legal Officer since January 2020, and previously served as our General Counsel from June 2016 until</w:t>
            </w:r>
          </w:p>
        </w:tc>
        <w:tc>
          <w:tcPr>
            <w:tcW w:w="0" w:type="dxa"/>
            <w:vAlign w:val="bottom"/>
          </w:tcPr>
          <w:p>
            <w:pPr>
              <w:spacing w:after="0"/>
              <w:rPr>
                <w:sz w:val="1"/>
                <w:szCs w:val="1"/>
                <w:color w:val="auto"/>
              </w:rPr>
            </w:pPr>
          </w:p>
        </w:tc>
      </w:tr>
      <w:tr>
        <w:trPr>
          <w:trHeight w:val="94"/>
        </w:trPr>
        <w:tc>
          <w:tcPr>
            <w:tcW w:w="240" w:type="dxa"/>
            <w:vAlign w:val="bottom"/>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40" w:type="dxa"/>
            <w:vAlign w:val="bottom"/>
            <w:vMerge w:val="restart"/>
          </w:tcPr>
          <w:p>
            <w:pPr>
              <w:jc w:val="right"/>
              <w:ind w:right="66"/>
              <w:spacing w:after="0"/>
              <w:rPr>
                <w:sz w:val="20"/>
                <w:szCs w:val="20"/>
                <w:color w:val="auto"/>
              </w:rPr>
            </w:pPr>
            <w:r>
              <w:rPr>
                <w:rFonts w:ascii="Arial" w:cs="Arial" w:eastAsia="Arial" w:hAnsi="Arial"/>
                <w:sz w:val="11"/>
                <w:szCs w:val="11"/>
                <w:i w:val="1"/>
                <w:iCs w:val="1"/>
                <w:color w:val="auto"/>
                <w:w w:val="74"/>
              </w:rPr>
              <w:t>(3)</w:t>
            </w:r>
          </w:p>
        </w:tc>
        <w:tc>
          <w:tcPr>
            <w:tcW w:w="9180" w:type="dxa"/>
            <w:vAlign w:val="bottom"/>
          </w:tcPr>
          <w:p>
            <w:pPr>
              <w:ind w:left="100"/>
              <w:spacing w:after="0"/>
              <w:rPr>
                <w:sz w:val="20"/>
                <w:szCs w:val="20"/>
                <w:color w:val="auto"/>
              </w:rPr>
            </w:pPr>
            <w:r>
              <w:rPr>
                <w:rFonts w:ascii="Arial" w:cs="Arial" w:eastAsia="Arial" w:hAnsi="Arial"/>
                <w:sz w:val="14"/>
                <w:szCs w:val="14"/>
                <w:color w:val="auto"/>
              </w:rPr>
              <w:t>January 2020.</w:t>
            </w:r>
          </w:p>
        </w:tc>
        <w:tc>
          <w:tcPr>
            <w:tcW w:w="0" w:type="dxa"/>
            <w:vAlign w:val="bottom"/>
          </w:tcPr>
          <w:p>
            <w:pPr>
              <w:spacing w:after="0"/>
              <w:rPr>
                <w:sz w:val="1"/>
                <w:szCs w:val="1"/>
                <w:color w:val="auto"/>
              </w:rPr>
            </w:pPr>
          </w:p>
        </w:tc>
      </w:tr>
      <w:tr>
        <w:trPr>
          <w:trHeight w:val="71"/>
        </w:trPr>
        <w:tc>
          <w:tcPr>
            <w:tcW w:w="240" w:type="dxa"/>
            <w:vAlign w:val="bottom"/>
            <w:vMerge w:val="continue"/>
          </w:tcPr>
          <w:p>
            <w:pPr>
              <w:spacing w:after="0"/>
              <w:rPr>
                <w:sz w:val="6"/>
                <w:szCs w:val="6"/>
                <w:color w:val="auto"/>
              </w:rPr>
            </w:pPr>
          </w:p>
        </w:tc>
        <w:tc>
          <w:tcPr>
            <w:tcW w:w="9180" w:type="dxa"/>
            <w:vAlign w:val="bottom"/>
            <w:vMerge w:val="restart"/>
          </w:tcPr>
          <w:p>
            <w:pPr>
              <w:ind w:left="100"/>
              <w:spacing w:after="0"/>
              <w:rPr>
                <w:sz w:val="20"/>
                <w:szCs w:val="20"/>
                <w:color w:val="auto"/>
              </w:rPr>
            </w:pPr>
            <w:r>
              <w:rPr>
                <w:rFonts w:ascii="Arial" w:cs="Arial" w:eastAsia="Arial" w:hAnsi="Arial"/>
                <w:sz w:val="14"/>
                <w:szCs w:val="14"/>
                <w:color w:val="auto"/>
              </w:rPr>
              <w:t>Mr. Young has served as our President since November 2020, and previously served as our Senior Vice President and General Manager, Core</w:t>
            </w:r>
          </w:p>
        </w:tc>
        <w:tc>
          <w:tcPr>
            <w:tcW w:w="0" w:type="dxa"/>
            <w:vAlign w:val="bottom"/>
          </w:tcPr>
          <w:p>
            <w:pPr>
              <w:spacing w:after="0"/>
              <w:rPr>
                <w:sz w:val="1"/>
                <w:szCs w:val="1"/>
                <w:color w:val="auto"/>
              </w:rPr>
            </w:pPr>
          </w:p>
        </w:tc>
      </w:tr>
      <w:tr>
        <w:trPr>
          <w:trHeight w:val="94"/>
        </w:trPr>
        <w:tc>
          <w:tcPr>
            <w:tcW w:w="240" w:type="dxa"/>
            <w:vAlign w:val="bottom"/>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9180" w:type="dxa"/>
            <w:vAlign w:val="bottom"/>
          </w:tcPr>
          <w:p>
            <w:pPr>
              <w:ind w:left="100"/>
              <w:spacing w:after="0"/>
              <w:rPr>
                <w:sz w:val="20"/>
                <w:szCs w:val="20"/>
                <w:color w:val="auto"/>
              </w:rPr>
            </w:pPr>
            <w:r>
              <w:rPr>
                <w:rFonts w:ascii="Arial" w:cs="Arial" w:eastAsia="Arial" w:hAnsi="Arial"/>
                <w:sz w:val="14"/>
                <w:szCs w:val="14"/>
                <w:color w:val="auto"/>
              </w:rPr>
              <w:t>Dropbox from October 2019 until November 2020.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Mr. Houston’s biography,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w:t>
      </w:r>
    </w:p>
    <w:p>
      <w:pPr>
        <w:spacing w:after="0" w:line="163" w:lineRule="exact"/>
        <w:rPr>
          <w:sz w:val="20"/>
          <w:szCs w:val="20"/>
          <w:color w:val="auto"/>
        </w:rPr>
      </w:pPr>
    </w:p>
    <w:p>
      <w:pPr>
        <w:ind w:left="4"/>
        <w:spacing w:after="0" w:line="256" w:lineRule="auto"/>
        <w:rPr>
          <w:sz w:val="20"/>
          <w:szCs w:val="20"/>
          <w:color w:val="auto"/>
        </w:rPr>
      </w:pPr>
      <w:r>
        <w:rPr>
          <w:rFonts w:ascii="Arial" w:cs="Arial" w:eastAsia="Arial" w:hAnsi="Arial"/>
          <w:sz w:val="16"/>
          <w:szCs w:val="16"/>
          <w:b w:val="1"/>
          <w:bCs w:val="1"/>
          <w:color w:val="0063A6"/>
        </w:rPr>
        <w:t>Timothy Regan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Regan, CPA, has served as Dropbox’s Chief Financial Officer since September 2020. Previously, he served</w:t>
      </w:r>
      <w:r>
        <w:rPr>
          <w:rFonts w:ascii="Arial" w:cs="Arial" w:eastAsia="Arial" w:hAnsi="Arial"/>
          <w:sz w:val="16"/>
          <w:szCs w:val="16"/>
          <w:b w:val="1"/>
          <w:bCs w:val="1"/>
          <w:color w:val="0063A6"/>
        </w:rPr>
        <w:t xml:space="preserve"> </w:t>
      </w:r>
      <w:r>
        <w:rPr>
          <w:rFonts w:ascii="Arial" w:cs="Arial" w:eastAsia="Arial" w:hAnsi="Arial"/>
          <w:sz w:val="16"/>
          <w:szCs w:val="16"/>
          <w:color w:val="000000"/>
        </w:rPr>
        <w:t>as Dropbox’s Chief 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Bart E. Volkmer</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Mr. Volkmer has served as our Chief Legal Officer since January 2020. From June 2016 to January 2020,</w:t>
      </w:r>
    </w:p>
    <w:p>
      <w:pPr>
        <w:spacing w:after="0" w:line="25"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Mr. Volkmer served as our General Counsel and from August 2011 to June 2016, Mr. Volkmer served as our Head of Litigation &amp; Regulatory. Prior to joining Dropbox, Mr. Volkmer practiced law at Wilson Sonsini Goodrich &amp; Rosati, a law firm, from 2003 to 2011, where he counseled early-stage and established technology companies. Mr. Volkmer holds a J.D. from Santa Clara University School of Law and a B.A. in English from Creighton University.</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Timothy Young</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Young has served as our President since November 2020. From October 2019 to November 2020,</w:t>
      </w:r>
    </w:p>
    <w:p>
      <w:pPr>
        <w:spacing w:after="0" w:line="25"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Mr. Young served as our Senior Vice President and General Manager, Core Dropbox. Mr. Young has extensive experience managing, growing and investing in technology companies. Prior to joining Dropbox and since January 2015, Mr. Young has served as a Founder of Hidden Hand Capital, which invests in early stage technology companies. Prior to founding Hidden Hand Capital, from May 2011 to September 2014, he was Vice President of Product and Engineering at VMware, a cloud infrastructure and digital workspace company, where he led product development and strategic product planning for cloud and mobile applications. From June 2005 to May 2011, he was the Founder and CEO of Socialcast, which was acquired by VMware. From December 2009 to December 2010, he was a Co-Founder of about.me, which was acquired by AOL. Mr. Young attended the University of California, Riverside, where he studied Computer Science.</w:t>
      </w:r>
    </w:p>
    <w:p>
      <w:pPr>
        <w:spacing w:after="0" w:line="192" w:lineRule="exact"/>
        <w:rPr>
          <w:sz w:val="20"/>
          <w:szCs w:val="20"/>
          <w:color w:val="auto"/>
        </w:rPr>
      </w:pPr>
    </w:p>
    <w:p>
      <w:pPr>
        <w:ind w:left="524" w:hanging="524"/>
        <w:spacing w:after="0"/>
        <w:tabs>
          <w:tab w:leader="none" w:pos="524"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2" w:name="page33"/>
    <w:bookmarkEnd w:id="3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w:t>
      </w:r>
    </w:p>
    <w:p>
      <w:pPr>
        <w:spacing w:after="0" w:line="310"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Compensation Discussion and Analysis</w:t>
      </w:r>
    </w:p>
    <w:p>
      <w:pPr>
        <w:spacing w:after="0" w:line="169" w:lineRule="exact"/>
        <w:rPr>
          <w:sz w:val="20"/>
          <w:szCs w:val="20"/>
          <w:color w:val="auto"/>
        </w:rPr>
      </w:pPr>
    </w:p>
    <w:p>
      <w:pPr>
        <w:ind w:left="720" w:right="880"/>
        <w:spacing w:after="0" w:line="25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2020. It also provides an overview of our executive compensation philosophy, including our principal compensation policies and practices. Finally, it analyzes how and why our compensation committee arrived at the specific compensation decisions for our executive officers, including our named executive officers in 2020, and discusses the key factors that our compensation committee considered in determining their compensation.</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named executive officers for 2020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45085</wp:posOffset>
            </wp:positionV>
            <wp:extent cx="6077585" cy="1663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7585" cy="1663065"/>
                    </a:xfrm>
                    <a:prstGeom prst="rect">
                      <a:avLst/>
                    </a:prstGeom>
                    <a:noFill/>
                  </pic:spPr>
                </pic:pic>
              </a:graphicData>
            </a:graphic>
          </wp:anchor>
        </w:drawing>
      </w:r>
    </w:p>
    <w:p>
      <w:pPr>
        <w:spacing w:after="0" w:line="51" w:lineRule="exact"/>
        <w:rPr>
          <w:sz w:val="20"/>
          <w:szCs w:val="20"/>
          <w:color w:val="auto"/>
        </w:rPr>
      </w:pPr>
    </w:p>
    <w:tbl>
      <w:tblPr>
        <w:tblLayout w:type="fixed"/>
        <w:tblInd w:w="720" w:type="dxa"/>
        <w:tblCellMar>
          <w:top w:w="0" w:type="dxa"/>
          <w:left w:w="0" w:type="dxa"/>
          <w:bottom w:w="0" w:type="dxa"/>
          <w:right w:w="0" w:type="dxa"/>
        </w:tblCellMar>
      </w:tblPr>
      <w:tr>
        <w:trPr>
          <w:trHeight w:val="285"/>
        </w:trPr>
        <w:tc>
          <w:tcPr>
            <w:tcW w:w="22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7360" w:type="dxa"/>
            <w:vAlign w:val="bottom"/>
            <w:shd w:val="clear" w:color="auto" w:fill="0063A6"/>
          </w:tcPr>
          <w:p>
            <w:pPr>
              <w:ind w:left="440"/>
              <w:spacing w:after="0"/>
              <w:rPr>
                <w:sz w:val="20"/>
                <w:szCs w:val="20"/>
                <w:color w:val="auto"/>
              </w:rPr>
            </w:pPr>
            <w:r>
              <w:rPr>
                <w:rFonts w:ascii="Arial" w:cs="Arial" w:eastAsia="Arial" w:hAnsi="Arial"/>
                <w:sz w:val="14"/>
                <w:szCs w:val="14"/>
                <w:b w:val="1"/>
                <w:bCs w:val="1"/>
                <w:color w:val="FFFFFF"/>
              </w:rPr>
              <w:t>Title</w:t>
            </w:r>
          </w:p>
        </w:tc>
      </w:tr>
      <w:tr>
        <w:trPr>
          <w:trHeight w:val="80"/>
        </w:trPr>
        <w:tc>
          <w:tcPr>
            <w:tcW w:w="2200" w:type="dxa"/>
            <w:vAlign w:val="bottom"/>
            <w:shd w:val="clear" w:color="auto" w:fill="0063A6"/>
          </w:tcPr>
          <w:p>
            <w:pPr>
              <w:spacing w:after="0"/>
              <w:rPr>
                <w:sz w:val="6"/>
                <w:szCs w:val="6"/>
                <w:color w:val="auto"/>
              </w:rPr>
            </w:pPr>
          </w:p>
        </w:tc>
        <w:tc>
          <w:tcPr>
            <w:tcW w:w="7360" w:type="dxa"/>
            <w:vAlign w:val="bottom"/>
            <w:shd w:val="clear" w:color="auto" w:fill="0063A6"/>
          </w:tcPr>
          <w:p>
            <w:pPr>
              <w:spacing w:after="0"/>
              <w:rPr>
                <w:sz w:val="6"/>
                <w:szCs w:val="6"/>
                <w:color w:val="auto"/>
              </w:rPr>
            </w:pPr>
          </w:p>
        </w:tc>
      </w:tr>
      <w:tr>
        <w:trPr>
          <w:trHeight w:val="291"/>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Andrew W. Houston</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Chief Executive Officer</w:t>
            </w:r>
          </w:p>
        </w:tc>
      </w:tr>
      <w:tr>
        <w:trPr>
          <w:trHeight w:val="87"/>
        </w:trPr>
        <w:tc>
          <w:tcPr>
            <w:tcW w:w="2200" w:type="dxa"/>
            <w:vAlign w:val="bottom"/>
            <w:shd w:val="clear" w:color="auto" w:fill="F2F2F2"/>
          </w:tcPr>
          <w:p>
            <w:pPr>
              <w:spacing w:after="0"/>
              <w:rPr>
                <w:sz w:val="7"/>
                <w:szCs w:val="7"/>
                <w:color w:val="auto"/>
              </w:rPr>
            </w:pPr>
          </w:p>
        </w:tc>
        <w:tc>
          <w:tcPr>
            <w:tcW w:w="7360" w:type="dxa"/>
            <w:vAlign w:val="bottom"/>
            <w:shd w:val="clear" w:color="auto" w:fill="F2F2F2"/>
          </w:tcPr>
          <w:p>
            <w:pPr>
              <w:spacing w:after="0"/>
              <w:rPr>
                <w:sz w:val="7"/>
                <w:szCs w:val="7"/>
                <w:color w:val="auto"/>
              </w:rPr>
            </w:pPr>
          </w:p>
        </w:tc>
      </w:tr>
      <w:tr>
        <w:trPr>
          <w:trHeight w:val="291"/>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Timothy Regan</w:t>
            </w:r>
          </w:p>
        </w:tc>
        <w:tc>
          <w:tcPr>
            <w:tcW w:w="7360" w:type="dxa"/>
            <w:vAlign w:val="bottom"/>
          </w:tcPr>
          <w:p>
            <w:pPr>
              <w:ind w:left="440"/>
              <w:spacing w:after="0"/>
              <w:rPr>
                <w:sz w:val="20"/>
                <w:szCs w:val="20"/>
                <w:color w:val="auto"/>
              </w:rPr>
            </w:pPr>
            <w:r>
              <w:rPr>
                <w:rFonts w:ascii="Arial" w:cs="Arial" w:eastAsia="Arial" w:hAnsi="Arial"/>
                <w:sz w:val="16"/>
                <w:szCs w:val="16"/>
                <w:color w:val="auto"/>
              </w:rPr>
              <w:t>Chief Financial Officer</w:t>
            </w:r>
          </w:p>
        </w:tc>
      </w:tr>
      <w:tr>
        <w:trPr>
          <w:trHeight w:val="87"/>
        </w:trPr>
        <w:tc>
          <w:tcPr>
            <w:tcW w:w="2200" w:type="dxa"/>
            <w:vAlign w:val="bottom"/>
          </w:tcPr>
          <w:p>
            <w:pPr>
              <w:spacing w:after="0"/>
              <w:rPr>
                <w:sz w:val="7"/>
                <w:szCs w:val="7"/>
                <w:color w:val="auto"/>
              </w:rPr>
            </w:pPr>
          </w:p>
        </w:tc>
        <w:tc>
          <w:tcPr>
            <w:tcW w:w="7360" w:type="dxa"/>
            <w:vAlign w:val="bottom"/>
          </w:tcPr>
          <w:p>
            <w:pPr>
              <w:spacing w:after="0"/>
              <w:rPr>
                <w:sz w:val="7"/>
                <w:szCs w:val="7"/>
                <w:color w:val="auto"/>
              </w:rPr>
            </w:pPr>
          </w:p>
        </w:tc>
      </w:tr>
      <w:tr>
        <w:trPr>
          <w:trHeight w:val="291"/>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Timothy Young</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President</w:t>
            </w:r>
          </w:p>
        </w:tc>
      </w:tr>
      <w:tr>
        <w:trPr>
          <w:trHeight w:val="87"/>
        </w:trPr>
        <w:tc>
          <w:tcPr>
            <w:tcW w:w="2200" w:type="dxa"/>
            <w:vAlign w:val="bottom"/>
            <w:shd w:val="clear" w:color="auto" w:fill="F2F2F2"/>
          </w:tcPr>
          <w:p>
            <w:pPr>
              <w:spacing w:after="0"/>
              <w:rPr>
                <w:sz w:val="7"/>
                <w:szCs w:val="7"/>
                <w:color w:val="auto"/>
              </w:rPr>
            </w:pPr>
          </w:p>
        </w:tc>
        <w:tc>
          <w:tcPr>
            <w:tcW w:w="7360" w:type="dxa"/>
            <w:vAlign w:val="bottom"/>
            <w:shd w:val="clear" w:color="auto" w:fill="F2F2F2"/>
          </w:tcPr>
          <w:p>
            <w:pPr>
              <w:spacing w:after="0"/>
              <w:rPr>
                <w:sz w:val="7"/>
                <w:szCs w:val="7"/>
                <w:color w:val="auto"/>
              </w:rPr>
            </w:pPr>
          </w:p>
        </w:tc>
      </w:tr>
      <w:tr>
        <w:trPr>
          <w:trHeight w:val="291"/>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Bart E. Volkmer</w:t>
            </w:r>
          </w:p>
        </w:tc>
        <w:tc>
          <w:tcPr>
            <w:tcW w:w="7360" w:type="dxa"/>
            <w:vAlign w:val="bottom"/>
          </w:tcPr>
          <w:p>
            <w:pPr>
              <w:ind w:left="440"/>
              <w:spacing w:after="0"/>
              <w:rPr>
                <w:sz w:val="20"/>
                <w:szCs w:val="20"/>
                <w:color w:val="auto"/>
              </w:rPr>
            </w:pPr>
            <w:r>
              <w:rPr>
                <w:rFonts w:ascii="Arial" w:cs="Arial" w:eastAsia="Arial" w:hAnsi="Arial"/>
                <w:sz w:val="16"/>
                <w:szCs w:val="16"/>
                <w:color w:val="auto"/>
              </w:rPr>
              <w:t>Chief Legal Officer</w:t>
            </w:r>
          </w:p>
        </w:tc>
      </w:tr>
      <w:tr>
        <w:trPr>
          <w:trHeight w:val="87"/>
        </w:trPr>
        <w:tc>
          <w:tcPr>
            <w:tcW w:w="2200" w:type="dxa"/>
            <w:vAlign w:val="bottom"/>
          </w:tcPr>
          <w:p>
            <w:pPr>
              <w:spacing w:after="0"/>
              <w:rPr>
                <w:sz w:val="7"/>
                <w:szCs w:val="7"/>
                <w:color w:val="auto"/>
              </w:rPr>
            </w:pPr>
          </w:p>
        </w:tc>
        <w:tc>
          <w:tcPr>
            <w:tcW w:w="7360" w:type="dxa"/>
            <w:vAlign w:val="bottom"/>
          </w:tcPr>
          <w:p>
            <w:pPr>
              <w:spacing w:after="0"/>
              <w:rPr>
                <w:sz w:val="7"/>
                <w:szCs w:val="7"/>
                <w:color w:val="auto"/>
              </w:rPr>
            </w:pPr>
          </w:p>
        </w:tc>
      </w:tr>
      <w:tr>
        <w:trPr>
          <w:trHeight w:val="378"/>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Ajay V. Vashee</w:t>
            </w:r>
            <w:r>
              <w:rPr>
                <w:rFonts w:ascii="Arial" w:cs="Arial" w:eastAsia="Arial" w:hAnsi="Arial"/>
                <w:sz w:val="26"/>
                <w:szCs w:val="26"/>
                <w:b w:val="1"/>
                <w:bCs w:val="1"/>
                <w:color w:val="auto"/>
                <w:vertAlign w:val="superscript"/>
              </w:rPr>
              <w:t>(1)</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Former Chief Financial Officer</w:t>
            </w:r>
          </w:p>
        </w:tc>
      </w:tr>
      <w:tr>
        <w:trPr>
          <w:trHeight w:val="388"/>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Olivia Nottebohm</w:t>
            </w:r>
            <w:r>
              <w:rPr>
                <w:rFonts w:ascii="Arial" w:cs="Arial" w:eastAsia="Arial" w:hAnsi="Arial"/>
                <w:sz w:val="26"/>
                <w:szCs w:val="26"/>
                <w:b w:val="1"/>
                <w:bCs w:val="1"/>
                <w:color w:val="auto"/>
                <w:vertAlign w:val="superscript"/>
              </w:rPr>
              <w:t>(2)</w:t>
            </w:r>
          </w:p>
        </w:tc>
        <w:tc>
          <w:tcPr>
            <w:tcW w:w="7360" w:type="dxa"/>
            <w:vAlign w:val="bottom"/>
          </w:tcPr>
          <w:p>
            <w:pPr>
              <w:ind w:left="440"/>
              <w:spacing w:after="0"/>
              <w:rPr>
                <w:sz w:val="20"/>
                <w:szCs w:val="20"/>
                <w:color w:val="auto"/>
              </w:rPr>
            </w:pPr>
            <w:r>
              <w:rPr>
                <w:rFonts w:ascii="Arial" w:cs="Arial" w:eastAsia="Arial" w:hAnsi="Arial"/>
                <w:sz w:val="16"/>
                <w:szCs w:val="16"/>
                <w:color w:val="auto"/>
              </w:rPr>
              <w:t>Former Chief Operating Officer</w:t>
            </w:r>
          </w:p>
        </w:tc>
      </w:tr>
    </w:tbl>
    <w:p>
      <w:pPr>
        <w:ind w:left="960" w:hanging="244"/>
        <w:spacing w:after="0" w:line="235" w:lineRule="auto"/>
        <w:tabs>
          <w:tab w:leader="none" w:pos="96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Mr. Vashee resigned from the company in October 2020.</w:t>
      </w:r>
    </w:p>
    <w:p>
      <w:pPr>
        <w:spacing w:after="0" w:line="3" w:lineRule="exact"/>
        <w:rPr>
          <w:rFonts w:ascii="Arial" w:cs="Arial" w:eastAsia="Arial" w:hAnsi="Arial"/>
          <w:sz w:val="22"/>
          <w:szCs w:val="22"/>
          <w:color w:val="auto"/>
          <w:vertAlign w:val="superscript"/>
        </w:rPr>
      </w:pPr>
    </w:p>
    <w:p>
      <w:pPr>
        <w:ind w:left="960" w:hanging="244"/>
        <w:spacing w:after="0" w:line="189" w:lineRule="auto"/>
        <w:tabs>
          <w:tab w:leader="none" w:pos="960" w:val="left"/>
        </w:tabs>
        <w:numPr>
          <w:ilvl w:val="0"/>
          <w:numId w:val="48"/>
        </w:numPr>
        <w:rPr>
          <w:rFonts w:ascii="Arial" w:cs="Arial" w:eastAsia="Arial" w:hAnsi="Arial"/>
          <w:sz w:val="19"/>
          <w:szCs w:val="19"/>
          <w:color w:val="auto"/>
          <w:vertAlign w:val="superscript"/>
        </w:rPr>
      </w:pPr>
      <w:r>
        <w:rPr>
          <w:rFonts w:ascii="Arial" w:cs="Arial" w:eastAsia="Arial" w:hAnsi="Arial"/>
          <w:sz w:val="13"/>
          <w:szCs w:val="13"/>
          <w:color w:val="auto"/>
        </w:rPr>
        <w:t>Ms. Nottebohm resigned from the company in February 2021.</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Executive Summary</w:t>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Who We Are</w:t>
      </w:r>
    </w:p>
    <w:p>
      <w:pPr>
        <w:spacing w:after="0" w:line="52" w:lineRule="exact"/>
        <w:rPr>
          <w:sz w:val="20"/>
          <w:szCs w:val="20"/>
          <w:color w:val="auto"/>
        </w:rPr>
      </w:pPr>
    </w:p>
    <w:p>
      <w:pPr>
        <w:ind w:left="720" w:right="920"/>
        <w:spacing w:after="0" w:line="251"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Dropbox was even more valuable than storing files. We serve more than 700 million registered users across 180 countries.</w:t>
      </w:r>
    </w:p>
    <w:p>
      <w:pPr>
        <w:spacing w:after="0" w:line="148" w:lineRule="exact"/>
        <w:rPr>
          <w:sz w:val="20"/>
          <w:szCs w:val="20"/>
          <w:color w:val="auto"/>
        </w:rPr>
      </w:pPr>
    </w:p>
    <w:p>
      <w:pPr>
        <w:ind w:left="720" w:right="820"/>
        <w:spacing w:after="0" w:line="249" w:lineRule="auto"/>
        <w:rPr>
          <w:sz w:val="20"/>
          <w:szCs w:val="20"/>
          <w:color w:val="auto"/>
        </w:rPr>
      </w:pPr>
      <w:r>
        <w:rPr>
          <w:rFonts w:ascii="Arial" w:cs="Arial" w:eastAsia="Arial" w:hAnsi="Arial"/>
          <w:sz w:val="16"/>
          <w:szCs w:val="16"/>
          <w:color w:val="auto"/>
        </w:rPr>
        <w:t>Our market opportunity has grown as we’ve expanded from keeping files in sync to keeping teams in sync. Today, Dropbox is well-positioned to reimagine the way work gets done. We're focusing on reducing the inordinate amount of time and energy the world spends on “work about work”—tedious tasks like searching for content, switching between applications, and managing workflows.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151" w:lineRule="exact"/>
        <w:rPr>
          <w:sz w:val="20"/>
          <w:szCs w:val="20"/>
          <w:color w:val="auto"/>
        </w:rPr>
      </w:pPr>
    </w:p>
    <w:p>
      <w:pPr>
        <w:ind w:left="720" w:right="1020"/>
        <w:spacing w:after="0" w:line="260" w:lineRule="auto"/>
        <w:rPr>
          <w:sz w:val="20"/>
          <w:szCs w:val="20"/>
          <w:color w:val="auto"/>
        </w:rPr>
      </w:pPr>
      <w:r>
        <w:rPr>
          <w:rFonts w:ascii="Arial" w:cs="Arial" w:eastAsia="Arial" w:hAnsi="Arial"/>
          <w:sz w:val="16"/>
          <w:szCs w:val="16"/>
          <w:color w:val="auto"/>
        </w:rPr>
        <w:t>The popularity of our platform drives viral growth, which has allowed us to scale rapidly and efficiently. We’ve built a thriving global business with 15.48 million paying users.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29</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3" w:name="page34"/>
    <w:bookmarkEnd w:id="3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2020 Business Results and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134620</wp:posOffset>
            </wp:positionV>
            <wp:extent cx="6026150" cy="3617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2615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 w:hanging="524"/>
        <w:spacing w:after="0"/>
        <w:tabs>
          <w:tab w:leader="none" w:pos="524"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3"/>
          </w:cols>
          <w:pgMar w:left="1156" w:top="265" w:right="1440" w:bottom="1440" w:gutter="0" w:footer="0" w:header="0"/>
        </w:sectPr>
      </w:pPr>
    </w:p>
    <w:bookmarkStart w:id="34" w:name="page35"/>
    <w:bookmarkEnd w:id="3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52" w:lineRule="exact"/>
        <w:rPr>
          <w:sz w:val="20"/>
          <w:szCs w:val="20"/>
          <w:color w:val="auto"/>
        </w:rPr>
      </w:pPr>
    </w:p>
    <w:p>
      <w:pPr>
        <w:jc w:val="both"/>
        <w:ind w:left="720" w:right="980"/>
        <w:spacing w:after="0" w:line="253" w:lineRule="auto"/>
        <w:rPr>
          <w:sz w:val="20"/>
          <w:szCs w:val="20"/>
          <w:color w:val="auto"/>
        </w:rPr>
      </w:pPr>
      <w:r>
        <w:rPr>
          <w:rFonts w:ascii="Arial" w:cs="Arial" w:eastAsia="Arial" w:hAnsi="Arial"/>
          <w:sz w:val="16"/>
          <w:szCs w:val="16"/>
          <w:color w:val="auto"/>
        </w:rPr>
        <w:t>Our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142" w:lineRule="exact"/>
        <w:rPr>
          <w:sz w:val="20"/>
          <w:szCs w:val="20"/>
          <w:color w:val="auto"/>
        </w:rPr>
      </w:pPr>
    </w:p>
    <w:p>
      <w:pPr>
        <w:ind w:left="2400"/>
        <w:spacing w:after="0"/>
        <w:tabs>
          <w:tab w:leader="none" w:pos="6840" w:val="left"/>
        </w:tabs>
        <w:rPr>
          <w:sz w:val="20"/>
          <w:szCs w:val="20"/>
          <w:color w:val="auto"/>
        </w:rPr>
      </w:pPr>
      <w:r>
        <w:rPr>
          <w:rFonts w:ascii="Arial" w:cs="Arial" w:eastAsia="Arial" w:hAnsi="Arial"/>
          <w:sz w:val="25"/>
          <w:szCs w:val="25"/>
          <w:b w:val="1"/>
          <w:bCs w:val="1"/>
          <w:color w:val="auto"/>
        </w:rPr>
        <w:t>What we do</w:t>
      </w:r>
      <w:r>
        <w:rPr>
          <w:sz w:val="20"/>
          <w:szCs w:val="20"/>
          <w:color w:val="auto"/>
        </w:rPr>
        <w:tab/>
      </w:r>
      <w:r>
        <w:rPr>
          <w:rFonts w:ascii="Arial" w:cs="Arial" w:eastAsia="Arial" w:hAnsi="Arial"/>
          <w:sz w:val="25"/>
          <w:szCs w:val="2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111125</wp:posOffset>
            </wp:positionV>
            <wp:extent cx="6077585" cy="4560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7585" cy="45605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92" w:lineRule="exact"/>
        <w:rPr>
          <w:sz w:val="20"/>
          <w:szCs w:val="20"/>
          <w:color w:val="auto"/>
        </w:rPr>
      </w:pPr>
    </w:p>
    <w:p>
      <w:pPr>
        <w:ind w:left="1120" w:right="280" w:hanging="294"/>
        <w:spacing w:after="0" w:line="259" w:lineRule="auto"/>
        <w:tabs>
          <w:tab w:leader="none" w:pos="113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Maintain an Independent Compensation Committee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committee consists solely of independent directors who establish our compensation practices.</w:t>
      </w:r>
    </w:p>
    <w:p>
      <w:pPr>
        <w:spacing w:after="0" w:line="150" w:lineRule="exact"/>
        <w:rPr>
          <w:rFonts w:ascii="MS PGothic" w:cs="MS PGothic" w:eastAsia="MS PGothic" w:hAnsi="MS PGothic"/>
          <w:sz w:val="16"/>
          <w:szCs w:val="16"/>
          <w:color w:val="auto"/>
        </w:rPr>
      </w:pPr>
    </w:p>
    <w:p>
      <w:pPr>
        <w:ind w:left="1120" w:right="140" w:hanging="294"/>
        <w:spacing w:after="0" w:line="254" w:lineRule="auto"/>
        <w:tabs>
          <w:tab w:leader="none" w:pos="1178"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Retain an Independent Compensation Advisor.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has engaged its own compensation consultant to provide information, analysis, and other advice on executive compensation independent of management. This consultant performed no other consulting or other services for us in 2020.</w:t>
      </w:r>
    </w:p>
    <w:p>
      <w:pPr>
        <w:spacing w:after="0" w:line="154" w:lineRule="exact"/>
        <w:rPr>
          <w:rFonts w:ascii="MS PGothic" w:cs="MS PGothic" w:eastAsia="MS PGothic" w:hAnsi="MS PGothic"/>
          <w:sz w:val="16"/>
          <w:szCs w:val="16"/>
          <w:color w:val="auto"/>
        </w:rPr>
      </w:pPr>
    </w:p>
    <w:p>
      <w:pPr>
        <w:ind w:left="1120" w:right="60" w:hanging="294"/>
        <w:spacing w:after="0" w:line="254" w:lineRule="auto"/>
        <w:tabs>
          <w:tab w:leader="none" w:pos="113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Executive Compensation Review.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conducts an annual review of our compensation strategy and a review of our compensation-related risk profile to ensure that our compensation programs do not encourage excessive or inappropriate risk-taking.</w:t>
      </w:r>
    </w:p>
    <w:p>
      <w:pPr>
        <w:spacing w:after="0" w:line="154" w:lineRule="exact"/>
        <w:rPr>
          <w:rFonts w:ascii="MS PGothic" w:cs="MS PGothic" w:eastAsia="MS PGothic" w:hAnsi="MS PGothic"/>
          <w:sz w:val="16"/>
          <w:szCs w:val="16"/>
          <w:color w:val="auto"/>
        </w:rPr>
      </w:pPr>
    </w:p>
    <w:p>
      <w:pPr>
        <w:ind w:left="1120" w:right="260" w:hanging="294"/>
        <w:spacing w:after="0" w:line="256" w:lineRule="auto"/>
        <w:tabs>
          <w:tab w:leader="none" w:pos="1178"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Compensation At-Risk. </w:t>
      </w:r>
      <w:r>
        <w:rPr>
          <w:rFonts w:ascii="Arial" w:cs="Arial" w:eastAsia="Arial" w:hAnsi="Arial"/>
          <w:sz w:val="16"/>
          <w:szCs w:val="16"/>
          <w:color w:val="auto"/>
        </w:rPr>
        <w:t>Our executive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is designed so that a significant portion of our executive officer’s compensation is “at risk” based on corporate performance, as well as equity-based, to align the interests of our executive officers and stockholders.</w:t>
      </w:r>
    </w:p>
    <w:p>
      <w:pPr>
        <w:spacing w:after="0" w:line="152" w:lineRule="exact"/>
        <w:rPr>
          <w:rFonts w:ascii="MS PGothic" w:cs="MS PGothic" w:eastAsia="MS PGothic" w:hAnsi="MS PGothic"/>
          <w:sz w:val="16"/>
          <w:szCs w:val="16"/>
          <w:color w:val="auto"/>
        </w:rPr>
      </w:pPr>
    </w:p>
    <w:p>
      <w:pPr>
        <w:ind w:left="1120" w:right="120" w:hanging="294"/>
        <w:spacing w:after="0" w:line="252" w:lineRule="auto"/>
        <w:tabs>
          <w:tab w:leader="none" w:pos="113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Use a Pay-for-Performance Philosophy. </w:t>
      </w:r>
      <w:r>
        <w:rPr>
          <w:rFonts w:ascii="Arial" w:cs="Arial" w:eastAsia="Arial" w:hAnsi="Arial"/>
          <w:sz w:val="16"/>
          <w:szCs w:val="16"/>
          <w:color w:val="auto"/>
        </w:rPr>
        <w:t>The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compensation is directly linked to corporate performance; we also structure their target total direct compensation opportunities with a significant long-term equity component, thereby making a substantial portion of each executive officer’s target total direct compensation dependent upon our stock price and/or total stockholder return.</w:t>
      </w:r>
    </w:p>
    <w:p>
      <w:pPr>
        <w:spacing w:after="0" w:line="155" w:lineRule="exact"/>
        <w:rPr>
          <w:rFonts w:ascii="MS PGothic" w:cs="MS PGothic" w:eastAsia="MS PGothic" w:hAnsi="MS PGothic"/>
          <w:sz w:val="16"/>
          <w:szCs w:val="16"/>
          <w:color w:val="auto"/>
        </w:rPr>
      </w:pPr>
    </w:p>
    <w:p>
      <w:pPr>
        <w:ind w:left="1120" w:hanging="294"/>
        <w:spacing w:after="0" w:line="266" w:lineRule="auto"/>
        <w:tabs>
          <w:tab w:leader="none" w:pos="113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Succession Planning. </w:t>
      </w:r>
      <w:r>
        <w:rPr>
          <w:rFonts w:ascii="Arial" w:cs="Arial" w:eastAsia="Arial" w:hAnsi="Arial"/>
          <w:sz w:val="16"/>
          <w:szCs w:val="16"/>
          <w:color w:val="auto"/>
        </w:rPr>
        <w:t>We review the risks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our key 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62" w:right="980" w:hanging="262"/>
        <w:spacing w:after="0" w:line="286"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Guaranteed Bonuses</w:t>
      </w:r>
      <w:r>
        <w:rPr>
          <w:rFonts w:ascii="Arial" w:cs="Arial" w:eastAsia="Arial" w:hAnsi="Arial"/>
          <w:sz w:val="16"/>
          <w:szCs w:val="16"/>
          <w:color w:val="auto"/>
        </w:rPr>
        <w:t>. We do not provide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bonuses to our executive officers.</w:t>
      </w:r>
    </w:p>
    <w:p>
      <w:pPr>
        <w:spacing w:after="0" w:line="128" w:lineRule="exact"/>
        <w:rPr>
          <w:rFonts w:ascii="MS PGothic" w:cs="MS PGothic" w:eastAsia="MS PGothic" w:hAnsi="MS PGothic"/>
          <w:sz w:val="16"/>
          <w:szCs w:val="16"/>
          <w:color w:val="auto"/>
        </w:rPr>
      </w:pPr>
    </w:p>
    <w:p>
      <w:pPr>
        <w:ind w:left="262" w:right="1000" w:hanging="262"/>
        <w:spacing w:after="0" w:line="256"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Executive Retirement Plans</w:t>
      </w:r>
      <w:r>
        <w:rPr>
          <w:rFonts w:ascii="Arial" w:cs="Arial" w:eastAsia="Arial" w:hAnsi="Arial"/>
          <w:sz w:val="16"/>
          <w:szCs w:val="16"/>
          <w:color w:val="auto"/>
        </w:rPr>
        <w:t>. We do not offer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pension plans or any non-qualified deferred compensation plans or arrangements to our executive officers, other than the plans and arrangements that are available to all employees.</w:t>
      </w:r>
    </w:p>
    <w:p>
      <w:pPr>
        <w:spacing w:after="0" w:line="152" w:lineRule="exact"/>
        <w:rPr>
          <w:rFonts w:ascii="MS PGothic" w:cs="MS PGothic" w:eastAsia="MS PGothic" w:hAnsi="MS PGothic"/>
          <w:sz w:val="16"/>
          <w:szCs w:val="16"/>
          <w:color w:val="auto"/>
        </w:rPr>
      </w:pPr>
    </w:p>
    <w:p>
      <w:pPr>
        <w:ind w:left="262" w:right="920" w:hanging="262"/>
        <w:spacing w:after="0" w:line="259"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Hedging or Pledging</w:t>
      </w:r>
      <w:r>
        <w:rPr>
          <w:rFonts w:ascii="Arial" w:cs="Arial" w:eastAsia="Arial" w:hAnsi="Arial"/>
          <w:sz w:val="16"/>
          <w:szCs w:val="16"/>
          <w:color w:val="auto"/>
        </w:rPr>
        <w:t>. We prohibit our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executive officers) and the non-employee members of our board of directors from hedging or pledging our securities.</w:t>
      </w:r>
    </w:p>
    <w:p>
      <w:pPr>
        <w:spacing w:after="0" w:line="150" w:lineRule="exact"/>
        <w:rPr>
          <w:rFonts w:ascii="MS PGothic" w:cs="MS PGothic" w:eastAsia="MS PGothic" w:hAnsi="MS PGothic"/>
          <w:sz w:val="16"/>
          <w:szCs w:val="16"/>
          <w:color w:val="auto"/>
        </w:rPr>
      </w:pPr>
    </w:p>
    <w:p>
      <w:pPr>
        <w:jc w:val="both"/>
        <w:ind w:left="262" w:right="920" w:hanging="262"/>
        <w:spacing w:after="0" w:line="266"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Tax Payments on Perquisites</w:t>
      </w:r>
      <w:r>
        <w:rPr>
          <w:rFonts w:ascii="Arial" w:cs="Arial" w:eastAsia="Arial" w:hAnsi="Arial"/>
          <w:sz w:val="16"/>
          <w:szCs w:val="16"/>
          <w:color w:val="auto"/>
        </w:rPr>
        <w:t>. We do not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tax reimbursement payments (including “gross-ups”) on any perquisites or other personal benefits.</w:t>
      </w:r>
    </w:p>
    <w:p>
      <w:pPr>
        <w:spacing w:after="0" w:line="333" w:lineRule="exact"/>
        <w:rPr>
          <w:rFonts w:ascii="MS PGothic" w:cs="MS PGothic" w:eastAsia="MS PGothic" w:hAnsi="MS PGothic"/>
          <w:sz w:val="16"/>
          <w:szCs w:val="16"/>
          <w:color w:val="auto"/>
        </w:rPr>
      </w:pPr>
    </w:p>
    <w:p>
      <w:pPr>
        <w:ind w:left="262" w:right="940" w:hanging="262"/>
        <w:spacing w:after="0" w:line="256"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Excise Tax Payments on Future Post-Employment Compensation Arrangements</w:t>
      </w:r>
      <w:r>
        <w:rPr>
          <w:rFonts w:ascii="Arial" w:cs="Arial" w:eastAsia="Arial" w:hAnsi="Arial"/>
          <w:sz w:val="16"/>
          <w:szCs w:val="16"/>
          <w:color w:val="auto"/>
        </w:rPr>
        <w:t>. We do not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reimbursement payments (including “gross-ups”) on payments or benefits contingent upon a change in control of the company.</w:t>
      </w:r>
    </w:p>
    <w:p>
      <w:pPr>
        <w:spacing w:after="0" w:line="152" w:lineRule="exact"/>
        <w:rPr>
          <w:rFonts w:ascii="MS PGothic" w:cs="MS PGothic" w:eastAsia="MS PGothic" w:hAnsi="MS PGothic"/>
          <w:sz w:val="16"/>
          <w:szCs w:val="16"/>
          <w:color w:val="auto"/>
        </w:rPr>
      </w:pPr>
    </w:p>
    <w:p>
      <w:pPr>
        <w:ind w:left="262" w:right="860" w:hanging="262"/>
        <w:spacing w:after="0" w:line="256" w:lineRule="auto"/>
        <w:tabs>
          <w:tab w:leader="none" w:pos="305"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No Special Welfare or Health Benefits</w:t>
      </w:r>
      <w:r>
        <w:rPr>
          <w:rFonts w:ascii="Arial" w:cs="Arial" w:eastAsia="Arial" w:hAnsi="Arial"/>
          <w:sz w:val="16"/>
          <w:szCs w:val="16"/>
          <w:color w:val="auto"/>
        </w:rPr>
        <w:t>. We do not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with any welfare or health benefit programs, other than participation in our broad-based employee programs. All highly compensated employees are eligible for special long-term disability.</w:t>
      </w:r>
    </w:p>
    <w:p>
      <w:pPr>
        <w:spacing w:after="0" w:line="1531" w:lineRule="exact"/>
        <w:rPr>
          <w:sz w:val="20"/>
          <w:szCs w:val="20"/>
          <w:color w:val="auto"/>
        </w:rPr>
      </w:pPr>
    </w:p>
    <w:p>
      <w:pPr>
        <w:sectPr>
          <w:pgSz w:w="11900" w:h="16838" w:orient="portrait"/>
          <w:cols w:equalWidth="0" w:num="2">
            <w:col w:w="5400" w:space="178"/>
            <w:col w:w="5442"/>
          </w:cols>
          <w:pgMar w:left="440" w:top="265" w:right="439" w:bottom="1440" w:gutter="0" w:footer="0" w:header="0"/>
          <w:type w:val="continuous"/>
        </w:sectPr>
      </w:pPr>
    </w:p>
    <w:p>
      <w:pPr>
        <w:spacing w:after="0" w:line="14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Executive Compensation Philosophy and Objectives</w:t>
      </w:r>
    </w:p>
    <w:p>
      <w:pPr>
        <w:spacing w:after="0" w:line="169" w:lineRule="exact"/>
        <w:rPr>
          <w:sz w:val="20"/>
          <w:szCs w:val="20"/>
          <w:color w:val="auto"/>
        </w:rPr>
      </w:pPr>
    </w:p>
    <w:p>
      <w:pPr>
        <w:ind w:left="720" w:right="940"/>
        <w:spacing w:after="0" w:line="260"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41" w:lineRule="exact"/>
        <w:rPr>
          <w:sz w:val="20"/>
          <w:szCs w:val="20"/>
          <w:color w:val="auto"/>
        </w:rPr>
      </w:pPr>
    </w:p>
    <w:p>
      <w:pPr>
        <w:ind w:left="1000" w:right="880" w:hanging="284"/>
        <w:spacing w:after="0" w:line="260" w:lineRule="auto"/>
        <w:tabs>
          <w:tab w:leader="none" w:pos="1000" w:val="left"/>
        </w:tabs>
        <w:numPr>
          <w:ilvl w:val="0"/>
          <w:numId w:val="52"/>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141" w:lineRule="exact"/>
        <w:rPr>
          <w:rFonts w:ascii="Arial" w:cs="Arial" w:eastAsia="Arial" w:hAnsi="Arial"/>
          <w:sz w:val="16"/>
          <w:szCs w:val="16"/>
          <w:color w:val="0063A6"/>
        </w:rPr>
      </w:pPr>
    </w:p>
    <w:p>
      <w:pPr>
        <w:ind w:left="1000" w:right="1180" w:hanging="284"/>
        <w:spacing w:after="0" w:line="260" w:lineRule="auto"/>
        <w:tabs>
          <w:tab w:leader="none" w:pos="1000" w:val="left"/>
        </w:tabs>
        <w:numPr>
          <w:ilvl w:val="0"/>
          <w:numId w:val="52"/>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31</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35" w:name="page36"/>
    <w:bookmarkEnd w:id="3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284" w:right="100" w:hanging="284"/>
        <w:spacing w:after="0" w:line="260" w:lineRule="auto"/>
        <w:tabs>
          <w:tab w:leader="none" w:pos="284"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Pay-for-Performance</w:t>
      </w:r>
    </w:p>
    <w:p>
      <w:pPr>
        <w:spacing w:after="0" w:line="52" w:lineRule="exact"/>
        <w:rPr>
          <w:sz w:val="20"/>
          <w:szCs w:val="20"/>
          <w:color w:val="auto"/>
        </w:rPr>
      </w:pPr>
    </w:p>
    <w:p>
      <w:pPr>
        <w:ind w:left="4" w:right="340"/>
        <w:spacing w:after="0" w:line="25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48" w:lineRule="exact"/>
        <w:rPr>
          <w:sz w:val="20"/>
          <w:szCs w:val="20"/>
          <w:color w:val="auto"/>
        </w:rPr>
      </w:pPr>
    </w:p>
    <w:p>
      <w:pPr>
        <w:ind w:left="4" w:right="460"/>
        <w:spacing w:after="0" w:line="260" w:lineRule="auto"/>
        <w:rPr>
          <w:sz w:val="20"/>
          <w:szCs w:val="20"/>
          <w:color w:val="auto"/>
        </w:rPr>
      </w:pPr>
      <w:r>
        <w:rPr>
          <w:rFonts w:ascii="Arial" w:cs="Arial" w:eastAsia="Arial" w:hAnsi="Arial"/>
          <w:sz w:val="16"/>
          <w:szCs w:val="16"/>
          <w:color w:val="auto"/>
        </w:rPr>
        <w:t>We emphasize variable compensation that appropriately rewards our executive officers, including our named executive officers, through two separate compensation elements:</w:t>
      </w:r>
    </w:p>
    <w:p>
      <w:pPr>
        <w:spacing w:after="0" w:line="141" w:lineRule="exact"/>
        <w:rPr>
          <w:sz w:val="20"/>
          <w:szCs w:val="20"/>
          <w:color w:val="auto"/>
        </w:rPr>
      </w:pPr>
    </w:p>
    <w:p>
      <w:pPr>
        <w:ind w:left="284" w:right="460" w:hanging="284"/>
        <w:spacing w:after="0" w:line="260" w:lineRule="auto"/>
        <w:tabs>
          <w:tab w:leader="none" w:pos="284" w:val="left"/>
        </w:tabs>
        <w:numPr>
          <w:ilvl w:val="0"/>
          <w:numId w:val="54"/>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 strategic results that meet or exceed the objectives set forth in our annual operating plan.</w:t>
      </w:r>
    </w:p>
    <w:p>
      <w:pPr>
        <w:spacing w:after="0" w:line="141" w:lineRule="exact"/>
        <w:rPr>
          <w:rFonts w:ascii="Arial" w:cs="Arial" w:eastAsia="Arial" w:hAnsi="Arial"/>
          <w:sz w:val="16"/>
          <w:szCs w:val="16"/>
          <w:color w:val="0063A6"/>
        </w:rPr>
      </w:pPr>
    </w:p>
    <w:p>
      <w:pPr>
        <w:ind w:left="284" w:right="280" w:hanging="284"/>
        <w:spacing w:after="0" w:line="253" w:lineRule="auto"/>
        <w:tabs>
          <w:tab w:leader="none" w:pos="284" w:val="left"/>
        </w:tabs>
        <w:numPr>
          <w:ilvl w:val="0"/>
          <w:numId w:val="54"/>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47"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47"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compensation committee regularly evaluates the relationship between the reported values of the equity awards granted to our executive officers and the amount of realizable and realized value from such awards in subsequent years.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Compensation-Setting Process</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Compensation Committee and the Stock Committee</w:t>
      </w:r>
    </w:p>
    <w:p>
      <w:pPr>
        <w:spacing w:after="0" w:line="66"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executives and non-employee directors. The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48" w:lineRule="exact"/>
        <w:rPr>
          <w:sz w:val="20"/>
          <w:szCs w:val="20"/>
          <w:color w:val="auto"/>
        </w:rPr>
      </w:pPr>
    </w:p>
    <w:p>
      <w:pPr>
        <w:ind w:left="4" w:right="520"/>
        <w:spacing w:after="0" w:line="260" w:lineRule="auto"/>
        <w:rPr>
          <w:sz w:val="20"/>
          <w:szCs w:val="20"/>
          <w:color w:val="auto"/>
        </w:rPr>
      </w:pPr>
      <w:r>
        <w:rPr>
          <w:rFonts w:ascii="Arial" w:cs="Arial" w:eastAsia="Arial" w:hAnsi="Arial"/>
          <w:sz w:val="16"/>
          <w:szCs w:val="16"/>
          <w:color w:val="auto"/>
        </w:rPr>
        <w:t>The compensation committee makes all final decisions regarding the compensation of our chief executive officer and our other executive officers.</w:t>
      </w:r>
    </w:p>
    <w:p>
      <w:pPr>
        <w:spacing w:after="0" w:line="14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48" w:lineRule="exact"/>
        <w:rPr>
          <w:sz w:val="20"/>
          <w:szCs w:val="20"/>
          <w:color w:val="auto"/>
        </w:rPr>
      </w:pPr>
    </w:p>
    <w:p>
      <w:pPr>
        <w:ind w:left="4" w:right="220"/>
        <w:spacing w:after="0" w:line="260" w:lineRule="auto"/>
        <w:rPr>
          <w:sz w:val="20"/>
          <w:szCs w:val="20"/>
          <w:color w:val="auto"/>
        </w:rPr>
      </w:pPr>
      <w:r>
        <w:rPr>
          <w:rFonts w:ascii="Arial" w:cs="Arial" w:eastAsia="Arial" w:hAnsi="Arial"/>
          <w:sz w:val="16"/>
          <w:szCs w:val="16"/>
          <w:color w:val="auto"/>
        </w:rPr>
        <w:t>The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41"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board. Mr. Schreier previously served as the non-employee director on the stock committee until his resignation from our board of directors in December 2020, at which time Ms. Peacock was appointed to serve as the non-employee director on the stock committee. Ms. Nottebohm, our former Chief Operating Officer, also previously served on the stock committee until her resignation from the company in February 2021, at which time our Chief People Officer was appointed to serve on the stock committee. The stock committee has authority to grant equity awards to (a) employees who hold a title below vice president and (b) consultants subject to certain limitations established from time to time by the compensation committee.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Compensation Consultant</w:t>
      </w:r>
    </w:p>
    <w:p>
      <w:pPr>
        <w:spacing w:after="0" w:line="66" w:lineRule="exact"/>
        <w:rPr>
          <w:sz w:val="20"/>
          <w:szCs w:val="20"/>
          <w:color w:val="auto"/>
        </w:rPr>
      </w:pPr>
    </w:p>
    <w:p>
      <w:pPr>
        <w:ind w:left="4" w:right="420"/>
        <w:spacing w:after="0" w:line="260" w:lineRule="auto"/>
        <w:rPr>
          <w:sz w:val="20"/>
          <w:szCs w:val="20"/>
          <w:color w:val="auto"/>
        </w:rPr>
      </w:pPr>
      <w:r>
        <w:rPr>
          <w:rFonts w:ascii="Arial" w:cs="Arial" w:eastAsia="Arial" w:hAnsi="Arial"/>
          <w:sz w:val="16"/>
          <w:szCs w:val="16"/>
          <w:color w:val="auto"/>
        </w:rPr>
        <w:t>The compensation committee engages an external compensation consultant to assist the committee by providing information, analysis, and other advice relating to our executive compensation program and the decisions resulting from its annual executive</w:t>
      </w:r>
    </w:p>
    <w:p>
      <w:pPr>
        <w:spacing w:after="0" w:line="180" w:lineRule="exact"/>
        <w:rPr>
          <w:sz w:val="20"/>
          <w:szCs w:val="20"/>
          <w:color w:val="auto"/>
        </w:rPr>
      </w:pPr>
    </w:p>
    <w:p>
      <w:pPr>
        <w:ind w:left="524" w:hanging="524"/>
        <w:spacing w:after="0"/>
        <w:tabs>
          <w:tab w:leader="none" w:pos="524"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6" w:name="page37"/>
    <w:bookmarkEnd w:id="3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right="940"/>
        <w:spacing w:after="0" w:line="260" w:lineRule="auto"/>
        <w:rPr>
          <w:sz w:val="20"/>
          <w:szCs w:val="20"/>
          <w:color w:val="auto"/>
        </w:rPr>
      </w:pPr>
      <w:r>
        <w:rPr>
          <w:rFonts w:ascii="Arial" w:cs="Arial" w:eastAsia="Arial" w:hAnsi="Arial"/>
          <w:sz w:val="16"/>
          <w:szCs w:val="16"/>
          <w:color w:val="auto"/>
        </w:rPr>
        <w:t>compensation review. The compensation consultant reports directly to the compensation committee and its chair, and serves at the discretion of the compensation committee, which reviews the engagement annually.</w:t>
      </w:r>
    </w:p>
    <w:p>
      <w:pPr>
        <w:spacing w:after="0" w:line="141"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For 2020, the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During 2020, Compensia attended compensation committee meetings and provided the following services:</w:t>
      </w:r>
    </w:p>
    <w:p>
      <w:pPr>
        <w:spacing w:after="0" w:line="167" w:lineRule="exact"/>
        <w:rPr>
          <w:sz w:val="20"/>
          <w:szCs w:val="20"/>
          <w:color w:val="auto"/>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Consulted with the compensation committee chair and other members between compensation committee meetings;</w:t>
      </w:r>
    </w:p>
    <w:p>
      <w:pPr>
        <w:spacing w:after="0" w:line="167" w:lineRule="exact"/>
        <w:rPr>
          <w:rFonts w:ascii="Arial" w:cs="Arial" w:eastAsia="Arial" w:hAnsi="Arial"/>
          <w:sz w:val="16"/>
          <w:szCs w:val="16"/>
          <w:color w:val="0063A6"/>
        </w:rPr>
      </w:pPr>
    </w:p>
    <w:p>
      <w:pPr>
        <w:ind w:left="1000" w:right="1020" w:hanging="284"/>
        <w:spacing w:after="0" w:line="253"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47" w:lineRule="exact"/>
        <w:rPr>
          <w:rFonts w:ascii="Arial" w:cs="Arial" w:eastAsia="Arial" w:hAnsi="Arial"/>
          <w:sz w:val="16"/>
          <w:szCs w:val="16"/>
          <w:color w:val="0063A6"/>
        </w:rPr>
      </w:pPr>
    </w:p>
    <w:p>
      <w:pPr>
        <w:ind w:left="1000" w:right="840" w:hanging="284"/>
        <w:spacing w:after="0" w:line="260"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141" w:lineRule="exact"/>
        <w:rPr>
          <w:rFonts w:ascii="Arial" w:cs="Arial" w:eastAsia="Arial" w:hAnsi="Arial"/>
          <w:sz w:val="16"/>
          <w:szCs w:val="16"/>
          <w:color w:val="0063A6"/>
        </w:rPr>
      </w:pPr>
    </w:p>
    <w:p>
      <w:pPr>
        <w:ind w:left="1000" w:right="940" w:hanging="284"/>
        <w:spacing w:after="0" w:line="260"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incentive bonus opportunities, and long-term equity incentive compensation opportunities of our executive officers;</w:t>
      </w:r>
    </w:p>
    <w:p>
      <w:pPr>
        <w:spacing w:after="0" w:line="141" w:lineRule="exact"/>
        <w:rPr>
          <w:rFonts w:ascii="Arial" w:cs="Arial" w:eastAsia="Arial" w:hAnsi="Arial"/>
          <w:sz w:val="16"/>
          <w:szCs w:val="16"/>
          <w:color w:val="0063A6"/>
        </w:rPr>
      </w:pPr>
    </w:p>
    <w:p>
      <w:pPr>
        <w:ind w:left="1000" w:right="980" w:hanging="284"/>
        <w:spacing w:after="0" w:line="260"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updates on corporate governance and regulatory issues and developments;</w:t>
      </w:r>
    </w:p>
    <w:p>
      <w:pPr>
        <w:spacing w:after="0" w:line="141" w:lineRule="exact"/>
        <w:rPr>
          <w:rFonts w:ascii="Arial" w:cs="Arial" w:eastAsia="Arial" w:hAnsi="Arial"/>
          <w:sz w:val="16"/>
          <w:szCs w:val="16"/>
          <w:color w:val="0063A6"/>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1000" w:right="1240" w:hanging="284"/>
        <w:spacing w:after="0" w:line="260"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25" w:lineRule="exact"/>
        <w:rPr>
          <w:rFonts w:ascii="Arial" w:cs="Arial" w:eastAsia="Arial" w:hAnsi="Arial"/>
          <w:sz w:val="16"/>
          <w:szCs w:val="16"/>
          <w:color w:val="0063A6"/>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83" w:lineRule="exact"/>
        <w:rPr>
          <w:sz w:val="20"/>
          <w:szCs w:val="20"/>
          <w:color w:val="auto"/>
        </w:rPr>
      </w:pPr>
    </w:p>
    <w:p>
      <w:pPr>
        <w:ind w:left="720" w:right="860"/>
        <w:spacing w:after="0" w:line="246" w:lineRule="auto"/>
        <w:rPr>
          <w:sz w:val="20"/>
          <w:szCs w:val="20"/>
          <w:color w:val="auto"/>
        </w:rPr>
      </w:pPr>
      <w:r>
        <w:rPr>
          <w:rFonts w:ascii="Arial" w:cs="Arial" w:eastAsia="Arial" w:hAnsi="Arial"/>
          <w:sz w:val="16"/>
          <w:szCs w:val="16"/>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Exchange Act Rule 10C-1(b)(4),</w:t>
      </w:r>
    </w:p>
    <w:p>
      <w:pPr>
        <w:spacing w:after="0" w:line="2"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Rule 5605(d)(3)(D) of the Nasdaq Marketplace Rules, and such other factors as were deemed relevant under the circumstances, has determined that its relationship with Compensia and the work of Compensia on behalf of the compensation committee did not raise any conflict of interest, and that Compensia is independent as defined in Rule 5605(a)(2) of the Nasdaq Marketplace Rules.</w:t>
      </w:r>
    </w:p>
    <w:p>
      <w:pPr>
        <w:spacing w:after="0" w:line="3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Role of Management</w:t>
      </w:r>
    </w:p>
    <w:p>
      <w:pPr>
        <w:spacing w:after="0" w:line="66" w:lineRule="exact"/>
        <w:rPr>
          <w:sz w:val="20"/>
          <w:szCs w:val="20"/>
          <w:color w:val="auto"/>
        </w:rPr>
      </w:pPr>
    </w:p>
    <w:p>
      <w:pPr>
        <w:ind w:left="720" w:right="1120"/>
        <w:spacing w:after="0" w:line="253" w:lineRule="auto"/>
        <w:rPr>
          <w:sz w:val="20"/>
          <w:szCs w:val="20"/>
          <w:color w:val="auto"/>
        </w:rPr>
      </w:pPr>
      <w:r>
        <w:rPr>
          <w:rFonts w:ascii="Arial" w:cs="Arial" w:eastAsia="Arial" w:hAnsi="Arial"/>
          <w:sz w:val="16"/>
          <w:szCs w:val="16"/>
          <w:color w:val="auto"/>
        </w:rPr>
        <w:t>In discharging its responsibilities, the compensation committee also works with members of our management, including our chief executive officer. Our management assists the compensation committee by providing information on corporate and individual performance, competitive market data, and management’s perspective and recommendations on compensation matters.</w:t>
      </w:r>
    </w:p>
    <w:p>
      <w:pPr>
        <w:spacing w:after="0" w:line="147"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Typically, our chief executive officer makes recommendations to the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compensation committee for each element of compensation as described above.</w:t>
      </w:r>
    </w:p>
    <w:p>
      <w:pPr>
        <w:spacing w:after="0" w:line="154"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The compensation committee reviews and discusses these recommendations and proposals with our chief executive officer and uses them as one factor in determining and approving the compensation for our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33</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7" w:name="page38"/>
    <w:bookmarkEnd w:id="3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right="140"/>
        <w:spacing w:after="0" w:line="251" w:lineRule="auto"/>
        <w:rPr>
          <w:sz w:val="20"/>
          <w:szCs w:val="20"/>
          <w:color w:val="auto"/>
        </w:rPr>
      </w:pPr>
      <w:r>
        <w:rPr>
          <w:rFonts w:ascii="Arial" w:cs="Arial" w:eastAsia="Arial" w:hAnsi="Arial"/>
          <w:sz w:val="16"/>
          <w:szCs w:val="16"/>
          <w:color w:val="auto"/>
        </w:rPr>
        <w:t>Our chief executive officer also attends meetings of our board of directors and the compensation committee at which executive compensation matters are addressed, except with respect to discussions involving his own compensation. Decisions with respect to our chief executive officer’s compensation are made by our compensation committee, which is comprised entirely of independent members of our board of directors.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Competitive Positioning</w:t>
      </w:r>
    </w:p>
    <w:p>
      <w:pPr>
        <w:spacing w:after="0" w:line="66" w:lineRule="exact"/>
        <w:rPr>
          <w:sz w:val="20"/>
          <w:szCs w:val="20"/>
          <w:color w:val="auto"/>
        </w:rPr>
      </w:pPr>
    </w:p>
    <w:p>
      <w:pPr>
        <w:ind w:left="4" w:right="300"/>
        <w:spacing w:after="0" w:line="253" w:lineRule="auto"/>
        <w:rPr>
          <w:sz w:val="20"/>
          <w:szCs w:val="20"/>
          <w:color w:val="auto"/>
        </w:rPr>
      </w:pPr>
      <w:r>
        <w:rPr>
          <w:rFonts w:ascii="Arial" w:cs="Arial" w:eastAsia="Arial" w:hAnsi="Arial"/>
          <w:sz w:val="16"/>
          <w:szCs w:val="16"/>
          <w:color w:val="auto"/>
        </w:rPr>
        <w:t>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47" w:lineRule="exact"/>
        <w:rPr>
          <w:sz w:val="20"/>
          <w:szCs w:val="20"/>
          <w:color w:val="auto"/>
        </w:rPr>
      </w:pPr>
    </w:p>
    <w:p>
      <w:pPr>
        <w:ind w:left="4" w:right="220"/>
        <w:spacing w:after="0" w:line="260" w:lineRule="auto"/>
        <w:rPr>
          <w:sz w:val="20"/>
          <w:szCs w:val="20"/>
          <w:color w:val="auto"/>
        </w:rPr>
      </w:pPr>
      <w:r>
        <w:rPr>
          <w:rFonts w:ascii="Arial" w:cs="Arial" w:eastAsia="Arial" w:hAnsi="Arial"/>
          <w:sz w:val="16"/>
          <w:szCs w:val="16"/>
          <w:color w:val="auto"/>
        </w:rPr>
        <w:t>The companies in the compensation peer group for 2020 were approved in November 2019 on the basis of their similarity to us, as determined using the following criteria:</w:t>
      </w:r>
    </w:p>
    <w:p>
      <w:pPr>
        <w:spacing w:after="0" w:line="141" w:lineRule="exact"/>
        <w:rPr>
          <w:sz w:val="20"/>
          <w:szCs w:val="20"/>
          <w:color w:val="auto"/>
        </w:rPr>
      </w:pPr>
    </w:p>
    <w:p>
      <w:pPr>
        <w:ind w:left="284" w:right="920" w:hanging="284"/>
        <w:spacing w:after="0" w:line="260"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revenue – approximately 0.4x to approximately 2.5x our last four fiscal quarter revenue of approximately $1.52 billion (approximately $609 million to $3.8 billion);</w:t>
      </w:r>
    </w:p>
    <w:p>
      <w:pPr>
        <w:spacing w:after="0" w:line="141" w:lineRule="exact"/>
        <w:rPr>
          <w:rFonts w:ascii="Arial" w:cs="Arial" w:eastAsia="Arial" w:hAnsi="Arial"/>
          <w:sz w:val="16"/>
          <w:szCs w:val="16"/>
          <w:color w:val="0063A6"/>
        </w:rPr>
      </w:pPr>
    </w:p>
    <w:p>
      <w:pPr>
        <w:ind w:left="284" w:right="740" w:hanging="284"/>
        <w:spacing w:after="0" w:line="260"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market capitalization – approximately 0.25x to approximately 4.0x our market capitalization of approximately $8.2 billion (approximately $2.0 billion to $33 billion);</w:t>
      </w:r>
    </w:p>
    <w:p>
      <w:pPr>
        <w:spacing w:after="0" w:line="141" w:lineRule="exact"/>
        <w:rPr>
          <w:rFonts w:ascii="Arial" w:cs="Arial" w:eastAsia="Arial" w:hAnsi="Arial"/>
          <w:sz w:val="16"/>
          <w:szCs w:val="16"/>
          <w:color w:val="0063A6"/>
        </w:rPr>
      </w:pPr>
    </w:p>
    <w:p>
      <w:pPr>
        <w:ind w:left="284" w:right="60" w:hanging="284"/>
        <w:spacing w:after="0" w:line="260"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industry sector – internet software and services, software, communication equipment, and certain SaaS companies not classified as such; and</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relevance – software-as-a-service model or product similarity.</w:t>
      </w:r>
    </w:p>
    <w:p>
      <w:pPr>
        <w:spacing w:after="0" w:line="167"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In selecting the 2020 compensation peer group, we chose companies that resulted in us being near the median of the group,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077585" cy="3608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7585" cy="3608705"/>
                    </a:xfrm>
                    <a:prstGeom prst="rect">
                      <a:avLst/>
                    </a:prstGeom>
                    <a:noFill/>
                  </pic:spPr>
                </pic:pic>
              </a:graphicData>
            </a:graphic>
          </wp:anchor>
        </w:drawing>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331"/>
        </w:trPr>
        <w:tc>
          <w:tcPr>
            <w:tcW w:w="3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2019 Compensation Peer Group</w:t>
            </w:r>
          </w:p>
        </w:tc>
        <w:tc>
          <w:tcPr>
            <w:tcW w:w="3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Changes to Peer Group</w:t>
            </w:r>
          </w:p>
        </w:tc>
        <w:tc>
          <w:tcPr>
            <w:tcW w:w="3200" w:type="dxa"/>
            <w:vAlign w:val="bottom"/>
            <w:tcBorders>
              <w:bottom w:val="single" w:sz="8" w:color="0063A6"/>
            </w:tcBorders>
            <w:shd w:val="clear" w:color="auto" w:fill="0063A6"/>
          </w:tcPr>
          <w:p>
            <w:pPr>
              <w:jc w:val="center"/>
              <w:ind w:left="19"/>
              <w:spacing w:after="0"/>
              <w:rPr>
                <w:sz w:val="20"/>
                <w:szCs w:val="20"/>
                <w:color w:val="auto"/>
              </w:rPr>
            </w:pPr>
            <w:r>
              <w:rPr>
                <w:rFonts w:ascii="Arial" w:cs="Arial" w:eastAsia="Arial" w:hAnsi="Arial"/>
                <w:sz w:val="14"/>
                <w:szCs w:val="14"/>
                <w:b w:val="1"/>
                <w:bCs w:val="1"/>
                <w:color w:val="FFFFFF"/>
              </w:rPr>
              <w:t>2020 Compensation Peer Group</w:t>
            </w: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Autodesk</w:t>
            </w:r>
          </w:p>
        </w:tc>
        <w:tc>
          <w:tcPr>
            <w:tcW w:w="3180" w:type="dxa"/>
            <w:vAlign w:val="bottom"/>
            <w:tcBorders>
              <w:bottom w:val="single" w:sz="8" w:color="F2F2F2"/>
            </w:tcBorders>
            <w:shd w:val="clear" w:color="auto" w:fill="F2F2F2"/>
          </w:tcPr>
          <w:p>
            <w:pPr>
              <w:spacing w:after="0"/>
              <w:rPr>
                <w:sz w:val="24"/>
                <w:szCs w:val="24"/>
                <w:color w:val="auto"/>
              </w:rPr>
            </w:pP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Autodesk</w:t>
            </w:r>
          </w:p>
        </w:tc>
      </w:tr>
      <w:tr>
        <w:trPr>
          <w:trHeight w:val="250"/>
        </w:trPr>
        <w:tc>
          <w:tcPr>
            <w:tcW w:w="3180" w:type="dxa"/>
            <w:vAlign w:val="bottom"/>
          </w:tcPr>
          <w:p>
            <w:pPr>
              <w:jc w:val="center"/>
              <w:ind w:right="20"/>
              <w:spacing w:after="0"/>
              <w:rPr>
                <w:sz w:val="20"/>
                <w:szCs w:val="20"/>
                <w:color w:val="auto"/>
              </w:rPr>
            </w:pPr>
            <w:r>
              <w:rPr>
                <w:rFonts w:ascii="Arial" w:cs="Arial" w:eastAsia="Arial" w:hAnsi="Arial"/>
                <w:sz w:val="16"/>
                <w:szCs w:val="16"/>
                <w:color w:val="auto"/>
              </w:rPr>
              <w:t>Box</w:t>
            </w:r>
          </w:p>
        </w:tc>
        <w:tc>
          <w:tcPr>
            <w:tcW w:w="318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rPr>
              <w:t>Box</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DocuSign</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w w:val="97"/>
              </w:rPr>
              <w:t>Added:</w:t>
            </w:r>
          </w:p>
        </w:tc>
        <w:tc>
          <w:tcPr>
            <w:tcW w:w="3200" w:type="dxa"/>
            <w:vAlign w:val="bottom"/>
            <w:tcBorders>
              <w:bottom w:val="single" w:sz="8" w:color="F2F2F2"/>
            </w:tcBorders>
            <w:shd w:val="clear" w:color="auto" w:fill="F2F2F2"/>
          </w:tcPr>
          <w:p>
            <w:pPr>
              <w:jc w:val="center"/>
              <w:ind w:left="19"/>
              <w:spacing w:after="0"/>
              <w:rPr>
                <w:sz w:val="20"/>
                <w:szCs w:val="20"/>
                <w:color w:val="auto"/>
              </w:rPr>
            </w:pPr>
            <w:r>
              <w:rPr>
                <w:rFonts w:ascii="Arial" w:cs="Arial" w:eastAsia="Arial" w:hAnsi="Arial"/>
                <w:sz w:val="16"/>
                <w:szCs w:val="16"/>
                <w:color w:val="auto"/>
              </w:rPr>
              <w:t>DocuSign</w:t>
            </w:r>
          </w:p>
        </w:tc>
      </w:tr>
      <w:tr>
        <w:trPr>
          <w:trHeight w:val="250"/>
        </w:trPr>
        <w:tc>
          <w:tcPr>
            <w:tcW w:w="3180" w:type="dxa"/>
            <w:vAlign w:val="bottom"/>
          </w:tcPr>
          <w:p>
            <w:pPr>
              <w:jc w:val="center"/>
              <w:ind w:right="20"/>
              <w:spacing w:after="0"/>
              <w:rPr>
                <w:sz w:val="20"/>
                <w:szCs w:val="20"/>
                <w:color w:val="auto"/>
              </w:rPr>
            </w:pPr>
            <w:r>
              <w:rPr>
                <w:rFonts w:ascii="Arial" w:cs="Arial" w:eastAsia="Arial" w:hAnsi="Arial"/>
                <w:sz w:val="16"/>
                <w:szCs w:val="16"/>
                <w:color w:val="auto"/>
              </w:rPr>
              <w:t>Fortinet</w:t>
            </w:r>
          </w:p>
        </w:tc>
        <w:tc>
          <w:tcPr>
            <w:tcW w:w="3180" w:type="dxa"/>
            <w:vAlign w:val="bottom"/>
          </w:tcPr>
          <w:p>
            <w:pPr>
              <w:jc w:val="center"/>
              <w:spacing w:after="0"/>
              <w:rPr>
                <w:sz w:val="20"/>
                <w:szCs w:val="20"/>
                <w:color w:val="auto"/>
              </w:rPr>
            </w:pPr>
            <w:r>
              <w:rPr>
                <w:rFonts w:ascii="Arial" w:cs="Arial" w:eastAsia="Arial" w:hAnsi="Arial"/>
                <w:sz w:val="16"/>
                <w:szCs w:val="16"/>
                <w:color w:val="auto"/>
              </w:rPr>
              <w:t>Guidewire Software</w:t>
            </w:r>
          </w:p>
        </w:tc>
        <w:tc>
          <w:tcPr>
            <w:tcW w:w="3200" w:type="dxa"/>
            <w:vAlign w:val="bottom"/>
          </w:tcPr>
          <w:p>
            <w:pPr>
              <w:jc w:val="center"/>
              <w:ind w:left="19"/>
              <w:spacing w:after="0"/>
              <w:rPr>
                <w:sz w:val="20"/>
                <w:szCs w:val="20"/>
                <w:color w:val="auto"/>
              </w:rPr>
            </w:pPr>
            <w:r>
              <w:rPr>
                <w:rFonts w:ascii="Arial" w:cs="Arial" w:eastAsia="Arial" w:hAnsi="Arial"/>
                <w:sz w:val="16"/>
                <w:szCs w:val="16"/>
                <w:color w:val="auto"/>
              </w:rPr>
              <w:t>Guidewire Software</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LogMeIn</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Okta</w:t>
            </w: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LogMeIn</w:t>
            </w:r>
          </w:p>
        </w:tc>
      </w:tr>
      <w:tr>
        <w:trPr>
          <w:trHeight w:val="250"/>
        </w:trPr>
        <w:tc>
          <w:tcPr>
            <w:tcW w:w="3180" w:type="dxa"/>
            <w:vAlign w:val="bottom"/>
          </w:tcPr>
          <w:p>
            <w:pPr>
              <w:jc w:val="center"/>
              <w:ind w:right="20"/>
              <w:spacing w:after="0"/>
              <w:rPr>
                <w:sz w:val="20"/>
                <w:szCs w:val="20"/>
                <w:color w:val="auto"/>
              </w:rPr>
            </w:pPr>
            <w:r>
              <w:rPr>
                <w:rFonts w:ascii="Arial" w:cs="Arial" w:eastAsia="Arial" w:hAnsi="Arial"/>
                <w:sz w:val="16"/>
                <w:szCs w:val="16"/>
                <w:color w:val="auto"/>
              </w:rPr>
              <w:t>Nutanix</w:t>
            </w:r>
          </w:p>
        </w:tc>
        <w:tc>
          <w:tcPr>
            <w:tcW w:w="3180" w:type="dxa"/>
            <w:vAlign w:val="bottom"/>
          </w:tcPr>
          <w:p>
            <w:pPr>
              <w:jc w:val="center"/>
              <w:spacing w:after="0"/>
              <w:rPr>
                <w:sz w:val="20"/>
                <w:szCs w:val="20"/>
                <w:color w:val="auto"/>
              </w:rPr>
            </w:pPr>
            <w:r>
              <w:rPr>
                <w:rFonts w:ascii="Arial" w:cs="Arial" w:eastAsia="Arial" w:hAnsi="Arial"/>
                <w:sz w:val="16"/>
                <w:szCs w:val="16"/>
                <w:color w:val="auto"/>
              </w:rPr>
              <w:t>Proofpoint</w:t>
            </w:r>
          </w:p>
        </w:tc>
        <w:tc>
          <w:tcPr>
            <w:tcW w:w="3200" w:type="dxa"/>
            <w:vAlign w:val="bottom"/>
          </w:tcPr>
          <w:p>
            <w:pPr>
              <w:jc w:val="center"/>
              <w:spacing w:after="0"/>
              <w:rPr>
                <w:sz w:val="20"/>
                <w:szCs w:val="20"/>
                <w:color w:val="auto"/>
              </w:rPr>
            </w:pPr>
            <w:r>
              <w:rPr>
                <w:rFonts w:ascii="Arial" w:cs="Arial" w:eastAsia="Arial" w:hAnsi="Arial"/>
                <w:sz w:val="16"/>
                <w:szCs w:val="16"/>
                <w:color w:val="auto"/>
              </w:rPr>
              <w:t>Nutanix</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Palo Alto Networks</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RingCentral</w:t>
            </w:r>
          </w:p>
        </w:tc>
        <w:tc>
          <w:tcPr>
            <w:tcW w:w="3200" w:type="dxa"/>
            <w:vAlign w:val="bottom"/>
            <w:tcBorders>
              <w:bottom w:val="single" w:sz="8" w:color="F2F2F2"/>
            </w:tcBorders>
            <w:shd w:val="clear" w:color="auto" w:fill="F2F2F2"/>
          </w:tcPr>
          <w:p>
            <w:pPr>
              <w:jc w:val="center"/>
              <w:ind w:left="19"/>
              <w:spacing w:after="0"/>
              <w:rPr>
                <w:sz w:val="20"/>
                <w:szCs w:val="20"/>
                <w:color w:val="auto"/>
              </w:rPr>
            </w:pPr>
            <w:r>
              <w:rPr>
                <w:rFonts w:ascii="Arial" w:cs="Arial" w:eastAsia="Arial" w:hAnsi="Arial"/>
                <w:sz w:val="16"/>
                <w:szCs w:val="16"/>
                <w:color w:val="auto"/>
              </w:rPr>
              <w:t>Okta</w:t>
            </w:r>
          </w:p>
        </w:tc>
      </w:tr>
      <w:tr>
        <w:trPr>
          <w:trHeight w:val="250"/>
        </w:trPr>
        <w:tc>
          <w:tcPr>
            <w:tcW w:w="3180" w:type="dxa"/>
            <w:vAlign w:val="bottom"/>
          </w:tcPr>
          <w:p>
            <w:pPr>
              <w:jc w:val="center"/>
              <w:spacing w:after="0"/>
              <w:rPr>
                <w:sz w:val="20"/>
                <w:szCs w:val="20"/>
                <w:color w:val="auto"/>
              </w:rPr>
            </w:pPr>
            <w:r>
              <w:rPr>
                <w:rFonts w:ascii="Arial" w:cs="Arial" w:eastAsia="Arial" w:hAnsi="Arial"/>
                <w:sz w:val="16"/>
                <w:szCs w:val="16"/>
                <w:color w:val="auto"/>
              </w:rPr>
              <w:t>ServiceNow</w:t>
            </w:r>
          </w:p>
        </w:tc>
        <w:tc>
          <w:tcPr>
            <w:tcW w:w="3180" w:type="dxa"/>
            <w:vAlign w:val="bottom"/>
          </w:tcPr>
          <w:p>
            <w:pPr>
              <w:jc w:val="center"/>
              <w:spacing w:after="0"/>
              <w:rPr>
                <w:sz w:val="20"/>
                <w:szCs w:val="20"/>
                <w:color w:val="auto"/>
              </w:rPr>
            </w:pPr>
            <w:r>
              <w:rPr>
                <w:rFonts w:ascii="Arial" w:cs="Arial" w:eastAsia="Arial" w:hAnsi="Arial"/>
                <w:sz w:val="16"/>
                <w:szCs w:val="16"/>
                <w:color w:val="auto"/>
              </w:rPr>
              <w:t>Twilio</w:t>
            </w:r>
          </w:p>
        </w:tc>
        <w:tc>
          <w:tcPr>
            <w:tcW w:w="3200" w:type="dxa"/>
            <w:vAlign w:val="bottom"/>
          </w:tcPr>
          <w:p>
            <w:pPr>
              <w:jc w:val="center"/>
              <w:spacing w:after="0"/>
              <w:rPr>
                <w:sz w:val="20"/>
                <w:szCs w:val="20"/>
                <w:color w:val="auto"/>
              </w:rPr>
            </w:pPr>
            <w:r>
              <w:rPr>
                <w:rFonts w:ascii="Arial" w:cs="Arial" w:eastAsia="Arial" w:hAnsi="Arial"/>
                <w:sz w:val="16"/>
                <w:szCs w:val="16"/>
                <w:color w:val="auto"/>
              </w:rPr>
              <w:t>Palo Alto Networks</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Snap</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Zendesk</w:t>
            </w:r>
          </w:p>
        </w:tc>
        <w:tc>
          <w:tcPr>
            <w:tcW w:w="3200" w:type="dxa"/>
            <w:vAlign w:val="bottom"/>
            <w:tcBorders>
              <w:bottom w:val="single" w:sz="8" w:color="F2F2F2"/>
            </w:tcBorders>
            <w:shd w:val="clear" w:color="auto" w:fill="F2F2F2"/>
          </w:tcPr>
          <w:p>
            <w:pPr>
              <w:jc w:val="center"/>
              <w:ind w:left="19"/>
              <w:spacing w:after="0"/>
              <w:rPr>
                <w:sz w:val="20"/>
                <w:szCs w:val="20"/>
                <w:color w:val="auto"/>
              </w:rPr>
            </w:pPr>
            <w:r>
              <w:rPr>
                <w:rFonts w:ascii="Arial" w:cs="Arial" w:eastAsia="Arial" w:hAnsi="Arial"/>
                <w:sz w:val="16"/>
                <w:szCs w:val="16"/>
                <w:color w:val="auto"/>
              </w:rPr>
              <w:t>Proofpoint</w:t>
            </w:r>
          </w:p>
        </w:tc>
      </w:tr>
      <w:tr>
        <w:trPr>
          <w:trHeight w:val="250"/>
        </w:trPr>
        <w:tc>
          <w:tcPr>
            <w:tcW w:w="3180" w:type="dxa"/>
            <w:vAlign w:val="bottom"/>
          </w:tcPr>
          <w:p>
            <w:pPr>
              <w:jc w:val="center"/>
              <w:spacing w:after="0"/>
              <w:rPr>
                <w:sz w:val="20"/>
                <w:szCs w:val="20"/>
                <w:color w:val="auto"/>
              </w:rPr>
            </w:pPr>
            <w:r>
              <w:rPr>
                <w:rFonts w:ascii="Arial" w:cs="Arial" w:eastAsia="Arial" w:hAnsi="Arial"/>
                <w:sz w:val="16"/>
                <w:szCs w:val="16"/>
                <w:color w:val="auto"/>
              </w:rPr>
              <w:t>Splunk</w:t>
            </w:r>
          </w:p>
        </w:tc>
        <w:tc>
          <w:tcPr>
            <w:tcW w:w="3180" w:type="dxa"/>
            <w:vAlign w:val="bottom"/>
          </w:tcPr>
          <w:p>
            <w:pPr>
              <w:spacing w:after="0"/>
              <w:rPr>
                <w:sz w:val="21"/>
                <w:szCs w:val="21"/>
                <w:color w:val="auto"/>
              </w:rPr>
            </w:pPr>
          </w:p>
        </w:tc>
        <w:tc>
          <w:tcPr>
            <w:tcW w:w="3200" w:type="dxa"/>
            <w:vAlign w:val="bottom"/>
          </w:tcPr>
          <w:p>
            <w:pPr>
              <w:jc w:val="center"/>
              <w:ind w:left="19"/>
              <w:spacing w:after="0"/>
              <w:rPr>
                <w:sz w:val="20"/>
                <w:szCs w:val="20"/>
                <w:color w:val="auto"/>
              </w:rPr>
            </w:pPr>
            <w:r>
              <w:rPr>
                <w:rFonts w:ascii="Arial" w:cs="Arial" w:eastAsia="Arial" w:hAnsi="Arial"/>
                <w:sz w:val="16"/>
                <w:szCs w:val="16"/>
                <w:color w:val="auto"/>
              </w:rPr>
              <w:t>RingCentral</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Square</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Removed:</w:t>
            </w:r>
          </w:p>
        </w:tc>
        <w:tc>
          <w:tcPr>
            <w:tcW w:w="3200" w:type="dxa"/>
            <w:vAlign w:val="bottom"/>
            <w:tcBorders>
              <w:bottom w:val="single" w:sz="8" w:color="F2F2F2"/>
            </w:tcBorders>
            <w:shd w:val="clear" w:color="auto" w:fill="F2F2F2"/>
          </w:tcPr>
          <w:p>
            <w:pPr>
              <w:jc w:val="center"/>
              <w:ind w:left="19"/>
              <w:spacing w:after="0"/>
              <w:rPr>
                <w:sz w:val="20"/>
                <w:szCs w:val="20"/>
                <w:color w:val="auto"/>
              </w:rPr>
            </w:pPr>
            <w:r>
              <w:rPr>
                <w:rFonts w:ascii="Arial" w:cs="Arial" w:eastAsia="Arial" w:hAnsi="Arial"/>
                <w:sz w:val="16"/>
                <w:szCs w:val="16"/>
                <w:color w:val="auto"/>
              </w:rPr>
              <w:t>ServiceNow</w:t>
            </w:r>
          </w:p>
        </w:tc>
      </w:tr>
      <w:tr>
        <w:trPr>
          <w:trHeight w:val="250"/>
        </w:trPr>
        <w:tc>
          <w:tcPr>
            <w:tcW w:w="3180" w:type="dxa"/>
            <w:vAlign w:val="bottom"/>
          </w:tcPr>
          <w:p>
            <w:pPr>
              <w:jc w:val="center"/>
              <w:ind w:right="20"/>
              <w:spacing w:after="0"/>
              <w:rPr>
                <w:sz w:val="20"/>
                <w:szCs w:val="20"/>
                <w:color w:val="auto"/>
              </w:rPr>
            </w:pPr>
            <w:r>
              <w:rPr>
                <w:rFonts w:ascii="Arial" w:cs="Arial" w:eastAsia="Arial" w:hAnsi="Arial"/>
                <w:sz w:val="16"/>
                <w:szCs w:val="16"/>
                <w:color w:val="auto"/>
                <w:w w:val="98"/>
              </w:rPr>
              <w:t>Tableau Software</w:t>
            </w:r>
          </w:p>
        </w:tc>
        <w:tc>
          <w:tcPr>
            <w:tcW w:w="3180" w:type="dxa"/>
            <w:vAlign w:val="bottom"/>
          </w:tcPr>
          <w:p>
            <w:pPr>
              <w:jc w:val="center"/>
              <w:spacing w:after="0"/>
              <w:rPr>
                <w:sz w:val="20"/>
                <w:szCs w:val="20"/>
                <w:color w:val="auto"/>
              </w:rPr>
            </w:pPr>
            <w:r>
              <w:rPr>
                <w:rFonts w:ascii="Arial" w:cs="Arial" w:eastAsia="Arial" w:hAnsi="Arial"/>
                <w:sz w:val="16"/>
                <w:szCs w:val="16"/>
                <w:color w:val="auto"/>
                <w:w w:val="99"/>
              </w:rPr>
              <w:t>Fortinet</w:t>
            </w:r>
          </w:p>
        </w:tc>
        <w:tc>
          <w:tcPr>
            <w:tcW w:w="3200" w:type="dxa"/>
            <w:vAlign w:val="bottom"/>
          </w:tcPr>
          <w:p>
            <w:pPr>
              <w:jc w:val="center"/>
              <w:ind w:left="19"/>
              <w:spacing w:after="0"/>
              <w:rPr>
                <w:sz w:val="20"/>
                <w:szCs w:val="20"/>
                <w:color w:val="auto"/>
              </w:rPr>
            </w:pPr>
            <w:r>
              <w:rPr>
                <w:rFonts w:ascii="Arial" w:cs="Arial" w:eastAsia="Arial" w:hAnsi="Arial"/>
                <w:sz w:val="16"/>
                <w:szCs w:val="16"/>
                <w:color w:val="auto"/>
              </w:rPr>
              <w:t>Splunk</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w w:val="99"/>
              </w:rPr>
              <w:t>Twitter</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Snap</w:t>
            </w: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Square</w:t>
            </w:r>
          </w:p>
        </w:tc>
      </w:tr>
      <w:tr>
        <w:trPr>
          <w:trHeight w:val="250"/>
        </w:trPr>
        <w:tc>
          <w:tcPr>
            <w:tcW w:w="3180" w:type="dxa"/>
            <w:vAlign w:val="bottom"/>
          </w:tcPr>
          <w:p>
            <w:pPr>
              <w:jc w:val="center"/>
              <w:spacing w:after="0"/>
              <w:rPr>
                <w:sz w:val="20"/>
                <w:szCs w:val="20"/>
                <w:color w:val="auto"/>
              </w:rPr>
            </w:pPr>
            <w:r>
              <w:rPr>
                <w:rFonts w:ascii="Arial" w:cs="Arial" w:eastAsia="Arial" w:hAnsi="Arial"/>
                <w:sz w:val="16"/>
                <w:szCs w:val="16"/>
                <w:color w:val="auto"/>
              </w:rPr>
              <w:t>The Ultimate Software Group</w:t>
            </w:r>
          </w:p>
        </w:tc>
        <w:tc>
          <w:tcPr>
            <w:tcW w:w="3180" w:type="dxa"/>
            <w:vAlign w:val="bottom"/>
          </w:tcPr>
          <w:p>
            <w:pPr>
              <w:jc w:val="center"/>
              <w:spacing w:after="0"/>
              <w:rPr>
                <w:sz w:val="20"/>
                <w:szCs w:val="20"/>
                <w:color w:val="auto"/>
              </w:rPr>
            </w:pPr>
            <w:r>
              <w:rPr>
                <w:rFonts w:ascii="Arial" w:cs="Arial" w:eastAsia="Arial" w:hAnsi="Arial"/>
                <w:sz w:val="16"/>
                <w:szCs w:val="16"/>
                <w:color w:val="auto"/>
              </w:rPr>
              <w:t>Tableau Software</w:t>
            </w:r>
          </w:p>
        </w:tc>
        <w:tc>
          <w:tcPr>
            <w:tcW w:w="3200" w:type="dxa"/>
            <w:vAlign w:val="bottom"/>
          </w:tcPr>
          <w:p>
            <w:pPr>
              <w:jc w:val="center"/>
              <w:spacing w:after="0"/>
              <w:rPr>
                <w:sz w:val="20"/>
                <w:szCs w:val="20"/>
                <w:color w:val="auto"/>
              </w:rPr>
            </w:pPr>
            <w:r>
              <w:rPr>
                <w:rFonts w:ascii="Arial" w:cs="Arial" w:eastAsia="Arial" w:hAnsi="Arial"/>
                <w:sz w:val="16"/>
                <w:szCs w:val="16"/>
                <w:color w:val="auto"/>
                <w:w w:val="97"/>
              </w:rPr>
              <w:t>Twilio</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Veeva Systems</w:t>
            </w:r>
          </w:p>
        </w:tc>
        <w:tc>
          <w:tcPr>
            <w:tcW w:w="3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The Ultimate Software Group</w:t>
            </w: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Twitter</w:t>
            </w:r>
          </w:p>
        </w:tc>
      </w:tr>
      <w:tr>
        <w:trPr>
          <w:trHeight w:val="250"/>
        </w:trPr>
        <w:tc>
          <w:tcPr>
            <w:tcW w:w="3180" w:type="dxa"/>
            <w:vAlign w:val="bottom"/>
          </w:tcPr>
          <w:p>
            <w:pPr>
              <w:jc w:val="center"/>
              <w:ind w:right="20"/>
              <w:spacing w:after="0"/>
              <w:rPr>
                <w:sz w:val="20"/>
                <w:szCs w:val="20"/>
                <w:color w:val="auto"/>
              </w:rPr>
            </w:pPr>
            <w:r>
              <w:rPr>
                <w:rFonts w:ascii="Arial" w:cs="Arial" w:eastAsia="Arial" w:hAnsi="Arial"/>
                <w:sz w:val="16"/>
                <w:szCs w:val="16"/>
                <w:color w:val="auto"/>
              </w:rPr>
              <w:t>Workday</w:t>
            </w:r>
          </w:p>
        </w:tc>
        <w:tc>
          <w:tcPr>
            <w:tcW w:w="3180" w:type="dxa"/>
            <w:vAlign w:val="bottom"/>
          </w:tcPr>
          <w:p>
            <w:pPr>
              <w:jc w:val="center"/>
              <w:spacing w:after="0"/>
              <w:rPr>
                <w:sz w:val="20"/>
                <w:szCs w:val="20"/>
                <w:color w:val="auto"/>
              </w:rPr>
            </w:pPr>
            <w:r>
              <w:rPr>
                <w:rFonts w:ascii="Arial" w:cs="Arial" w:eastAsia="Arial" w:hAnsi="Arial"/>
                <w:sz w:val="16"/>
                <w:szCs w:val="16"/>
                <w:color w:val="auto"/>
              </w:rPr>
              <w:t>Zillow Group</w:t>
            </w:r>
          </w:p>
        </w:tc>
        <w:tc>
          <w:tcPr>
            <w:tcW w:w="3200" w:type="dxa"/>
            <w:vAlign w:val="bottom"/>
          </w:tcPr>
          <w:p>
            <w:pPr>
              <w:jc w:val="center"/>
              <w:spacing w:after="0"/>
              <w:rPr>
                <w:sz w:val="20"/>
                <w:szCs w:val="20"/>
                <w:color w:val="auto"/>
              </w:rPr>
            </w:pPr>
            <w:r>
              <w:rPr>
                <w:rFonts w:ascii="Arial" w:cs="Arial" w:eastAsia="Arial" w:hAnsi="Arial"/>
                <w:sz w:val="16"/>
                <w:szCs w:val="16"/>
                <w:color w:val="auto"/>
              </w:rPr>
              <w:t>Veeva Systems</w:t>
            </w:r>
          </w:p>
        </w:tc>
      </w:tr>
      <w:tr>
        <w:trPr>
          <w:trHeight w:val="47"/>
        </w:trPr>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77"/>
        </w:trPr>
        <w:tc>
          <w:tcPr>
            <w:tcW w:w="318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6"/>
                <w:szCs w:val="16"/>
                <w:color w:val="auto"/>
              </w:rPr>
              <w:t>Zillow Group</w:t>
            </w:r>
          </w:p>
        </w:tc>
        <w:tc>
          <w:tcPr>
            <w:tcW w:w="3180" w:type="dxa"/>
            <w:vAlign w:val="bottom"/>
            <w:tcBorders>
              <w:bottom w:val="single" w:sz="8" w:color="F2F2F2"/>
            </w:tcBorders>
            <w:shd w:val="clear" w:color="auto" w:fill="F2F2F2"/>
          </w:tcPr>
          <w:p>
            <w:pPr>
              <w:spacing w:after="0"/>
              <w:rPr>
                <w:sz w:val="24"/>
                <w:szCs w:val="24"/>
                <w:color w:val="auto"/>
              </w:rPr>
            </w:pP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Workday</w:t>
            </w:r>
          </w:p>
        </w:tc>
      </w:tr>
      <w:tr>
        <w:trPr>
          <w:trHeight w:val="250"/>
        </w:trPr>
        <w:tc>
          <w:tcPr>
            <w:tcW w:w="31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200" w:type="dxa"/>
            <w:vAlign w:val="bottom"/>
          </w:tcPr>
          <w:p>
            <w:pPr>
              <w:jc w:val="center"/>
              <w:ind w:left="19"/>
              <w:spacing w:after="0"/>
              <w:rPr>
                <w:sz w:val="20"/>
                <w:szCs w:val="20"/>
                <w:color w:val="auto"/>
              </w:rPr>
            </w:pPr>
            <w:r>
              <w:rPr>
                <w:rFonts w:ascii="Arial" w:cs="Arial" w:eastAsia="Arial" w:hAnsi="Arial"/>
                <w:sz w:val="16"/>
                <w:szCs w:val="16"/>
                <w:color w:val="auto"/>
              </w:rPr>
              <w:t>Zendesk</w:t>
            </w:r>
          </w:p>
        </w:tc>
      </w:tr>
    </w:tbl>
    <w:p>
      <w:pPr>
        <w:spacing w:after="0" w:line="197"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The compensation practices of the compensation peer group were the primary guide used by the compensation committee in 2020 to compare the competitiveness of each compensation element and target total direct compensation (base salary, target annual cash bonus opportunities, and long-term equity incentive compensation).</w:t>
      </w:r>
    </w:p>
    <w:p>
      <w:pPr>
        <w:spacing w:after="0" w:line="147"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(primarily proxy statements) of the peer group companies, as well as from the Radford Global Technology Survey. This market data was then used as a reference point for the compensation committee to assess our current compensation levels in the course of its deliberations on compensation forms and amounts. The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ectPr>
          <w:pgSz w:w="11900" w:h="16838" w:orient="portrait"/>
          <w:cols w:equalWidth="0" w:num="1">
            <w:col w:w="9564"/>
          </w:cols>
          <w:pgMar w:left="1156" w:top="265" w:right="1179" w:bottom="1440" w:gutter="0" w:footer="0" w:header="0"/>
        </w:sectPr>
      </w:pPr>
    </w:p>
    <w:p>
      <w:pPr>
        <w:spacing w:after="0" w:line="190" w:lineRule="exact"/>
        <w:rPr>
          <w:sz w:val="20"/>
          <w:szCs w:val="20"/>
          <w:color w:val="auto"/>
        </w:rPr>
      </w:pPr>
    </w:p>
    <w:p>
      <w:pPr>
        <w:ind w:left="524" w:hanging="524"/>
        <w:spacing w:after="0"/>
        <w:tabs>
          <w:tab w:leader="none" w:pos="52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38" w:name="page39"/>
    <w:bookmarkEnd w:id="3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The compensation committee reviews our compensation peer group each year and adjusts its composition if warranted, taking into account changes in both our business and the businesses of the companies in the peer group.</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Compensation Setting</w:t>
      </w:r>
    </w:p>
    <w:p>
      <w:pPr>
        <w:spacing w:after="0" w:line="66" w:lineRule="exact"/>
        <w:rPr>
          <w:sz w:val="20"/>
          <w:szCs w:val="20"/>
          <w:color w:val="auto"/>
        </w:rPr>
      </w:pPr>
    </w:p>
    <w:p>
      <w:pPr>
        <w:jc w:val="both"/>
        <w:ind w:left="720" w:right="780"/>
        <w:spacing w:after="0" w:line="253"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including our named executive officers, and all related performance criteria at the beginning of each year, or more frequently as warranted.</w:t>
      </w:r>
    </w:p>
    <w:p>
      <w:pPr>
        <w:spacing w:after="0" w:line="147" w:lineRule="exact"/>
        <w:rPr>
          <w:sz w:val="20"/>
          <w:szCs w:val="20"/>
          <w:color w:val="auto"/>
        </w:rPr>
      </w:pPr>
    </w:p>
    <w:p>
      <w:pPr>
        <w:ind w:left="720" w:right="1280"/>
        <w:spacing w:after="0" w:line="260"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41" w:lineRule="exact"/>
        <w:rPr>
          <w:sz w:val="20"/>
          <w:szCs w:val="20"/>
          <w:color w:val="auto"/>
        </w:rPr>
      </w:pPr>
    </w:p>
    <w:p>
      <w:pPr>
        <w:ind w:left="720" w:right="1080"/>
        <w:spacing w:after="0" w:line="260" w:lineRule="auto"/>
        <w:rPr>
          <w:sz w:val="20"/>
          <w:szCs w:val="20"/>
          <w:color w:val="auto"/>
        </w:rPr>
      </w:pPr>
      <w:r>
        <w:rPr>
          <w:rFonts w:ascii="Arial" w:cs="Arial" w:eastAsia="Arial" w:hAnsi="Arial"/>
          <w:sz w:val="16"/>
          <w:szCs w:val="16"/>
          <w:color w:val="auto"/>
        </w:rPr>
        <w:t>In making decisions about the compensation of our executive officers, the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28575</wp:posOffset>
            </wp:positionV>
            <wp:extent cx="6077585" cy="2503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7585" cy="25031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7" w:lineRule="exact"/>
        <w:rPr>
          <w:sz w:val="20"/>
          <w:szCs w:val="20"/>
          <w:color w:val="auto"/>
        </w:rPr>
      </w:pPr>
    </w:p>
    <w:p>
      <w:pPr>
        <w:ind w:left="1020" w:hanging="221"/>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94" w:lineRule="exact"/>
        <w:rPr>
          <w:rFonts w:ascii="Arial" w:cs="Arial" w:eastAsia="Arial" w:hAnsi="Arial"/>
          <w:sz w:val="16"/>
          <w:szCs w:val="16"/>
          <w:color w:val="auto"/>
        </w:rPr>
      </w:pPr>
    </w:p>
    <w:p>
      <w:pPr>
        <w:ind w:left="1040" w:right="440" w:hanging="241"/>
        <w:spacing w:after="0" w:line="252" w:lineRule="auto"/>
        <w:tabs>
          <w:tab w:leader="none" w:pos="10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performance against the financial, operational, and strategic objectives established by the compensation committee and our board of directors;</w:t>
      </w:r>
    </w:p>
    <w:p>
      <w:pPr>
        <w:spacing w:after="0" w:line="176" w:lineRule="exact"/>
        <w:rPr>
          <w:rFonts w:ascii="Arial" w:cs="Arial" w:eastAsia="Arial" w:hAnsi="Arial"/>
          <w:sz w:val="16"/>
          <w:szCs w:val="16"/>
          <w:color w:val="auto"/>
        </w:rPr>
      </w:pPr>
    </w:p>
    <w:p>
      <w:pPr>
        <w:ind w:left="1040" w:right="520" w:hanging="241"/>
        <w:spacing w:after="0" w:line="250" w:lineRule="auto"/>
        <w:tabs>
          <w:tab w:leader="none" w:pos="10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individual executive officer’s knowledge, skills, experience, qualifications, and tenure relative to other similarly-situated executives at the companies in our compensation peer group;</w:t>
      </w:r>
    </w:p>
    <w:p>
      <w:pPr>
        <w:spacing w:after="0" w:line="178" w:lineRule="exact"/>
        <w:rPr>
          <w:rFonts w:ascii="Arial" w:cs="Arial" w:eastAsia="Arial" w:hAnsi="Arial"/>
          <w:sz w:val="16"/>
          <w:szCs w:val="16"/>
          <w:color w:val="auto"/>
        </w:rPr>
      </w:pPr>
    </w:p>
    <w:p>
      <w:pPr>
        <w:ind w:left="1040" w:hanging="241"/>
        <w:spacing w:after="0" w:line="277" w:lineRule="auto"/>
        <w:tabs>
          <w:tab w:leader="none" w:pos="10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scope of each executive officer’s role and responsibilities compared to other similarly-situated executives at the companies in our compensation peer group;</w:t>
      </w:r>
    </w:p>
    <w:p>
      <w:pPr>
        <w:spacing w:after="0" w:line="158" w:lineRule="exact"/>
        <w:rPr>
          <w:rFonts w:ascii="Arial" w:cs="Arial" w:eastAsia="Arial" w:hAnsi="Arial"/>
          <w:sz w:val="15"/>
          <w:szCs w:val="15"/>
          <w:color w:val="auto"/>
        </w:rPr>
      </w:pPr>
    </w:p>
    <w:p>
      <w:pPr>
        <w:ind w:left="1040" w:right="100" w:hanging="241"/>
        <w:spacing w:after="0" w:line="249"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228" w:right="840" w:hanging="228"/>
        <w:spacing w:after="0" w:line="252"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long-term financial, operational, and strategic objectives;</w:t>
      </w:r>
    </w:p>
    <w:p>
      <w:pPr>
        <w:spacing w:after="0" w:line="176" w:lineRule="exact"/>
        <w:rPr>
          <w:rFonts w:ascii="Arial" w:cs="Arial" w:eastAsia="Arial" w:hAnsi="Arial"/>
          <w:sz w:val="16"/>
          <w:szCs w:val="16"/>
          <w:color w:val="auto"/>
        </w:rPr>
      </w:pPr>
    </w:p>
    <w:p>
      <w:pPr>
        <w:ind w:left="228" w:right="940" w:hanging="228"/>
        <w:spacing w:after="0" w:line="252" w:lineRule="auto"/>
        <w:tabs>
          <w:tab w:leader="none" w:pos="2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chief executive officer’s compensation relative to that of our executive officers, and compensation parity among our executive officers;</w:t>
      </w:r>
    </w:p>
    <w:p>
      <w:pPr>
        <w:spacing w:after="0" w:line="176" w:lineRule="exact"/>
        <w:rPr>
          <w:rFonts w:ascii="Arial" w:cs="Arial" w:eastAsia="Arial" w:hAnsi="Arial"/>
          <w:sz w:val="16"/>
          <w:szCs w:val="16"/>
          <w:color w:val="auto"/>
        </w:rPr>
      </w:pPr>
    </w:p>
    <w:p>
      <w:pPr>
        <w:ind w:left="208" w:hanging="208"/>
        <w:spacing w:after="0"/>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financial performance relative to our compensation peers;</w:t>
      </w:r>
    </w:p>
    <w:p>
      <w:pPr>
        <w:spacing w:after="0" w:line="194" w:lineRule="exact"/>
        <w:rPr>
          <w:rFonts w:ascii="Arial" w:cs="Arial" w:eastAsia="Arial" w:hAnsi="Arial"/>
          <w:sz w:val="16"/>
          <w:szCs w:val="16"/>
          <w:color w:val="auto"/>
        </w:rPr>
      </w:pPr>
    </w:p>
    <w:p>
      <w:pPr>
        <w:jc w:val="both"/>
        <w:ind w:left="228" w:right="860" w:hanging="228"/>
        <w:spacing w:after="0" w:line="250"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based on an analysis of competitive market data; and</w:t>
      </w:r>
    </w:p>
    <w:p>
      <w:pPr>
        <w:spacing w:after="0" w:line="178" w:lineRule="exact"/>
        <w:rPr>
          <w:rFonts w:ascii="Arial" w:cs="Arial" w:eastAsia="Arial" w:hAnsi="Arial"/>
          <w:sz w:val="16"/>
          <w:szCs w:val="16"/>
          <w:color w:val="auto"/>
        </w:rPr>
      </w:pPr>
    </w:p>
    <w:p>
      <w:pPr>
        <w:jc w:val="both"/>
        <w:ind w:left="228" w:right="1220" w:hanging="228"/>
        <w:spacing w:after="0" w:line="258"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recommendations of our chief executive officer with respect to the compensation of other executive officers.</w:t>
      </w:r>
    </w:p>
    <w:p>
      <w:pPr>
        <w:spacing w:after="0" w:line="758" w:lineRule="exact"/>
        <w:rPr>
          <w:sz w:val="20"/>
          <w:szCs w:val="20"/>
          <w:color w:val="auto"/>
        </w:rPr>
      </w:pPr>
    </w:p>
    <w:p>
      <w:pPr>
        <w:sectPr>
          <w:pgSz w:w="11900" w:h="16838" w:orient="portrait"/>
          <w:cols w:equalWidth="0" w:num="2">
            <w:col w:w="5360" w:space="272"/>
            <w:col w:w="5388"/>
          </w:cols>
          <w:pgMar w:left="440" w:top="265" w:right="439" w:bottom="1440" w:gutter="0" w:footer="0" w:header="0"/>
          <w:type w:val="continuous"/>
        </w:sectPr>
      </w:pPr>
    </w:p>
    <w:p>
      <w:pPr>
        <w:spacing w:after="0" w:line="5" w:lineRule="exact"/>
        <w:rPr>
          <w:sz w:val="20"/>
          <w:szCs w:val="20"/>
          <w:color w:val="auto"/>
        </w:rPr>
      </w:pPr>
    </w:p>
    <w:p>
      <w:pPr>
        <w:ind w:left="720" w:right="780"/>
        <w:spacing w:after="0" w:line="260"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41" w:lineRule="exact"/>
        <w:rPr>
          <w:sz w:val="20"/>
          <w:szCs w:val="20"/>
          <w:color w:val="auto"/>
        </w:rPr>
      </w:pPr>
    </w:p>
    <w:p>
      <w:pPr>
        <w:ind w:left="720" w:right="780"/>
        <w:spacing w:after="0" w:line="251"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48" w:lineRule="exact"/>
        <w:rPr>
          <w:sz w:val="20"/>
          <w:szCs w:val="20"/>
          <w:color w:val="auto"/>
        </w:rPr>
      </w:pPr>
    </w:p>
    <w:p>
      <w:pPr>
        <w:ind w:left="720" w:right="1200"/>
        <w:spacing w:after="0" w:line="251" w:lineRule="auto"/>
        <w:rPr>
          <w:sz w:val="20"/>
          <w:szCs w:val="20"/>
          <w:color w:val="auto"/>
        </w:rPr>
      </w:pPr>
      <w:r>
        <w:rPr>
          <w:rFonts w:ascii="Arial" w:cs="Arial" w:eastAsia="Arial" w:hAnsi="Arial"/>
          <w:sz w:val="16"/>
          <w:szCs w:val="16"/>
          <w:color w:val="auto"/>
        </w:rPr>
        <w:t>In addition, the compensation committee considered feedback from our stockholders and the result of our first Say on Pay vote. Our fiscal 2020 Say on Pay vote reflected 98.7% support from our stockholders, based on the percentage of shares voted. The compensation committee believes this indicates that our stockholders support the philosophy, strategy, objectives, and administration of our executive compensation programs.</w:t>
      </w:r>
    </w:p>
    <w:p>
      <w:pPr>
        <w:spacing w:after="0" w:line="148" w:lineRule="exact"/>
        <w:rPr>
          <w:sz w:val="20"/>
          <w:szCs w:val="20"/>
          <w:color w:val="auto"/>
        </w:rPr>
      </w:pPr>
    </w:p>
    <w:p>
      <w:pPr>
        <w:jc w:val="both"/>
        <w:ind w:left="720" w:right="760"/>
        <w:spacing w:after="0" w:line="253"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35</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39" w:name="page40"/>
    <w:bookmarkEnd w:id="3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 Elements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2020,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023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7585" cy="202311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96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Element</w:t>
            </w:r>
          </w:p>
        </w:tc>
        <w:tc>
          <w:tcPr>
            <w:tcW w:w="1680" w:type="dxa"/>
            <w:vAlign w:val="bottom"/>
            <w:shd w:val="clear" w:color="auto" w:fill="0063A6"/>
          </w:tcPr>
          <w:p>
            <w:pPr>
              <w:ind w:left="140"/>
              <w:spacing w:after="0"/>
              <w:rPr>
                <w:sz w:val="20"/>
                <w:szCs w:val="20"/>
                <w:color w:val="auto"/>
              </w:rPr>
            </w:pPr>
            <w:r>
              <w:rPr>
                <w:rFonts w:ascii="Arial" w:cs="Arial" w:eastAsia="Arial" w:hAnsi="Arial"/>
                <w:sz w:val="14"/>
                <w:szCs w:val="14"/>
                <w:b w:val="1"/>
                <w:bCs w:val="1"/>
                <w:color w:val="FFFFFF"/>
              </w:rPr>
              <w:t>Type of Element</w:t>
            </w:r>
          </w:p>
        </w:tc>
        <w:tc>
          <w:tcPr>
            <w:tcW w:w="2240" w:type="dxa"/>
            <w:vAlign w:val="bottom"/>
            <w:shd w:val="clear" w:color="auto" w:fill="0063A6"/>
          </w:tcPr>
          <w:p>
            <w:pPr>
              <w:ind w:left="440"/>
              <w:spacing w:after="0"/>
              <w:rPr>
                <w:sz w:val="20"/>
                <w:szCs w:val="20"/>
                <w:color w:val="auto"/>
              </w:rPr>
            </w:pPr>
            <w:r>
              <w:rPr>
                <w:rFonts w:ascii="Arial" w:cs="Arial" w:eastAsia="Arial" w:hAnsi="Arial"/>
                <w:sz w:val="14"/>
                <w:szCs w:val="14"/>
                <w:b w:val="1"/>
                <w:bCs w:val="1"/>
                <w:color w:val="FFFFFF"/>
              </w:rPr>
              <w:t>Compensation Element</w:t>
            </w:r>
          </w:p>
        </w:tc>
        <w:tc>
          <w:tcPr>
            <w:tcW w:w="3680" w:type="dxa"/>
            <w:vAlign w:val="bottom"/>
            <w:shd w:val="clear" w:color="auto" w:fill="0063A6"/>
          </w:tcPr>
          <w:p>
            <w:pPr>
              <w:ind w:left="200"/>
              <w:spacing w:after="0"/>
              <w:rPr>
                <w:sz w:val="20"/>
                <w:szCs w:val="20"/>
                <w:color w:val="auto"/>
              </w:rPr>
            </w:pPr>
            <w:r>
              <w:rPr>
                <w:rFonts w:ascii="Arial" w:cs="Arial" w:eastAsia="Arial" w:hAnsi="Arial"/>
                <w:sz w:val="14"/>
                <w:szCs w:val="14"/>
                <w:b w:val="1"/>
                <w:bCs w:val="1"/>
                <w:color w:val="FFFFFF"/>
              </w:rPr>
              <w:t>Objective</w:t>
            </w:r>
          </w:p>
        </w:tc>
      </w:tr>
      <w:tr>
        <w:trPr>
          <w:trHeight w:val="80"/>
        </w:trPr>
        <w:tc>
          <w:tcPr>
            <w:tcW w:w="1960" w:type="dxa"/>
            <w:vAlign w:val="bottom"/>
            <w:shd w:val="clear" w:color="auto" w:fill="0063A6"/>
          </w:tcPr>
          <w:p>
            <w:pPr>
              <w:spacing w:after="0"/>
              <w:rPr>
                <w:sz w:val="6"/>
                <w:szCs w:val="6"/>
                <w:color w:val="auto"/>
              </w:rPr>
            </w:pPr>
          </w:p>
        </w:tc>
        <w:tc>
          <w:tcPr>
            <w:tcW w:w="1680" w:type="dxa"/>
            <w:vAlign w:val="bottom"/>
            <w:shd w:val="clear" w:color="auto" w:fill="0063A6"/>
          </w:tcPr>
          <w:p>
            <w:pPr>
              <w:spacing w:after="0"/>
              <w:rPr>
                <w:sz w:val="6"/>
                <w:szCs w:val="6"/>
                <w:color w:val="auto"/>
              </w:rPr>
            </w:pPr>
          </w:p>
        </w:tc>
        <w:tc>
          <w:tcPr>
            <w:tcW w:w="2240" w:type="dxa"/>
            <w:vAlign w:val="bottom"/>
            <w:shd w:val="clear" w:color="auto" w:fill="0063A6"/>
          </w:tcPr>
          <w:p>
            <w:pPr>
              <w:spacing w:after="0"/>
              <w:rPr>
                <w:sz w:val="6"/>
                <w:szCs w:val="6"/>
                <w:color w:val="auto"/>
              </w:rPr>
            </w:pPr>
          </w:p>
        </w:tc>
        <w:tc>
          <w:tcPr>
            <w:tcW w:w="3680" w:type="dxa"/>
            <w:vAlign w:val="bottom"/>
            <w:shd w:val="clear" w:color="auto" w:fill="0063A6"/>
          </w:tcPr>
          <w:p>
            <w:pPr>
              <w:spacing w:after="0"/>
              <w:rPr>
                <w:sz w:val="6"/>
                <w:szCs w:val="6"/>
                <w:color w:val="auto"/>
              </w:rPr>
            </w:pPr>
          </w:p>
        </w:tc>
      </w:tr>
      <w:tr>
        <w:trPr>
          <w:trHeight w:val="285"/>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Base Salary</w:t>
            </w:r>
          </w:p>
        </w:tc>
        <w:tc>
          <w:tcPr>
            <w:tcW w:w="1680" w:type="dxa"/>
            <w:vAlign w:val="bottom"/>
            <w:shd w:val="clear" w:color="auto" w:fill="F2F2F2"/>
          </w:tcPr>
          <w:p>
            <w:pPr>
              <w:ind w:left="140"/>
              <w:spacing w:after="0"/>
              <w:rPr>
                <w:sz w:val="20"/>
                <w:szCs w:val="20"/>
                <w:color w:val="auto"/>
              </w:rPr>
            </w:pPr>
            <w:r>
              <w:rPr>
                <w:rFonts w:ascii="Arial" w:cs="Arial" w:eastAsia="Arial" w:hAnsi="Arial"/>
                <w:sz w:val="16"/>
                <w:szCs w:val="16"/>
                <w:color w:val="auto"/>
              </w:rPr>
              <w:t>Fixed</w:t>
            </w:r>
          </w:p>
        </w:tc>
        <w:tc>
          <w:tcPr>
            <w:tcW w:w="2240" w:type="dxa"/>
            <w:vAlign w:val="bottom"/>
            <w:shd w:val="clear" w:color="auto" w:fill="F2F2F2"/>
          </w:tcPr>
          <w:p>
            <w:pPr>
              <w:ind w:left="440"/>
              <w:spacing w:after="0"/>
              <w:rPr>
                <w:sz w:val="20"/>
                <w:szCs w:val="20"/>
                <w:color w:val="auto"/>
              </w:rPr>
            </w:pPr>
            <w:r>
              <w:rPr>
                <w:rFonts w:ascii="Arial" w:cs="Arial" w:eastAsia="Arial" w:hAnsi="Arial"/>
                <w:sz w:val="16"/>
                <w:szCs w:val="16"/>
                <w:color w:val="auto"/>
              </w:rPr>
              <w:t>Cash</w:t>
            </w: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Attract and retain highly talented executives by</w:t>
            </w:r>
          </w:p>
        </w:tc>
      </w:tr>
      <w:tr>
        <w:trPr>
          <w:trHeight w:val="189"/>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providing fixed compensation amounts that are</w:t>
            </w:r>
          </w:p>
        </w:tc>
      </w:tr>
      <w:tr>
        <w:trPr>
          <w:trHeight w:val="189"/>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competitive in the market and reward</w:t>
            </w:r>
          </w:p>
        </w:tc>
      </w:tr>
      <w:tr>
        <w:trPr>
          <w:trHeight w:val="195"/>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performance.</w:t>
            </w:r>
          </w:p>
        </w:tc>
      </w:tr>
      <w:tr>
        <w:trPr>
          <w:trHeight w:val="87"/>
        </w:trPr>
        <w:tc>
          <w:tcPr>
            <w:tcW w:w="1960" w:type="dxa"/>
            <w:vAlign w:val="bottom"/>
            <w:shd w:val="clear" w:color="auto" w:fill="F2F2F2"/>
          </w:tcPr>
          <w:p>
            <w:pPr>
              <w:spacing w:after="0"/>
              <w:rPr>
                <w:sz w:val="7"/>
                <w:szCs w:val="7"/>
                <w:color w:val="auto"/>
              </w:rPr>
            </w:pPr>
          </w:p>
        </w:tc>
        <w:tc>
          <w:tcPr>
            <w:tcW w:w="1680" w:type="dxa"/>
            <w:vAlign w:val="bottom"/>
            <w:shd w:val="clear" w:color="auto" w:fill="F2F2F2"/>
          </w:tcPr>
          <w:p>
            <w:pPr>
              <w:spacing w:after="0"/>
              <w:rPr>
                <w:sz w:val="7"/>
                <w:szCs w:val="7"/>
                <w:color w:val="auto"/>
              </w:rPr>
            </w:pPr>
          </w:p>
        </w:tc>
        <w:tc>
          <w:tcPr>
            <w:tcW w:w="2240" w:type="dxa"/>
            <w:vAlign w:val="bottom"/>
            <w:shd w:val="clear" w:color="auto" w:fill="F2F2F2"/>
          </w:tcPr>
          <w:p>
            <w:pPr>
              <w:spacing w:after="0"/>
              <w:rPr>
                <w:sz w:val="7"/>
                <w:szCs w:val="7"/>
                <w:color w:val="auto"/>
              </w:rPr>
            </w:pPr>
          </w:p>
        </w:tc>
        <w:tc>
          <w:tcPr>
            <w:tcW w:w="3680" w:type="dxa"/>
            <w:vAlign w:val="bottom"/>
            <w:shd w:val="clear" w:color="auto" w:fill="F2F2F2"/>
          </w:tcPr>
          <w:p>
            <w:pPr>
              <w:spacing w:after="0"/>
              <w:rPr>
                <w:sz w:val="7"/>
                <w:szCs w:val="7"/>
                <w:color w:val="auto"/>
              </w:rPr>
            </w:pPr>
          </w:p>
        </w:tc>
      </w:tr>
      <w:tr>
        <w:trPr>
          <w:trHeight w:val="285"/>
        </w:trPr>
        <w:tc>
          <w:tcPr>
            <w:tcW w:w="1960" w:type="dxa"/>
            <w:vAlign w:val="bottom"/>
          </w:tcPr>
          <w:p>
            <w:pPr>
              <w:ind w:left="80"/>
              <w:spacing w:after="0"/>
              <w:rPr>
                <w:sz w:val="20"/>
                <w:szCs w:val="20"/>
                <w:color w:val="auto"/>
              </w:rPr>
            </w:pPr>
            <w:r>
              <w:rPr>
                <w:rFonts w:ascii="Arial" w:cs="Arial" w:eastAsia="Arial" w:hAnsi="Arial"/>
                <w:sz w:val="16"/>
                <w:szCs w:val="16"/>
                <w:color w:val="auto"/>
              </w:rPr>
              <w:t>Annual Cash Bonus</w:t>
            </w:r>
          </w:p>
        </w:tc>
        <w:tc>
          <w:tcPr>
            <w:tcW w:w="1680" w:type="dxa"/>
            <w:vAlign w:val="bottom"/>
          </w:tcPr>
          <w:p>
            <w:pPr>
              <w:ind w:left="140"/>
              <w:spacing w:after="0"/>
              <w:rPr>
                <w:sz w:val="20"/>
                <w:szCs w:val="20"/>
                <w:color w:val="auto"/>
              </w:rPr>
            </w:pPr>
            <w:r>
              <w:rPr>
                <w:rFonts w:ascii="Arial" w:cs="Arial" w:eastAsia="Arial" w:hAnsi="Arial"/>
                <w:sz w:val="16"/>
                <w:szCs w:val="16"/>
                <w:color w:val="auto"/>
              </w:rPr>
              <w:t>Variable</w:t>
            </w:r>
          </w:p>
        </w:tc>
        <w:tc>
          <w:tcPr>
            <w:tcW w:w="2240" w:type="dxa"/>
            <w:vAlign w:val="bottom"/>
          </w:tcPr>
          <w:p>
            <w:pPr>
              <w:ind w:left="440"/>
              <w:spacing w:after="0"/>
              <w:rPr>
                <w:sz w:val="20"/>
                <w:szCs w:val="20"/>
                <w:color w:val="auto"/>
              </w:rPr>
            </w:pPr>
            <w:r>
              <w:rPr>
                <w:rFonts w:ascii="Arial" w:cs="Arial" w:eastAsia="Arial" w:hAnsi="Arial"/>
                <w:sz w:val="16"/>
                <w:szCs w:val="16"/>
                <w:color w:val="auto"/>
              </w:rPr>
              <w:t>Cash</w:t>
            </w:r>
          </w:p>
        </w:tc>
        <w:tc>
          <w:tcPr>
            <w:tcW w:w="3680" w:type="dxa"/>
            <w:vAlign w:val="bottom"/>
          </w:tcPr>
          <w:p>
            <w:pPr>
              <w:ind w:left="200"/>
              <w:spacing w:after="0"/>
              <w:rPr>
                <w:sz w:val="20"/>
                <w:szCs w:val="20"/>
                <w:color w:val="auto"/>
              </w:rPr>
            </w:pPr>
            <w:r>
              <w:rPr>
                <w:rFonts w:ascii="Arial" w:cs="Arial" w:eastAsia="Arial" w:hAnsi="Arial"/>
                <w:sz w:val="16"/>
                <w:szCs w:val="16"/>
                <w:color w:val="auto"/>
              </w:rPr>
              <w:t>Motivate our executives to achieve annual</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business objectives set forth in our annual</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operating plan and provide financial incentives</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when we meet or exceed these annual</w:t>
            </w:r>
          </w:p>
        </w:tc>
      </w:tr>
      <w:tr>
        <w:trPr>
          <w:trHeight w:val="195"/>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objectives.</w:t>
            </w:r>
          </w:p>
        </w:tc>
      </w:tr>
      <w:tr>
        <w:trPr>
          <w:trHeight w:val="87"/>
        </w:trPr>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680" w:type="dxa"/>
            <w:vAlign w:val="bottom"/>
          </w:tcPr>
          <w:p>
            <w:pPr>
              <w:spacing w:after="0"/>
              <w:rPr>
                <w:sz w:val="7"/>
                <w:szCs w:val="7"/>
                <w:color w:val="auto"/>
              </w:rPr>
            </w:pPr>
          </w:p>
        </w:tc>
      </w:tr>
      <w:tr>
        <w:trPr>
          <w:trHeight w:val="285"/>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Long-Term Equity</w:t>
            </w:r>
          </w:p>
        </w:tc>
        <w:tc>
          <w:tcPr>
            <w:tcW w:w="1680" w:type="dxa"/>
            <w:vAlign w:val="bottom"/>
            <w:shd w:val="clear" w:color="auto" w:fill="F2F2F2"/>
          </w:tcPr>
          <w:p>
            <w:pPr>
              <w:ind w:left="140"/>
              <w:spacing w:after="0"/>
              <w:rPr>
                <w:sz w:val="20"/>
                <w:szCs w:val="20"/>
                <w:color w:val="auto"/>
              </w:rPr>
            </w:pPr>
            <w:r>
              <w:rPr>
                <w:rFonts w:ascii="Arial" w:cs="Arial" w:eastAsia="Arial" w:hAnsi="Arial"/>
                <w:sz w:val="16"/>
                <w:szCs w:val="16"/>
                <w:color w:val="auto"/>
              </w:rPr>
              <w:t>Variable</w:t>
            </w:r>
          </w:p>
        </w:tc>
        <w:tc>
          <w:tcPr>
            <w:tcW w:w="2240" w:type="dxa"/>
            <w:vAlign w:val="bottom"/>
            <w:shd w:val="clear" w:color="auto" w:fill="F2F2F2"/>
          </w:tcPr>
          <w:p>
            <w:pPr>
              <w:ind w:left="440"/>
              <w:spacing w:after="0"/>
              <w:rPr>
                <w:sz w:val="20"/>
                <w:szCs w:val="20"/>
                <w:color w:val="auto"/>
              </w:rPr>
            </w:pPr>
            <w:r>
              <w:rPr>
                <w:rFonts w:ascii="Arial" w:cs="Arial" w:eastAsia="Arial" w:hAnsi="Arial"/>
                <w:sz w:val="16"/>
                <w:szCs w:val="16"/>
                <w:color w:val="auto"/>
              </w:rPr>
              <w:t>Equity</w:t>
            </w: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Align the interests of our executives and our</w:t>
            </w:r>
          </w:p>
        </w:tc>
      </w:tr>
      <w:tr>
        <w:trPr>
          <w:trHeight w:val="189"/>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Incentive Compensation</w:t>
            </w: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stockholders by motivating them to create</w:t>
            </w:r>
          </w:p>
        </w:tc>
      </w:tr>
      <w:tr>
        <w:trPr>
          <w:trHeight w:val="195"/>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sustainable long-term stockholder value.</w:t>
            </w:r>
          </w:p>
        </w:tc>
      </w:tr>
      <w:tr>
        <w:trPr>
          <w:trHeight w:val="60"/>
        </w:trPr>
        <w:tc>
          <w:tcPr>
            <w:tcW w:w="1960" w:type="dxa"/>
            <w:vAlign w:val="bottom"/>
            <w:shd w:val="clear" w:color="auto" w:fill="F2F2F2"/>
          </w:tcPr>
          <w:p>
            <w:pPr>
              <w:spacing w:after="0"/>
              <w:rPr>
                <w:sz w:val="5"/>
                <w:szCs w:val="5"/>
                <w:color w:val="auto"/>
              </w:rPr>
            </w:pPr>
          </w:p>
        </w:tc>
        <w:tc>
          <w:tcPr>
            <w:tcW w:w="1680" w:type="dxa"/>
            <w:vAlign w:val="bottom"/>
            <w:shd w:val="clear" w:color="auto" w:fill="F2F2F2"/>
          </w:tcPr>
          <w:p>
            <w:pPr>
              <w:spacing w:after="0"/>
              <w:rPr>
                <w:sz w:val="5"/>
                <w:szCs w:val="5"/>
                <w:color w:val="auto"/>
              </w:rPr>
            </w:pPr>
          </w:p>
        </w:tc>
        <w:tc>
          <w:tcPr>
            <w:tcW w:w="2240" w:type="dxa"/>
            <w:vAlign w:val="bottom"/>
            <w:shd w:val="clear" w:color="auto" w:fill="F2F2F2"/>
          </w:tcPr>
          <w:p>
            <w:pPr>
              <w:spacing w:after="0"/>
              <w:rPr>
                <w:sz w:val="5"/>
                <w:szCs w:val="5"/>
                <w:color w:val="auto"/>
              </w:rPr>
            </w:pPr>
          </w:p>
        </w:tc>
        <w:tc>
          <w:tcPr>
            <w:tcW w:w="3680" w:type="dxa"/>
            <w:vAlign w:val="bottom"/>
            <w:shd w:val="clear" w:color="auto" w:fill="F2F2F2"/>
          </w:tcPr>
          <w:p>
            <w:pPr>
              <w:spacing w:after="0"/>
              <w:rPr>
                <w:sz w:val="5"/>
                <w:szCs w:val="5"/>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Mix of Pay</w:t>
      </w:r>
    </w:p>
    <w:p>
      <w:pPr>
        <w:spacing w:after="0" w:line="66"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Our primary focus in compensating our executive officers is on the longer-term and performance-based elements of target total direct compensation. Under our executive compensation program, approximately 90% of target total direct compensation to our named executive officers (excluding our CEO) was variable in the form of annual cash bonus and long-term equity incentive compensation. Our CEO’s mix of pay is weighted equally between base salary and annual bonus. Mr. Houston does not receive annual equity awards due to his significant holdings as a co-founder. Mr. Houston received a co-founder award in December 2017 prior to our IPO. Details of Mr. Houston’s co-founder award are further described in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197485</wp:posOffset>
            </wp:positionV>
            <wp:extent cx="2820035" cy="1482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00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Base Salary</w:t>
      </w:r>
    </w:p>
    <w:p>
      <w:pPr>
        <w:spacing w:after="0" w:line="52"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We use base salary to provide each executive officer with a specified level of cash compensation during the year with the expectation that they will perform their responsibilities to the best of their ability and in our best interests.</w:t>
      </w:r>
    </w:p>
    <w:p>
      <w:pPr>
        <w:spacing w:after="0" w:line="141"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 at the time we hire the individual executive officer, taking into account their position, qualifications, experience, prior salary level, and the base salaries of our other executive officers. Thereafter, the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pacing w:after="0" w:line="151"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In March 2020, the compensation committee reviewed the base salaries of our executive officers, including our named executive officers (other than Mr. Regan), taking into consideration a competitive market analysis and the recommendations of our chief executive officer, as well as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 Following this review, the compensation committee approved a reduction in Mr. Houston’s base salary, which Mr. Houston requested, to $550,000, effective April 1, 2020.</w:t>
      </w:r>
    </w:p>
    <w:p>
      <w:pPr>
        <w:spacing w:after="0" w:line="188" w:lineRule="exact"/>
        <w:rPr>
          <w:sz w:val="20"/>
          <w:szCs w:val="20"/>
          <w:color w:val="auto"/>
        </w:rPr>
      </w:pPr>
    </w:p>
    <w:p>
      <w:pPr>
        <w:ind w:left="524" w:hanging="524"/>
        <w:spacing w:after="0"/>
        <w:tabs>
          <w:tab w:leader="none" w:pos="524"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0" w:name="page41"/>
    <w:bookmarkEnd w:id="4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base salaries of our named executive officers for 2020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45085</wp:posOffset>
            </wp:positionV>
            <wp:extent cx="6120765" cy="1765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20765" cy="1765935"/>
                    </a:xfrm>
                    <a:prstGeom prst="rect">
                      <a:avLst/>
                    </a:prstGeom>
                    <a:noFill/>
                  </pic:spPr>
                </pic:pic>
              </a:graphicData>
            </a:graphic>
          </wp:anchor>
        </w:drawing>
      </w:r>
    </w:p>
    <w:p>
      <w:pPr>
        <w:spacing w:after="0" w:line="51"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360" w:type="dxa"/>
            <w:vAlign w:val="bottom"/>
            <w:shd w:val="clear" w:color="auto" w:fill="0063A6"/>
          </w:tcPr>
          <w:p>
            <w:pPr>
              <w:spacing w:after="0"/>
              <w:rPr>
                <w:sz w:val="22"/>
                <w:szCs w:val="22"/>
                <w:color w:val="auto"/>
              </w:rPr>
            </w:pPr>
          </w:p>
        </w:tc>
        <w:tc>
          <w:tcPr>
            <w:tcW w:w="3100" w:type="dxa"/>
            <w:vAlign w:val="bottom"/>
            <w:shd w:val="clear" w:color="auto" w:fill="0063A6"/>
          </w:tcPr>
          <w:p>
            <w:pPr>
              <w:jc w:val="center"/>
              <w:ind w:left="1421"/>
              <w:spacing w:after="0"/>
              <w:rPr>
                <w:sz w:val="20"/>
                <w:szCs w:val="20"/>
                <w:color w:val="auto"/>
              </w:rPr>
            </w:pPr>
            <w:r>
              <w:rPr>
                <w:rFonts w:ascii="Arial" w:cs="Arial" w:eastAsia="Arial" w:hAnsi="Arial"/>
                <w:sz w:val="14"/>
                <w:szCs w:val="14"/>
                <w:b w:val="1"/>
                <w:bCs w:val="1"/>
                <w:color w:val="FFFFFF"/>
              </w:rPr>
              <w:t>Base Salary</w:t>
            </w:r>
          </w:p>
        </w:tc>
        <w:tc>
          <w:tcPr>
            <w:tcW w:w="15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Base Salary</w:t>
            </w:r>
          </w:p>
        </w:tc>
        <w:tc>
          <w:tcPr>
            <w:tcW w:w="1640" w:type="dxa"/>
            <w:vAlign w:val="bottom"/>
            <w:shd w:val="clear" w:color="auto" w:fill="0063A6"/>
          </w:tcPr>
          <w:p>
            <w:pPr>
              <w:jc w:val="right"/>
              <w:ind w:right="381"/>
              <w:spacing w:after="0"/>
              <w:rPr>
                <w:sz w:val="20"/>
                <w:szCs w:val="20"/>
                <w:color w:val="auto"/>
              </w:rPr>
            </w:pPr>
            <w:r>
              <w:rPr>
                <w:rFonts w:ascii="Arial" w:cs="Arial" w:eastAsia="Arial" w:hAnsi="Arial"/>
                <w:sz w:val="14"/>
                <w:szCs w:val="14"/>
                <w:b w:val="1"/>
                <w:bCs w:val="1"/>
                <w:color w:val="FFFFFF"/>
              </w:rPr>
              <w:t>Percentage</w:t>
            </w:r>
          </w:p>
        </w:tc>
      </w:tr>
      <w:tr>
        <w:trPr>
          <w:trHeight w:val="190"/>
        </w:trPr>
        <w:tc>
          <w:tcPr>
            <w:tcW w:w="336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100" w:type="dxa"/>
            <w:vAlign w:val="bottom"/>
            <w:shd w:val="clear" w:color="auto" w:fill="0063A6"/>
          </w:tcPr>
          <w:p>
            <w:pPr>
              <w:jc w:val="center"/>
              <w:ind w:left="1461"/>
              <w:spacing w:after="0"/>
              <w:rPr>
                <w:sz w:val="20"/>
                <w:szCs w:val="20"/>
                <w:color w:val="auto"/>
              </w:rPr>
            </w:pPr>
            <w:r>
              <w:rPr>
                <w:rFonts w:ascii="Arial" w:cs="Arial" w:eastAsia="Arial" w:hAnsi="Arial"/>
                <w:sz w:val="14"/>
                <w:szCs w:val="14"/>
                <w:b w:val="1"/>
                <w:bCs w:val="1"/>
                <w:color w:val="FFFFFF"/>
              </w:rPr>
              <w:t>as of End of 2019 ($)</w:t>
            </w:r>
          </w:p>
        </w:tc>
        <w:tc>
          <w:tcPr>
            <w:tcW w:w="15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as of End of 2020 ($)</w:t>
            </w:r>
          </w:p>
        </w:tc>
        <w:tc>
          <w:tcPr>
            <w:tcW w:w="1640" w:type="dxa"/>
            <w:vAlign w:val="bottom"/>
            <w:shd w:val="clear" w:color="auto" w:fill="0063A6"/>
          </w:tcPr>
          <w:p>
            <w:pPr>
              <w:jc w:val="right"/>
              <w:ind w:right="41"/>
              <w:spacing w:after="0"/>
              <w:rPr>
                <w:sz w:val="20"/>
                <w:szCs w:val="20"/>
                <w:color w:val="auto"/>
              </w:rPr>
            </w:pPr>
            <w:r>
              <w:rPr>
                <w:rFonts w:ascii="Arial" w:cs="Arial" w:eastAsia="Arial" w:hAnsi="Arial"/>
                <w:sz w:val="14"/>
                <w:szCs w:val="14"/>
                <w:b w:val="1"/>
                <w:bCs w:val="1"/>
                <w:color w:val="FFFFFF"/>
              </w:rPr>
              <w:t>(Decrease) / Increase</w:t>
            </w:r>
          </w:p>
        </w:tc>
      </w:tr>
      <w:tr>
        <w:trPr>
          <w:trHeight w:val="80"/>
        </w:trPr>
        <w:tc>
          <w:tcPr>
            <w:tcW w:w="3360" w:type="dxa"/>
            <w:vAlign w:val="bottom"/>
            <w:shd w:val="clear" w:color="auto" w:fill="0063A6"/>
          </w:tcPr>
          <w:p>
            <w:pPr>
              <w:spacing w:after="0"/>
              <w:rPr>
                <w:sz w:val="6"/>
                <w:szCs w:val="6"/>
                <w:color w:val="auto"/>
              </w:rPr>
            </w:pPr>
          </w:p>
        </w:tc>
        <w:tc>
          <w:tcPr>
            <w:tcW w:w="3100" w:type="dxa"/>
            <w:vAlign w:val="bottom"/>
            <w:shd w:val="clear" w:color="auto" w:fill="0063A6"/>
          </w:tcPr>
          <w:p>
            <w:pPr>
              <w:spacing w:after="0"/>
              <w:rPr>
                <w:sz w:val="6"/>
                <w:szCs w:val="6"/>
                <w:color w:val="auto"/>
              </w:rPr>
            </w:pPr>
          </w:p>
        </w:tc>
        <w:tc>
          <w:tcPr>
            <w:tcW w:w="1540" w:type="dxa"/>
            <w:vAlign w:val="bottom"/>
            <w:shd w:val="clear" w:color="auto" w:fill="0063A6"/>
          </w:tcPr>
          <w:p>
            <w:pPr>
              <w:spacing w:after="0"/>
              <w:rPr>
                <w:sz w:val="6"/>
                <w:szCs w:val="6"/>
                <w:color w:val="auto"/>
              </w:rPr>
            </w:pPr>
          </w:p>
        </w:tc>
        <w:tc>
          <w:tcPr>
            <w:tcW w:w="1640" w:type="dxa"/>
            <w:vAlign w:val="bottom"/>
            <w:shd w:val="clear" w:color="auto" w:fill="0063A6"/>
          </w:tcPr>
          <w:p>
            <w:pPr>
              <w:spacing w:after="0"/>
              <w:rPr>
                <w:sz w:val="6"/>
                <w:szCs w:val="6"/>
                <w:color w:val="auto"/>
              </w:rPr>
            </w:pPr>
          </w:p>
        </w:tc>
      </w:tr>
      <w:tr>
        <w:trPr>
          <w:trHeight w:val="291"/>
        </w:trPr>
        <w:tc>
          <w:tcPr>
            <w:tcW w:w="33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3100" w:type="dxa"/>
            <w:vAlign w:val="bottom"/>
            <w:shd w:val="clear" w:color="auto" w:fill="F2F2F2"/>
          </w:tcPr>
          <w:p>
            <w:pPr>
              <w:jc w:val="center"/>
              <w:ind w:left="1461"/>
              <w:spacing w:after="0"/>
              <w:rPr>
                <w:sz w:val="20"/>
                <w:szCs w:val="20"/>
                <w:color w:val="auto"/>
              </w:rPr>
            </w:pPr>
            <w:r>
              <w:rPr>
                <w:rFonts w:ascii="Arial" w:cs="Arial" w:eastAsia="Arial" w:hAnsi="Arial"/>
                <w:sz w:val="16"/>
                <w:szCs w:val="16"/>
                <w:color w:val="auto"/>
              </w:rPr>
              <w:t>700,000</w:t>
            </w:r>
          </w:p>
        </w:tc>
        <w:tc>
          <w:tcPr>
            <w:tcW w:w="15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550,000</w:t>
            </w:r>
          </w:p>
        </w:tc>
        <w:tc>
          <w:tcPr>
            <w:tcW w:w="1640" w:type="dxa"/>
            <w:vAlign w:val="bottom"/>
            <w:shd w:val="clear" w:color="auto" w:fill="F2F2F2"/>
          </w:tcPr>
          <w:p>
            <w:pPr>
              <w:jc w:val="right"/>
              <w:ind w:right="521"/>
              <w:spacing w:after="0"/>
              <w:rPr>
                <w:sz w:val="20"/>
                <w:szCs w:val="20"/>
                <w:color w:val="auto"/>
              </w:rPr>
            </w:pPr>
            <w:r>
              <w:rPr>
                <w:rFonts w:ascii="Arial" w:cs="Arial" w:eastAsia="Arial" w:hAnsi="Arial"/>
                <w:sz w:val="16"/>
                <w:szCs w:val="16"/>
                <w:color w:val="auto"/>
              </w:rPr>
              <w:t>(21%)</w:t>
            </w:r>
          </w:p>
        </w:tc>
      </w:tr>
      <w:tr>
        <w:trPr>
          <w:trHeight w:val="87"/>
        </w:trPr>
        <w:tc>
          <w:tcPr>
            <w:tcW w:w="3360" w:type="dxa"/>
            <w:vAlign w:val="bottom"/>
            <w:shd w:val="clear" w:color="auto" w:fill="F2F2F2"/>
          </w:tcPr>
          <w:p>
            <w:pPr>
              <w:spacing w:after="0"/>
              <w:rPr>
                <w:sz w:val="7"/>
                <w:szCs w:val="7"/>
                <w:color w:val="auto"/>
              </w:rPr>
            </w:pPr>
          </w:p>
        </w:tc>
        <w:tc>
          <w:tcPr>
            <w:tcW w:w="3100" w:type="dxa"/>
            <w:vAlign w:val="bottom"/>
            <w:shd w:val="clear" w:color="auto" w:fill="F2F2F2"/>
          </w:tcPr>
          <w:p>
            <w:pPr>
              <w:spacing w:after="0"/>
              <w:rPr>
                <w:sz w:val="7"/>
                <w:szCs w:val="7"/>
                <w:color w:val="auto"/>
              </w:rPr>
            </w:pPr>
          </w:p>
        </w:tc>
        <w:tc>
          <w:tcPr>
            <w:tcW w:w="154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r>
      <w:tr>
        <w:trPr>
          <w:trHeight w:val="291"/>
        </w:trPr>
        <w:tc>
          <w:tcPr>
            <w:tcW w:w="33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3100" w:type="dxa"/>
            <w:vAlign w:val="bottom"/>
          </w:tcPr>
          <w:p>
            <w:pPr>
              <w:jc w:val="center"/>
              <w:ind w:left="1461"/>
              <w:spacing w:after="0"/>
              <w:rPr>
                <w:sz w:val="20"/>
                <w:szCs w:val="20"/>
                <w:color w:val="auto"/>
              </w:rPr>
            </w:pPr>
            <w:r>
              <w:rPr>
                <w:rFonts w:ascii="Arial" w:cs="Arial" w:eastAsia="Arial" w:hAnsi="Arial"/>
                <w:sz w:val="16"/>
                <w:szCs w:val="16"/>
                <w:color w:val="auto"/>
              </w:rPr>
              <w:t>330,000</w:t>
            </w:r>
          </w:p>
        </w:tc>
        <w:tc>
          <w:tcPr>
            <w:tcW w:w="1540" w:type="dxa"/>
            <w:vAlign w:val="bottom"/>
          </w:tcPr>
          <w:p>
            <w:pPr>
              <w:jc w:val="center"/>
              <w:spacing w:after="0"/>
              <w:rPr>
                <w:sz w:val="20"/>
                <w:szCs w:val="20"/>
                <w:color w:val="auto"/>
              </w:rPr>
            </w:pPr>
            <w:r>
              <w:rPr>
                <w:rFonts w:ascii="Arial" w:cs="Arial" w:eastAsia="Arial" w:hAnsi="Arial"/>
                <w:sz w:val="16"/>
                <w:szCs w:val="16"/>
                <w:color w:val="auto"/>
              </w:rPr>
              <w:t>450,000</w:t>
            </w:r>
          </w:p>
        </w:tc>
        <w:tc>
          <w:tcPr>
            <w:tcW w:w="1640" w:type="dxa"/>
            <w:vAlign w:val="bottom"/>
          </w:tcPr>
          <w:p>
            <w:pPr>
              <w:jc w:val="right"/>
              <w:ind w:right="581"/>
              <w:spacing w:after="0"/>
              <w:rPr>
                <w:sz w:val="20"/>
                <w:szCs w:val="20"/>
                <w:color w:val="auto"/>
              </w:rPr>
            </w:pPr>
            <w:r>
              <w:rPr>
                <w:rFonts w:ascii="Arial" w:cs="Arial" w:eastAsia="Arial" w:hAnsi="Arial"/>
                <w:sz w:val="16"/>
                <w:szCs w:val="16"/>
                <w:color w:val="auto"/>
              </w:rPr>
              <w:t>36%</w:t>
            </w:r>
          </w:p>
        </w:tc>
      </w:tr>
      <w:tr>
        <w:trPr>
          <w:trHeight w:val="87"/>
        </w:trPr>
        <w:tc>
          <w:tcPr>
            <w:tcW w:w="33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291"/>
        </w:trPr>
        <w:tc>
          <w:tcPr>
            <w:tcW w:w="336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3100" w:type="dxa"/>
            <w:vAlign w:val="bottom"/>
            <w:shd w:val="clear" w:color="auto" w:fill="F2F2F2"/>
          </w:tcPr>
          <w:p>
            <w:pPr>
              <w:jc w:val="center"/>
              <w:ind w:left="1461"/>
              <w:spacing w:after="0"/>
              <w:rPr>
                <w:sz w:val="20"/>
                <w:szCs w:val="20"/>
                <w:color w:val="auto"/>
              </w:rPr>
            </w:pPr>
            <w:r>
              <w:rPr>
                <w:rFonts w:ascii="Arial" w:cs="Arial" w:eastAsia="Arial" w:hAnsi="Arial"/>
                <w:sz w:val="16"/>
                <w:szCs w:val="16"/>
                <w:color w:val="auto"/>
              </w:rPr>
              <w:t>500,000</w:t>
            </w:r>
          </w:p>
        </w:tc>
        <w:tc>
          <w:tcPr>
            <w:tcW w:w="15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640" w:type="dxa"/>
            <w:vAlign w:val="bottom"/>
            <w:shd w:val="clear" w:color="auto" w:fill="F2F2F2"/>
          </w:tcPr>
          <w:p>
            <w:pPr>
              <w:jc w:val="right"/>
              <w:ind w:right="581"/>
              <w:spacing w:after="0"/>
              <w:rPr>
                <w:sz w:val="20"/>
                <w:szCs w:val="20"/>
                <w:color w:val="auto"/>
              </w:rPr>
            </w:pPr>
            <w:r>
              <w:rPr>
                <w:rFonts w:ascii="Arial" w:cs="Arial" w:eastAsia="Arial" w:hAnsi="Arial"/>
                <w:sz w:val="16"/>
                <w:szCs w:val="16"/>
                <w:color w:val="auto"/>
              </w:rPr>
              <w:t>20%</w:t>
            </w:r>
          </w:p>
        </w:tc>
      </w:tr>
      <w:tr>
        <w:trPr>
          <w:trHeight w:val="87"/>
        </w:trPr>
        <w:tc>
          <w:tcPr>
            <w:tcW w:w="3360" w:type="dxa"/>
            <w:vAlign w:val="bottom"/>
            <w:shd w:val="clear" w:color="auto" w:fill="F2F2F2"/>
          </w:tcPr>
          <w:p>
            <w:pPr>
              <w:spacing w:after="0"/>
              <w:rPr>
                <w:sz w:val="7"/>
                <w:szCs w:val="7"/>
                <w:color w:val="auto"/>
              </w:rPr>
            </w:pPr>
          </w:p>
        </w:tc>
        <w:tc>
          <w:tcPr>
            <w:tcW w:w="3100" w:type="dxa"/>
            <w:vAlign w:val="bottom"/>
            <w:shd w:val="clear" w:color="auto" w:fill="F2F2F2"/>
          </w:tcPr>
          <w:p>
            <w:pPr>
              <w:spacing w:after="0"/>
              <w:rPr>
                <w:sz w:val="7"/>
                <w:szCs w:val="7"/>
                <w:color w:val="auto"/>
              </w:rPr>
            </w:pPr>
          </w:p>
        </w:tc>
        <w:tc>
          <w:tcPr>
            <w:tcW w:w="154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r>
      <w:tr>
        <w:trPr>
          <w:trHeight w:val="291"/>
        </w:trPr>
        <w:tc>
          <w:tcPr>
            <w:tcW w:w="33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3100" w:type="dxa"/>
            <w:vAlign w:val="bottom"/>
          </w:tcPr>
          <w:p>
            <w:pPr>
              <w:jc w:val="center"/>
              <w:ind w:left="1461"/>
              <w:spacing w:after="0"/>
              <w:rPr>
                <w:sz w:val="20"/>
                <w:szCs w:val="20"/>
                <w:color w:val="auto"/>
              </w:rPr>
            </w:pPr>
            <w:r>
              <w:rPr>
                <w:rFonts w:ascii="Arial" w:cs="Arial" w:eastAsia="Arial" w:hAnsi="Arial"/>
                <w:sz w:val="16"/>
                <w:szCs w:val="16"/>
                <w:color w:val="auto"/>
              </w:rPr>
              <w:t>475,000</w:t>
            </w:r>
          </w:p>
        </w:tc>
        <w:tc>
          <w:tcPr>
            <w:tcW w:w="1540" w:type="dxa"/>
            <w:vAlign w:val="bottom"/>
          </w:tcPr>
          <w:p>
            <w:pPr>
              <w:jc w:val="center"/>
              <w:spacing w:after="0"/>
              <w:rPr>
                <w:sz w:val="20"/>
                <w:szCs w:val="20"/>
                <w:color w:val="auto"/>
              </w:rPr>
            </w:pPr>
            <w:r>
              <w:rPr>
                <w:rFonts w:ascii="Arial" w:cs="Arial" w:eastAsia="Arial" w:hAnsi="Arial"/>
                <w:sz w:val="16"/>
                <w:szCs w:val="16"/>
                <w:color w:val="auto"/>
              </w:rPr>
              <w:t>475,000</w:t>
            </w:r>
          </w:p>
        </w:tc>
        <w:tc>
          <w:tcPr>
            <w:tcW w:w="1640" w:type="dxa"/>
            <w:vAlign w:val="bottom"/>
          </w:tcPr>
          <w:p>
            <w:pPr>
              <w:jc w:val="right"/>
              <w:ind w:right="601"/>
              <w:spacing w:after="0"/>
              <w:rPr>
                <w:sz w:val="20"/>
                <w:szCs w:val="20"/>
                <w:color w:val="auto"/>
              </w:rPr>
            </w:pPr>
            <w:r>
              <w:rPr>
                <w:rFonts w:ascii="Arial" w:cs="Arial" w:eastAsia="Arial" w:hAnsi="Arial"/>
                <w:sz w:val="16"/>
                <w:szCs w:val="16"/>
                <w:color w:val="auto"/>
              </w:rPr>
              <w:t>0%</w:t>
            </w:r>
          </w:p>
        </w:tc>
      </w:tr>
      <w:tr>
        <w:trPr>
          <w:trHeight w:val="87"/>
        </w:trPr>
        <w:tc>
          <w:tcPr>
            <w:tcW w:w="33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378"/>
        </w:trPr>
        <w:tc>
          <w:tcPr>
            <w:tcW w:w="33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Ajay V. Vashee</w:t>
            </w:r>
            <w:r>
              <w:rPr>
                <w:rFonts w:ascii="Arial" w:cs="Arial" w:eastAsia="Arial" w:hAnsi="Arial"/>
                <w:sz w:val="26"/>
                <w:szCs w:val="26"/>
                <w:color w:val="auto"/>
                <w:vertAlign w:val="superscript"/>
              </w:rPr>
              <w:t>(1)</w:t>
            </w:r>
          </w:p>
        </w:tc>
        <w:tc>
          <w:tcPr>
            <w:tcW w:w="3100" w:type="dxa"/>
            <w:vAlign w:val="bottom"/>
            <w:shd w:val="clear" w:color="auto" w:fill="F2F2F2"/>
          </w:tcPr>
          <w:p>
            <w:pPr>
              <w:jc w:val="center"/>
              <w:ind w:left="1461"/>
              <w:spacing w:after="0"/>
              <w:rPr>
                <w:sz w:val="20"/>
                <w:szCs w:val="20"/>
                <w:color w:val="auto"/>
              </w:rPr>
            </w:pPr>
            <w:r>
              <w:rPr>
                <w:rFonts w:ascii="Arial" w:cs="Arial" w:eastAsia="Arial" w:hAnsi="Arial"/>
                <w:sz w:val="16"/>
                <w:szCs w:val="16"/>
                <w:color w:val="auto"/>
              </w:rPr>
              <w:t>550,000</w:t>
            </w:r>
          </w:p>
        </w:tc>
        <w:tc>
          <w:tcPr>
            <w:tcW w:w="15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F2F2F2"/>
          </w:tcPr>
          <w:p>
            <w:pPr>
              <w:jc w:val="right"/>
              <w:ind w:right="581"/>
              <w:spacing w:after="0"/>
              <w:rPr>
                <w:sz w:val="20"/>
                <w:szCs w:val="20"/>
                <w:color w:val="auto"/>
              </w:rPr>
            </w:pPr>
            <w:r>
              <w:rPr>
                <w:rFonts w:ascii="Arial" w:cs="Arial" w:eastAsia="Arial" w:hAnsi="Arial"/>
                <w:sz w:val="16"/>
                <w:szCs w:val="16"/>
                <w:color w:val="auto"/>
              </w:rPr>
              <w:t>N/A</w:t>
            </w:r>
          </w:p>
        </w:tc>
      </w:tr>
      <w:tr>
        <w:trPr>
          <w:trHeight w:val="426"/>
        </w:trPr>
        <w:tc>
          <w:tcPr>
            <w:tcW w:w="3360" w:type="dxa"/>
            <w:vAlign w:val="bottom"/>
          </w:tcPr>
          <w:p>
            <w:pPr>
              <w:ind w:left="60"/>
              <w:spacing w:after="0"/>
              <w:rPr>
                <w:sz w:val="20"/>
                <w:szCs w:val="20"/>
                <w:color w:val="auto"/>
              </w:rPr>
            </w:pPr>
            <w:r>
              <w:rPr>
                <w:rFonts w:ascii="Arial" w:cs="Arial" w:eastAsia="Arial" w:hAnsi="Arial"/>
                <w:sz w:val="16"/>
                <w:szCs w:val="16"/>
                <w:color w:val="auto"/>
              </w:rPr>
              <w:t>Olivia Nottebohm</w:t>
            </w:r>
            <w:r>
              <w:rPr>
                <w:rFonts w:ascii="Arial" w:cs="Arial" w:eastAsia="Arial" w:hAnsi="Arial"/>
                <w:sz w:val="26"/>
                <w:szCs w:val="26"/>
                <w:color w:val="auto"/>
                <w:vertAlign w:val="superscript"/>
              </w:rPr>
              <w:t>(2)</w:t>
            </w:r>
          </w:p>
        </w:tc>
        <w:tc>
          <w:tcPr>
            <w:tcW w:w="3100" w:type="dxa"/>
            <w:vAlign w:val="bottom"/>
          </w:tcPr>
          <w:p>
            <w:pPr>
              <w:jc w:val="center"/>
              <w:ind w:left="1461"/>
              <w:spacing w:after="0"/>
              <w:rPr>
                <w:sz w:val="20"/>
                <w:szCs w:val="20"/>
                <w:color w:val="auto"/>
              </w:rPr>
            </w:pPr>
            <w:r>
              <w:rPr>
                <w:rFonts w:ascii="Arial" w:cs="Arial" w:eastAsia="Arial" w:hAnsi="Arial"/>
                <w:sz w:val="16"/>
                <w:szCs w:val="16"/>
                <w:color w:val="auto"/>
              </w:rPr>
              <w:t>500,000</w:t>
            </w:r>
          </w:p>
        </w:tc>
        <w:tc>
          <w:tcPr>
            <w:tcW w:w="1540" w:type="dxa"/>
            <w:vAlign w:val="bottom"/>
          </w:tcPr>
          <w:p>
            <w:pPr>
              <w:jc w:val="center"/>
              <w:spacing w:after="0"/>
              <w:rPr>
                <w:sz w:val="20"/>
                <w:szCs w:val="20"/>
                <w:color w:val="auto"/>
              </w:rPr>
            </w:pPr>
            <w:r>
              <w:rPr>
                <w:rFonts w:ascii="Arial" w:cs="Arial" w:eastAsia="Arial" w:hAnsi="Arial"/>
                <w:sz w:val="16"/>
                <w:szCs w:val="16"/>
                <w:color w:val="auto"/>
              </w:rPr>
              <w:t>500,000</w:t>
            </w:r>
          </w:p>
        </w:tc>
        <w:tc>
          <w:tcPr>
            <w:tcW w:w="1640" w:type="dxa"/>
            <w:vAlign w:val="bottom"/>
          </w:tcPr>
          <w:p>
            <w:pPr>
              <w:jc w:val="right"/>
              <w:ind w:right="601"/>
              <w:spacing w:after="0"/>
              <w:rPr>
                <w:sz w:val="20"/>
                <w:szCs w:val="20"/>
                <w:color w:val="auto"/>
              </w:rPr>
            </w:pPr>
            <w:r>
              <w:rPr>
                <w:rFonts w:ascii="Arial" w:cs="Arial" w:eastAsia="Arial" w:hAnsi="Arial"/>
                <w:sz w:val="16"/>
                <w:szCs w:val="16"/>
                <w:color w:val="auto"/>
              </w:rPr>
              <w:t>0%</w:t>
            </w:r>
          </w:p>
        </w:tc>
      </w:tr>
    </w:tbl>
    <w:p>
      <w:pPr>
        <w:spacing w:after="0" w:line="38" w:lineRule="exact"/>
        <w:rPr>
          <w:sz w:val="20"/>
          <w:szCs w:val="20"/>
          <w:color w:val="auto"/>
        </w:rPr>
      </w:pPr>
    </w:p>
    <w:p>
      <w:pPr>
        <w:ind w:left="960" w:hanging="244"/>
        <w:spacing w:after="0"/>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Vashee resigned from the company in October 2020.</w:t>
      </w:r>
    </w:p>
    <w:p>
      <w:pPr>
        <w:spacing w:after="0" w:line="14" w:lineRule="exact"/>
        <w:rPr>
          <w:rFonts w:ascii="Arial" w:cs="Arial" w:eastAsia="Arial" w:hAnsi="Arial"/>
          <w:sz w:val="14"/>
          <w:szCs w:val="14"/>
          <w:color w:val="auto"/>
        </w:rPr>
      </w:pPr>
    </w:p>
    <w:p>
      <w:pPr>
        <w:ind w:left="960" w:hanging="244"/>
        <w:spacing w:after="0"/>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Ms. Nottebohm joined the company in February 2020 and resigned from the company in February 2021.</w:t>
      </w:r>
    </w:p>
    <w:p>
      <w:pPr>
        <w:spacing w:after="0" w:line="160" w:lineRule="exact"/>
        <w:rPr>
          <w:sz w:val="20"/>
          <w:szCs w:val="20"/>
          <w:color w:val="auto"/>
        </w:rPr>
      </w:pPr>
    </w:p>
    <w:p>
      <w:pPr>
        <w:ind w:left="720" w:right="760"/>
        <w:spacing w:after="0" w:line="251" w:lineRule="auto"/>
        <w:rPr>
          <w:sz w:val="20"/>
          <w:szCs w:val="20"/>
          <w:color w:val="auto"/>
        </w:rPr>
      </w:pPr>
      <w:r>
        <w:rPr>
          <w:rFonts w:ascii="Arial" w:cs="Arial" w:eastAsia="Arial" w:hAnsi="Arial"/>
          <w:sz w:val="16"/>
          <w:szCs w:val="16"/>
          <w:color w:val="auto"/>
        </w:rPr>
        <w:t>In connection with the company’s standard annual review of employee compensation, Mr. Regan’s salary was increased to $375,000, effective February 1, 2020. In connection with Mr. Regan’s promotion to CFO, the compensation committee approved an increase to his salary to $450,000, effective September 15, 2020, in order to reflect his increased responsibilities and align Mr. Regan with similarly-situated executives.</w:t>
      </w:r>
    </w:p>
    <w:p>
      <w:pPr>
        <w:spacing w:after="0" w:line="148"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In connection with Mr. Young’s promotion to President, the compensation committee approved an increase to his salary to $600,000, effective November 2, 2020, in order to reflect his increased responsibilities and align Mr. Young with similarly-situated executives.</w:t>
      </w:r>
    </w:p>
    <w:p>
      <w:pPr>
        <w:spacing w:after="0" w:line="125" w:lineRule="exact"/>
        <w:rPr>
          <w:sz w:val="20"/>
          <w:szCs w:val="20"/>
          <w:color w:val="auto"/>
        </w:rPr>
      </w:pPr>
    </w:p>
    <w:p>
      <w:pPr>
        <w:ind w:left="720" w:right="740"/>
        <w:spacing w:after="0" w:line="281" w:lineRule="auto"/>
        <w:rPr>
          <w:sz w:val="20"/>
          <w:szCs w:val="20"/>
          <w:color w:val="auto"/>
        </w:rPr>
      </w:pPr>
      <w:r>
        <w:rPr>
          <w:rFonts w:ascii="Arial" w:cs="Arial" w:eastAsia="Arial" w:hAnsi="Arial"/>
          <w:sz w:val="16"/>
          <w:szCs w:val="16"/>
          <w:color w:val="auto"/>
        </w:rPr>
        <w:t>The base salaries paid to our named executive officers during 2020 are set forth in the “</w:t>
      </w:r>
      <w:r>
        <w:rPr>
          <w:rFonts w:ascii="Arial" w:cs="Arial" w:eastAsia="Arial" w:hAnsi="Arial"/>
          <w:sz w:val="16"/>
          <w:szCs w:val="16"/>
          <w:i w:val="1"/>
          <w:iCs w:val="1"/>
          <w:color w:val="auto"/>
        </w:rPr>
        <w:t>Summary Compensation Table for Fiscal Year</w:t>
      </w:r>
      <w:r>
        <w:rPr>
          <w:rFonts w:ascii="Arial" w:cs="Arial" w:eastAsia="Arial" w:hAnsi="Arial"/>
          <w:sz w:val="16"/>
          <w:szCs w:val="16"/>
          <w:color w:val="auto"/>
        </w:rPr>
        <w:t xml:space="preserve"> </w:t>
      </w:r>
      <w:r>
        <w:rPr>
          <w:rFonts w:ascii="Arial" w:cs="Arial" w:eastAsia="Arial" w:hAnsi="Arial"/>
          <w:sz w:val="16"/>
          <w:szCs w:val="16"/>
          <w:i w:val="1"/>
          <w:iCs w:val="1"/>
          <w:color w:val="auto"/>
        </w:rPr>
        <w:t>2020</w:t>
      </w:r>
      <w:r>
        <w:rPr>
          <w:rFonts w:ascii="Arial" w:cs="Arial" w:eastAsia="Arial" w:hAnsi="Arial"/>
          <w:sz w:val="16"/>
          <w:szCs w:val="16"/>
          <w:color w:val="auto"/>
        </w:rPr>
        <w:t>” below.</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Annual Cash Bonuses</w:t>
      </w:r>
    </w:p>
    <w:p>
      <w:pPr>
        <w:spacing w:after="0" w:line="66" w:lineRule="exact"/>
        <w:rPr>
          <w:sz w:val="20"/>
          <w:szCs w:val="20"/>
          <w:color w:val="auto"/>
        </w:rPr>
      </w:pPr>
    </w:p>
    <w:p>
      <w:pPr>
        <w:ind w:left="720" w:right="880"/>
        <w:spacing w:after="0" w:line="251" w:lineRule="auto"/>
        <w:rPr>
          <w:sz w:val="20"/>
          <w:szCs w:val="20"/>
          <w:color w:val="auto"/>
        </w:rPr>
      </w:pPr>
      <w:r>
        <w:rPr>
          <w:rFonts w:ascii="Arial" w:cs="Arial" w:eastAsia="Arial" w:hAnsi="Arial"/>
          <w:sz w:val="16"/>
          <w:szCs w:val="16"/>
          <w:color w:val="auto"/>
        </w:rPr>
        <w:t>In March 2020, the compensation committee, with input from management, adopted our 2020 annual cash bonus plan (the “2020 Cash Bonus Plan”), which was designed to provide financial incentives for us to meet or exceed the pre-established target levels for revenue and operating margin established under our 2020 annual operating plan. The 2020 Cash Bonus Plan funded based on our actual achievement against the pre-established target levels for the corporate performance measure.</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87" w:lineRule="exact"/>
        <w:rPr>
          <w:sz w:val="20"/>
          <w:szCs w:val="20"/>
          <w:color w:val="auto"/>
        </w:rPr>
      </w:pPr>
    </w:p>
    <w:p>
      <w:pPr>
        <w:ind w:left="720" w:right="920"/>
        <w:spacing w:after="0" w:line="251" w:lineRule="auto"/>
        <w:rPr>
          <w:sz w:val="20"/>
          <w:szCs w:val="20"/>
          <w:color w:val="auto"/>
        </w:rPr>
      </w:pPr>
      <w:r>
        <w:rPr>
          <w:rFonts w:ascii="Arial" w:cs="Arial" w:eastAsia="Arial" w:hAnsi="Arial"/>
          <w:sz w:val="16"/>
          <w:szCs w:val="16"/>
          <w:color w:val="auto"/>
        </w:rPr>
        <w:t>Under the 2020 Cash Bonus Plan, cash bonus payments were based upon an eligible percentage of each participant’s base salary. In March 2020, the compensation committee reviewed and approved the target annual cash bonus opportunities of our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 Compensation Setting</w:t>
      </w:r>
      <w:r>
        <w:rPr>
          <w:rFonts w:ascii="Arial" w:cs="Arial" w:eastAsia="Arial" w:hAnsi="Arial"/>
          <w:sz w:val="16"/>
          <w:szCs w:val="16"/>
          <w:color w:val="auto"/>
        </w:rPr>
        <w:t>” above.</w:t>
      </w:r>
    </w:p>
    <w:p>
      <w:pPr>
        <w:spacing w:after="0" w:line="148" w:lineRule="exact"/>
        <w:rPr>
          <w:sz w:val="20"/>
          <w:szCs w:val="20"/>
          <w:color w:val="auto"/>
        </w:rPr>
      </w:pPr>
    </w:p>
    <w:p>
      <w:pPr>
        <w:ind w:left="720" w:right="960"/>
        <w:spacing w:after="0" w:line="251" w:lineRule="auto"/>
        <w:rPr>
          <w:sz w:val="20"/>
          <w:szCs w:val="20"/>
          <w:color w:val="auto"/>
        </w:rPr>
      </w:pPr>
      <w:r>
        <w:rPr>
          <w:rFonts w:ascii="Arial" w:cs="Arial" w:eastAsia="Arial" w:hAnsi="Arial"/>
          <w:sz w:val="16"/>
          <w:szCs w:val="16"/>
          <w:color w:val="auto"/>
        </w:rPr>
        <w:t>The target annual cash bonus opportunity for Ms. Nottebohm was established through arm’s-length negotiation at the time of hire, taking into account her position, qualifications, experience, the amount of her prior target annual cash bonus opportunities, and the target annual cash bonus opportunities of our other executive officers. Her 2020 bonus opportunity was pro-rated to reflect her employment with us for less than the entire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37</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1" w:name="page42"/>
    <w:bookmarkEnd w:id="4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2020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868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7585" cy="186880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440" w:type="dxa"/>
            <w:vAlign w:val="bottom"/>
            <w:shd w:val="clear" w:color="auto" w:fill="0063A6"/>
          </w:tcPr>
          <w:p>
            <w:pPr>
              <w:spacing w:after="0"/>
              <w:rPr>
                <w:sz w:val="22"/>
                <w:szCs w:val="22"/>
                <w:color w:val="auto"/>
              </w:rPr>
            </w:pPr>
          </w:p>
        </w:tc>
        <w:tc>
          <w:tcPr>
            <w:tcW w:w="4100" w:type="dxa"/>
            <w:vAlign w:val="bottom"/>
            <w:shd w:val="clear" w:color="auto" w:fill="0063A6"/>
          </w:tcPr>
          <w:p>
            <w:pPr>
              <w:jc w:val="center"/>
              <w:ind w:left="1382"/>
              <w:spacing w:after="0"/>
              <w:rPr>
                <w:sz w:val="20"/>
                <w:szCs w:val="20"/>
                <w:color w:val="auto"/>
              </w:rPr>
            </w:pPr>
            <w:r>
              <w:rPr>
                <w:rFonts w:ascii="Arial" w:cs="Arial" w:eastAsia="Arial" w:hAnsi="Arial"/>
                <w:sz w:val="14"/>
                <w:szCs w:val="14"/>
                <w:b w:val="1"/>
                <w:bCs w:val="1"/>
                <w:color w:val="FFFFFF"/>
              </w:rPr>
              <w:t>Target Annual</w:t>
            </w:r>
          </w:p>
        </w:tc>
        <w:tc>
          <w:tcPr>
            <w:tcW w:w="2020" w:type="dxa"/>
            <w:vAlign w:val="bottom"/>
            <w:shd w:val="clear" w:color="auto" w:fill="0063A6"/>
          </w:tcPr>
          <w:p>
            <w:pPr>
              <w:spacing w:after="0"/>
              <w:rPr>
                <w:sz w:val="22"/>
                <w:szCs w:val="22"/>
                <w:color w:val="auto"/>
              </w:rPr>
            </w:pPr>
          </w:p>
        </w:tc>
      </w:tr>
      <w:tr>
        <w:trPr>
          <w:trHeight w:val="162"/>
        </w:trPr>
        <w:tc>
          <w:tcPr>
            <w:tcW w:w="3440" w:type="dxa"/>
            <w:vAlign w:val="bottom"/>
            <w:shd w:val="clear" w:color="auto" w:fill="0063A6"/>
          </w:tcPr>
          <w:p>
            <w:pPr>
              <w:spacing w:after="0"/>
              <w:rPr>
                <w:sz w:val="14"/>
                <w:szCs w:val="14"/>
                <w:color w:val="auto"/>
              </w:rPr>
            </w:pPr>
          </w:p>
        </w:tc>
        <w:tc>
          <w:tcPr>
            <w:tcW w:w="4100" w:type="dxa"/>
            <w:vAlign w:val="bottom"/>
            <w:shd w:val="clear" w:color="auto" w:fill="0063A6"/>
          </w:tcPr>
          <w:p>
            <w:pPr>
              <w:jc w:val="center"/>
              <w:ind w:left="1402"/>
              <w:spacing w:after="0"/>
              <w:rPr>
                <w:sz w:val="20"/>
                <w:szCs w:val="20"/>
                <w:color w:val="auto"/>
              </w:rPr>
            </w:pPr>
            <w:r>
              <w:rPr>
                <w:rFonts w:ascii="Arial" w:cs="Arial" w:eastAsia="Arial" w:hAnsi="Arial"/>
                <w:sz w:val="14"/>
                <w:szCs w:val="14"/>
                <w:b w:val="1"/>
                <w:bCs w:val="1"/>
                <w:color w:val="FFFFFF"/>
              </w:rPr>
              <w:t>Cash Bonus Opportunity</w:t>
            </w:r>
          </w:p>
        </w:tc>
        <w:tc>
          <w:tcPr>
            <w:tcW w:w="2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2020 Target Annual Cash</w:t>
            </w:r>
          </w:p>
        </w:tc>
      </w:tr>
      <w:tr>
        <w:trPr>
          <w:trHeight w:val="190"/>
        </w:trPr>
        <w:tc>
          <w:tcPr>
            <w:tcW w:w="34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100" w:type="dxa"/>
            <w:vAlign w:val="bottom"/>
            <w:shd w:val="clear" w:color="auto" w:fill="0063A6"/>
          </w:tcPr>
          <w:p>
            <w:pPr>
              <w:jc w:val="center"/>
              <w:ind w:left="1442"/>
              <w:spacing w:after="0"/>
              <w:rPr>
                <w:sz w:val="20"/>
                <w:szCs w:val="20"/>
                <w:color w:val="auto"/>
              </w:rPr>
            </w:pPr>
            <w:r>
              <w:rPr>
                <w:rFonts w:ascii="Arial" w:cs="Arial" w:eastAsia="Arial" w:hAnsi="Arial"/>
                <w:sz w:val="14"/>
                <w:szCs w:val="14"/>
                <w:b w:val="1"/>
                <w:bCs w:val="1"/>
                <w:color w:val="FFFFFF"/>
              </w:rPr>
              <w:t>(as a Percentage of Base Salary)</w:t>
            </w:r>
          </w:p>
        </w:tc>
        <w:tc>
          <w:tcPr>
            <w:tcW w:w="2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Bonus Opportunity ($)</w:t>
            </w:r>
          </w:p>
        </w:tc>
      </w:tr>
      <w:tr>
        <w:trPr>
          <w:trHeight w:val="80"/>
        </w:trPr>
        <w:tc>
          <w:tcPr>
            <w:tcW w:w="3440" w:type="dxa"/>
            <w:vAlign w:val="bottom"/>
            <w:shd w:val="clear" w:color="auto" w:fill="0063A6"/>
          </w:tcPr>
          <w:p>
            <w:pPr>
              <w:spacing w:after="0"/>
              <w:rPr>
                <w:sz w:val="6"/>
                <w:szCs w:val="6"/>
                <w:color w:val="auto"/>
              </w:rPr>
            </w:pPr>
          </w:p>
        </w:tc>
        <w:tc>
          <w:tcPr>
            <w:tcW w:w="4100" w:type="dxa"/>
            <w:vAlign w:val="bottom"/>
            <w:shd w:val="clear" w:color="auto" w:fill="0063A6"/>
          </w:tcPr>
          <w:p>
            <w:pPr>
              <w:spacing w:after="0"/>
              <w:rPr>
                <w:sz w:val="6"/>
                <w:szCs w:val="6"/>
                <w:color w:val="auto"/>
              </w:rPr>
            </w:pPr>
          </w:p>
        </w:tc>
        <w:tc>
          <w:tcPr>
            <w:tcW w:w="2020" w:type="dxa"/>
            <w:vAlign w:val="bottom"/>
            <w:shd w:val="clear" w:color="auto" w:fill="0063A6"/>
          </w:tcPr>
          <w:p>
            <w:pPr>
              <w:spacing w:after="0"/>
              <w:rPr>
                <w:sz w:val="6"/>
                <w:szCs w:val="6"/>
                <w:color w:val="auto"/>
              </w:rPr>
            </w:pPr>
          </w:p>
        </w:tc>
      </w:tr>
      <w:tr>
        <w:trPr>
          <w:trHeight w:val="291"/>
        </w:trPr>
        <w:tc>
          <w:tcPr>
            <w:tcW w:w="3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4100" w:type="dxa"/>
            <w:vAlign w:val="bottom"/>
            <w:shd w:val="clear" w:color="auto" w:fill="F2F2F2"/>
          </w:tcPr>
          <w:p>
            <w:pPr>
              <w:jc w:val="right"/>
              <w:ind w:right="1022"/>
              <w:spacing w:after="0"/>
              <w:rPr>
                <w:sz w:val="20"/>
                <w:szCs w:val="20"/>
                <w:color w:val="auto"/>
              </w:rPr>
            </w:pPr>
            <w:r>
              <w:rPr>
                <w:rFonts w:ascii="Arial" w:cs="Arial" w:eastAsia="Arial" w:hAnsi="Arial"/>
                <w:sz w:val="16"/>
                <w:szCs w:val="16"/>
                <w:color w:val="auto"/>
              </w:rPr>
              <w:t>100%</w:t>
            </w:r>
          </w:p>
        </w:tc>
        <w:tc>
          <w:tcPr>
            <w:tcW w:w="2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587,295</w:t>
            </w:r>
          </w:p>
        </w:tc>
      </w:tr>
      <w:tr>
        <w:trPr>
          <w:trHeight w:val="87"/>
        </w:trPr>
        <w:tc>
          <w:tcPr>
            <w:tcW w:w="3440" w:type="dxa"/>
            <w:vAlign w:val="bottom"/>
            <w:shd w:val="clear" w:color="auto" w:fill="F2F2F2"/>
          </w:tcPr>
          <w:p>
            <w:pPr>
              <w:spacing w:after="0"/>
              <w:rPr>
                <w:sz w:val="7"/>
                <w:szCs w:val="7"/>
                <w:color w:val="auto"/>
              </w:rPr>
            </w:pPr>
          </w:p>
        </w:tc>
        <w:tc>
          <w:tcPr>
            <w:tcW w:w="4100" w:type="dxa"/>
            <w:vAlign w:val="bottom"/>
            <w:shd w:val="clear" w:color="auto" w:fill="F2F2F2"/>
          </w:tcPr>
          <w:p>
            <w:pPr>
              <w:spacing w:after="0"/>
              <w:rPr>
                <w:sz w:val="7"/>
                <w:szCs w:val="7"/>
                <w:color w:val="auto"/>
              </w:rPr>
            </w:pPr>
          </w:p>
        </w:tc>
        <w:tc>
          <w:tcPr>
            <w:tcW w:w="2020" w:type="dxa"/>
            <w:vAlign w:val="bottom"/>
            <w:shd w:val="clear" w:color="auto" w:fill="F2F2F2"/>
          </w:tcPr>
          <w:p>
            <w:pPr>
              <w:spacing w:after="0"/>
              <w:rPr>
                <w:sz w:val="7"/>
                <w:szCs w:val="7"/>
                <w:color w:val="auto"/>
              </w:rPr>
            </w:pPr>
          </w:p>
        </w:tc>
      </w:tr>
      <w:tr>
        <w:trPr>
          <w:trHeight w:val="291"/>
        </w:trPr>
        <w:tc>
          <w:tcPr>
            <w:tcW w:w="344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4100" w:type="dxa"/>
            <w:vAlign w:val="bottom"/>
          </w:tcPr>
          <w:p>
            <w:pPr>
              <w:jc w:val="right"/>
              <w:ind w:right="1022"/>
              <w:spacing w:after="0"/>
              <w:rPr>
                <w:sz w:val="20"/>
                <w:szCs w:val="20"/>
                <w:color w:val="auto"/>
              </w:rPr>
            </w:pPr>
            <w:r>
              <w:rPr>
                <w:rFonts w:ascii="Arial" w:cs="Arial" w:eastAsia="Arial" w:hAnsi="Arial"/>
                <w:sz w:val="16"/>
                <w:szCs w:val="16"/>
                <w:color w:val="auto"/>
              </w:rPr>
              <w:t>65%</w:t>
            </w:r>
          </w:p>
        </w:tc>
        <w:tc>
          <w:tcPr>
            <w:tcW w:w="2020" w:type="dxa"/>
            <w:vAlign w:val="bottom"/>
          </w:tcPr>
          <w:p>
            <w:pPr>
              <w:jc w:val="center"/>
              <w:spacing w:after="0"/>
              <w:rPr>
                <w:sz w:val="20"/>
                <w:szCs w:val="20"/>
                <w:color w:val="auto"/>
              </w:rPr>
            </w:pPr>
            <w:r>
              <w:rPr>
                <w:rFonts w:ascii="Arial" w:cs="Arial" w:eastAsia="Arial" w:hAnsi="Arial"/>
                <w:sz w:val="16"/>
                <w:szCs w:val="16"/>
                <w:color w:val="auto"/>
              </w:rPr>
              <w:t>216,557</w:t>
            </w:r>
          </w:p>
        </w:tc>
      </w:tr>
      <w:tr>
        <w:trPr>
          <w:trHeight w:val="87"/>
        </w:trPr>
        <w:tc>
          <w:tcPr>
            <w:tcW w:w="344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291"/>
        </w:trPr>
        <w:tc>
          <w:tcPr>
            <w:tcW w:w="3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4100" w:type="dxa"/>
            <w:vAlign w:val="bottom"/>
            <w:shd w:val="clear" w:color="auto" w:fill="F2F2F2"/>
          </w:tcPr>
          <w:p>
            <w:pPr>
              <w:jc w:val="right"/>
              <w:ind w:right="1022"/>
              <w:spacing w:after="0"/>
              <w:rPr>
                <w:sz w:val="20"/>
                <w:szCs w:val="20"/>
                <w:color w:val="auto"/>
              </w:rPr>
            </w:pPr>
            <w:r>
              <w:rPr>
                <w:rFonts w:ascii="Arial" w:cs="Arial" w:eastAsia="Arial" w:hAnsi="Arial"/>
                <w:sz w:val="16"/>
                <w:szCs w:val="16"/>
                <w:color w:val="auto"/>
              </w:rPr>
              <w:t>100%</w:t>
            </w:r>
          </w:p>
        </w:tc>
        <w:tc>
          <w:tcPr>
            <w:tcW w:w="2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516,393</w:t>
            </w:r>
          </w:p>
        </w:tc>
      </w:tr>
      <w:tr>
        <w:trPr>
          <w:trHeight w:val="87"/>
        </w:trPr>
        <w:tc>
          <w:tcPr>
            <w:tcW w:w="3440" w:type="dxa"/>
            <w:vAlign w:val="bottom"/>
            <w:shd w:val="clear" w:color="auto" w:fill="F2F2F2"/>
          </w:tcPr>
          <w:p>
            <w:pPr>
              <w:spacing w:after="0"/>
              <w:rPr>
                <w:sz w:val="7"/>
                <w:szCs w:val="7"/>
                <w:color w:val="auto"/>
              </w:rPr>
            </w:pPr>
          </w:p>
        </w:tc>
        <w:tc>
          <w:tcPr>
            <w:tcW w:w="4100" w:type="dxa"/>
            <w:vAlign w:val="bottom"/>
            <w:shd w:val="clear" w:color="auto" w:fill="F2F2F2"/>
          </w:tcPr>
          <w:p>
            <w:pPr>
              <w:spacing w:after="0"/>
              <w:rPr>
                <w:sz w:val="7"/>
                <w:szCs w:val="7"/>
                <w:color w:val="auto"/>
              </w:rPr>
            </w:pPr>
          </w:p>
        </w:tc>
        <w:tc>
          <w:tcPr>
            <w:tcW w:w="2020" w:type="dxa"/>
            <w:vAlign w:val="bottom"/>
            <w:shd w:val="clear" w:color="auto" w:fill="F2F2F2"/>
          </w:tcPr>
          <w:p>
            <w:pPr>
              <w:spacing w:after="0"/>
              <w:rPr>
                <w:sz w:val="7"/>
                <w:szCs w:val="7"/>
                <w:color w:val="auto"/>
              </w:rPr>
            </w:pPr>
          </w:p>
        </w:tc>
      </w:tr>
      <w:tr>
        <w:trPr>
          <w:trHeight w:val="291"/>
        </w:trPr>
        <w:tc>
          <w:tcPr>
            <w:tcW w:w="344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4100" w:type="dxa"/>
            <w:vAlign w:val="bottom"/>
          </w:tcPr>
          <w:p>
            <w:pPr>
              <w:jc w:val="right"/>
              <w:ind w:right="1022"/>
              <w:spacing w:after="0"/>
              <w:rPr>
                <w:sz w:val="20"/>
                <w:szCs w:val="20"/>
                <w:color w:val="auto"/>
              </w:rPr>
            </w:pPr>
            <w:r>
              <w:rPr>
                <w:rFonts w:ascii="Arial" w:cs="Arial" w:eastAsia="Arial" w:hAnsi="Arial"/>
                <w:sz w:val="16"/>
                <w:szCs w:val="16"/>
                <w:color w:val="auto"/>
              </w:rPr>
              <w:t>65%</w:t>
            </w:r>
          </w:p>
        </w:tc>
        <w:tc>
          <w:tcPr>
            <w:tcW w:w="2020" w:type="dxa"/>
            <w:vAlign w:val="bottom"/>
          </w:tcPr>
          <w:p>
            <w:pPr>
              <w:jc w:val="center"/>
              <w:spacing w:after="0"/>
              <w:rPr>
                <w:sz w:val="20"/>
                <w:szCs w:val="20"/>
                <w:color w:val="auto"/>
              </w:rPr>
            </w:pPr>
            <w:r>
              <w:rPr>
                <w:rFonts w:ascii="Arial" w:cs="Arial" w:eastAsia="Arial" w:hAnsi="Arial"/>
                <w:sz w:val="16"/>
                <w:szCs w:val="16"/>
                <w:color w:val="auto"/>
              </w:rPr>
              <w:t>308,750</w:t>
            </w:r>
          </w:p>
        </w:tc>
      </w:tr>
      <w:tr>
        <w:trPr>
          <w:trHeight w:val="87"/>
        </w:trPr>
        <w:tc>
          <w:tcPr>
            <w:tcW w:w="344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291"/>
        </w:trPr>
        <w:tc>
          <w:tcPr>
            <w:tcW w:w="3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Ajay V. Vashee</w:t>
            </w:r>
          </w:p>
        </w:tc>
        <w:tc>
          <w:tcPr>
            <w:tcW w:w="4100" w:type="dxa"/>
            <w:vAlign w:val="bottom"/>
            <w:shd w:val="clear" w:color="auto" w:fill="F2F2F2"/>
          </w:tcPr>
          <w:p>
            <w:pPr>
              <w:jc w:val="right"/>
              <w:ind w:right="1022"/>
              <w:spacing w:after="0"/>
              <w:rPr>
                <w:sz w:val="20"/>
                <w:szCs w:val="20"/>
                <w:color w:val="auto"/>
              </w:rPr>
            </w:pPr>
            <w:r>
              <w:rPr>
                <w:rFonts w:ascii="Arial" w:cs="Arial" w:eastAsia="Arial" w:hAnsi="Arial"/>
                <w:sz w:val="16"/>
                <w:szCs w:val="16"/>
                <w:color w:val="auto"/>
              </w:rPr>
              <w:t>65%</w:t>
            </w:r>
          </w:p>
        </w:tc>
        <w:tc>
          <w:tcPr>
            <w:tcW w:w="2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357,500</w:t>
            </w:r>
          </w:p>
        </w:tc>
      </w:tr>
      <w:tr>
        <w:trPr>
          <w:trHeight w:val="87"/>
        </w:trPr>
        <w:tc>
          <w:tcPr>
            <w:tcW w:w="3440" w:type="dxa"/>
            <w:vAlign w:val="bottom"/>
            <w:shd w:val="clear" w:color="auto" w:fill="F2F2F2"/>
          </w:tcPr>
          <w:p>
            <w:pPr>
              <w:spacing w:after="0"/>
              <w:rPr>
                <w:sz w:val="7"/>
                <w:szCs w:val="7"/>
                <w:color w:val="auto"/>
              </w:rPr>
            </w:pPr>
          </w:p>
        </w:tc>
        <w:tc>
          <w:tcPr>
            <w:tcW w:w="4100" w:type="dxa"/>
            <w:vAlign w:val="bottom"/>
            <w:shd w:val="clear" w:color="auto" w:fill="F2F2F2"/>
          </w:tcPr>
          <w:p>
            <w:pPr>
              <w:spacing w:after="0"/>
              <w:rPr>
                <w:sz w:val="7"/>
                <w:szCs w:val="7"/>
                <w:color w:val="auto"/>
              </w:rPr>
            </w:pPr>
          </w:p>
        </w:tc>
        <w:tc>
          <w:tcPr>
            <w:tcW w:w="2020" w:type="dxa"/>
            <w:vAlign w:val="bottom"/>
            <w:shd w:val="clear" w:color="auto" w:fill="F2F2F2"/>
          </w:tcPr>
          <w:p>
            <w:pPr>
              <w:spacing w:after="0"/>
              <w:rPr>
                <w:sz w:val="7"/>
                <w:szCs w:val="7"/>
                <w:color w:val="auto"/>
              </w:rPr>
            </w:pPr>
          </w:p>
        </w:tc>
      </w:tr>
      <w:tr>
        <w:trPr>
          <w:trHeight w:val="426"/>
        </w:trPr>
        <w:tc>
          <w:tcPr>
            <w:tcW w:w="3440" w:type="dxa"/>
            <w:vAlign w:val="bottom"/>
          </w:tcPr>
          <w:p>
            <w:pPr>
              <w:ind w:left="60"/>
              <w:spacing w:after="0"/>
              <w:rPr>
                <w:sz w:val="20"/>
                <w:szCs w:val="20"/>
                <w:color w:val="auto"/>
              </w:rPr>
            </w:pPr>
            <w:r>
              <w:rPr>
                <w:rFonts w:ascii="Arial" w:cs="Arial" w:eastAsia="Arial" w:hAnsi="Arial"/>
                <w:sz w:val="16"/>
                <w:szCs w:val="16"/>
                <w:color w:val="auto"/>
              </w:rPr>
              <w:t>Olivia Nottebohm</w:t>
            </w:r>
            <w:r>
              <w:rPr>
                <w:rFonts w:ascii="Arial" w:cs="Arial" w:eastAsia="Arial" w:hAnsi="Arial"/>
                <w:sz w:val="26"/>
                <w:szCs w:val="26"/>
                <w:color w:val="auto"/>
                <w:vertAlign w:val="superscript"/>
              </w:rPr>
              <w:t>(1)</w:t>
            </w:r>
          </w:p>
        </w:tc>
        <w:tc>
          <w:tcPr>
            <w:tcW w:w="4100" w:type="dxa"/>
            <w:vAlign w:val="bottom"/>
          </w:tcPr>
          <w:p>
            <w:pPr>
              <w:jc w:val="right"/>
              <w:ind w:right="1022"/>
              <w:spacing w:after="0"/>
              <w:rPr>
                <w:sz w:val="20"/>
                <w:szCs w:val="20"/>
                <w:color w:val="auto"/>
              </w:rPr>
            </w:pPr>
            <w:r>
              <w:rPr>
                <w:rFonts w:ascii="Arial" w:cs="Arial" w:eastAsia="Arial" w:hAnsi="Arial"/>
                <w:sz w:val="16"/>
                <w:szCs w:val="16"/>
                <w:color w:val="auto"/>
              </w:rPr>
              <w:t>100%</w:t>
            </w:r>
          </w:p>
        </w:tc>
        <w:tc>
          <w:tcPr>
            <w:tcW w:w="2020" w:type="dxa"/>
            <w:vAlign w:val="bottom"/>
          </w:tcPr>
          <w:p>
            <w:pPr>
              <w:jc w:val="center"/>
              <w:spacing w:after="0"/>
              <w:rPr>
                <w:sz w:val="20"/>
                <w:szCs w:val="20"/>
                <w:color w:val="auto"/>
              </w:rPr>
            </w:pPr>
            <w:r>
              <w:rPr>
                <w:rFonts w:ascii="Arial" w:cs="Arial" w:eastAsia="Arial" w:hAnsi="Arial"/>
                <w:sz w:val="16"/>
                <w:szCs w:val="16"/>
                <w:color w:val="auto"/>
              </w:rPr>
              <w:t>450,819</w:t>
            </w:r>
          </w:p>
        </w:tc>
      </w:tr>
    </w:tbl>
    <w:p>
      <w:pPr>
        <w:spacing w:after="0" w:line="38" w:lineRule="exact"/>
        <w:rPr>
          <w:sz w:val="20"/>
          <w:szCs w:val="20"/>
          <w:color w:val="auto"/>
        </w:rPr>
      </w:pPr>
    </w:p>
    <w:p>
      <w:pPr>
        <w:ind w:left="4"/>
        <w:spacing w:after="0"/>
        <w:rPr>
          <w:sz w:val="20"/>
          <w:szCs w:val="20"/>
          <w:color w:val="auto"/>
        </w:rPr>
      </w:pPr>
      <w:r>
        <w:rPr>
          <w:rFonts w:ascii="Arial" w:cs="Arial" w:eastAsia="Arial" w:hAnsi="Arial"/>
          <w:sz w:val="14"/>
          <w:szCs w:val="14"/>
          <w:color w:val="auto"/>
        </w:rPr>
        <w:t>(1) Ms. Nottebohm joined the company in February 2020 and her bonus opportunity was pro-rated to her start date.</w:t>
      </w:r>
    </w:p>
    <w:p>
      <w:pPr>
        <w:spacing w:after="0" w:line="160" w:lineRule="exact"/>
        <w:rPr>
          <w:sz w:val="20"/>
          <w:szCs w:val="20"/>
          <w:color w:val="auto"/>
        </w:rPr>
      </w:pPr>
    </w:p>
    <w:p>
      <w:pPr>
        <w:ind w:left="4" w:right="300"/>
        <w:spacing w:after="0" w:line="251" w:lineRule="auto"/>
        <w:rPr>
          <w:sz w:val="20"/>
          <w:szCs w:val="20"/>
          <w:color w:val="auto"/>
        </w:rPr>
      </w:pPr>
      <w:r>
        <w:rPr>
          <w:rFonts w:ascii="Arial" w:cs="Arial" w:eastAsia="Arial" w:hAnsi="Arial"/>
          <w:sz w:val="16"/>
          <w:szCs w:val="16"/>
          <w:color w:val="auto"/>
        </w:rPr>
        <w:t>Mr. Regan’s target bonus was increased from 50% to 65% in connection with his promotion to CFO. The increase was effective September 15, 2020, and his target annual cash bonus opportunity was pro-rated such that it would be based on 65% of his base salary for the portion of the 2020 fiscal year he spent as CFO and 50% of his base salary for the portion of the 2020 fiscal year he spent in his prior role.</w:t>
      </w:r>
    </w:p>
    <w:p>
      <w:pPr>
        <w:spacing w:after="0" w:line="148" w:lineRule="exact"/>
        <w:rPr>
          <w:sz w:val="20"/>
          <w:szCs w:val="20"/>
          <w:color w:val="auto"/>
        </w:rPr>
      </w:pPr>
    </w:p>
    <w:p>
      <w:pPr>
        <w:ind w:left="4" w:right="80"/>
        <w:spacing w:after="0" w:line="260" w:lineRule="auto"/>
        <w:rPr>
          <w:sz w:val="20"/>
          <w:szCs w:val="20"/>
          <w:color w:val="auto"/>
        </w:rPr>
      </w:pPr>
      <w:r>
        <w:rPr>
          <w:rFonts w:ascii="Arial" w:cs="Arial" w:eastAsia="Arial" w:hAnsi="Arial"/>
          <w:sz w:val="16"/>
          <w:szCs w:val="16"/>
          <w:color w:val="auto"/>
        </w:rPr>
        <w:t>Potential annual cash bonus payments for our executive officers under the 2020 Cash Bonus Plan ranged from zero to 225% of their target annual cash bonus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191135</wp:posOffset>
            </wp:positionV>
            <wp:extent cx="4843145" cy="1225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4314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Performance Measure</w:t>
      </w:r>
    </w:p>
    <w:p>
      <w:pPr>
        <w:spacing w:after="0" w:line="187" w:lineRule="exact"/>
        <w:rPr>
          <w:sz w:val="20"/>
          <w:szCs w:val="20"/>
          <w:color w:val="auto"/>
        </w:rPr>
      </w:pPr>
    </w:p>
    <w:p>
      <w:pPr>
        <w:ind w:left="4" w:right="120"/>
        <w:spacing w:after="0" w:line="248" w:lineRule="auto"/>
        <w:rPr>
          <w:sz w:val="20"/>
          <w:szCs w:val="20"/>
          <w:color w:val="auto"/>
        </w:rPr>
      </w:pPr>
      <w:r>
        <w:rPr>
          <w:rFonts w:ascii="Arial" w:cs="Arial" w:eastAsia="Arial" w:hAnsi="Arial"/>
          <w:sz w:val="16"/>
          <w:szCs w:val="16"/>
          <w:color w:val="auto"/>
        </w:rPr>
        <w:t>The compensation committee approved annual revenue and non-GAAP operating margin, each weighted equally, as components of the corporate performance measure under the 2020 Cash Bonus Plan because we believe incorporating both annual revenue and non-GAAP operating margin aligns with our emphasis on driving profitable growth. For purposes of the 2020 Cash Bonus Plan, “annual revenue” was calculated by excluding the impact of foreign exchange from our annual revenue reflected in our audited financial statements for the 2020 fiscal year and “non-GAAP operating margin” was calculated to exclude the impact of stock-based compensation expense, acquisition-related and other expenses, intangibles amortization, and impairment charges related to real estate assets. The total bonus funding percentage for the corporate performance measure is equal to 50% of the sum of the bonus funding percentages for the annual revenue and non-GAAP operating margin components.</w:t>
      </w:r>
    </w:p>
    <w:p>
      <w:pPr>
        <w:spacing w:after="0" w:line="153"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In March 2020, the compensation committee set the target performance levels under the 2020 Cash Bonus Plan at (i) $1,911 million for annual revenue and (ii) 17.8% for non-GAAP operating margin. In addition, the compensation committee approved the performance matrix for funding the 2020 Cash Bonus Plan (as described below), with a 10% reduction to actual payouts to our named executive officers if the company’s stock-based compensation expense exceeded $281 million for the 2020 fiscal year.</w:t>
      </w:r>
    </w:p>
    <w:p>
      <w:pPr>
        <w:spacing w:after="0" w:line="148"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With respect to the annual revenue component, the bonus funding was 0% if we did not achieve annual revenue at the threshold revenue performance level, which is 98% of the target performance level. At the threshold revenue performance level, the annual revenue bonus funding percentage was 50%. For annual revenue above the threshold performance level and below 99.5% the target performance level, the annual revenue bonus funding percentage increased linearly up to an annual revenue bonus funding</w:t>
      </w:r>
    </w:p>
    <w:p>
      <w:pPr>
        <w:spacing w:after="0" w:line="187" w:lineRule="exact"/>
        <w:rPr>
          <w:sz w:val="20"/>
          <w:szCs w:val="20"/>
          <w:color w:val="auto"/>
        </w:rPr>
      </w:pPr>
    </w:p>
    <w:p>
      <w:pPr>
        <w:ind w:left="524" w:hanging="524"/>
        <w:spacing w:after="0"/>
        <w:tabs>
          <w:tab w:leader="none" w:pos="524"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2" w:name="page43"/>
    <w:bookmarkEnd w:id="4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right="820"/>
        <w:spacing w:after="0" w:line="251" w:lineRule="auto"/>
        <w:rPr>
          <w:sz w:val="20"/>
          <w:szCs w:val="20"/>
          <w:color w:val="auto"/>
        </w:rPr>
      </w:pPr>
      <w:r>
        <w:rPr>
          <w:rFonts w:ascii="Arial" w:cs="Arial" w:eastAsia="Arial" w:hAnsi="Arial"/>
          <w:sz w:val="16"/>
          <w:szCs w:val="16"/>
          <w:color w:val="auto"/>
        </w:rPr>
        <w:t>percentage of 95%. For revenue performance ± 0.5% of the target revenue number, the annual revenue bonus funding percentage increased linearly from 95% to 105%. For revenue performance from 100.5% of the target revenue performance level to 102% of the target revenue performance level, the annual revenue bonus funding percentage increased linearly up to 150%. The maximum annual revenue bonus funding percentage is 150%.</w:t>
      </w:r>
    </w:p>
    <w:p>
      <w:pPr>
        <w:spacing w:after="0" w:line="148" w:lineRule="exact"/>
        <w:rPr>
          <w:sz w:val="20"/>
          <w:szCs w:val="20"/>
          <w:color w:val="auto"/>
        </w:rPr>
      </w:pPr>
    </w:p>
    <w:p>
      <w:pPr>
        <w:ind w:left="720" w:right="860"/>
        <w:spacing w:after="0" w:line="250" w:lineRule="auto"/>
        <w:rPr>
          <w:sz w:val="20"/>
          <w:szCs w:val="20"/>
          <w:color w:val="auto"/>
        </w:rPr>
      </w:pPr>
      <w:r>
        <w:rPr>
          <w:rFonts w:ascii="Arial" w:cs="Arial" w:eastAsia="Arial" w:hAnsi="Arial"/>
          <w:sz w:val="16"/>
          <w:szCs w:val="16"/>
          <w:color w:val="auto"/>
        </w:rPr>
        <w:t>With respect to the non-GAAP operating margin component, the bonus funding was 0% if we did not achieve non-GAAP operating margin at the threshold performance level of 16.7%. At the threshold non-GAAP operating margin performance level, the non-GAAP operating margin bonus funding percentage was 50%. For non-GAAP operating margin above the threshold performance level, the non-GAAP operating margin bonus funding percentage increased linearly up to the maximum non-GAAP operating margin bonus funding percentage of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33020</wp:posOffset>
            </wp:positionV>
            <wp:extent cx="6077585" cy="805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7585" cy="805815"/>
                    </a:xfrm>
                    <a:prstGeom prst="rect">
                      <a:avLst/>
                    </a:prstGeom>
                    <a:noFill/>
                  </pic:spPr>
                </pic:pic>
              </a:graphicData>
            </a:graphic>
          </wp:anchor>
        </w:drawing>
      </w:r>
    </w:p>
    <w:p>
      <w:pPr>
        <w:spacing w:after="0" w:line="32" w:lineRule="exact"/>
        <w:rPr>
          <w:sz w:val="20"/>
          <w:szCs w:val="20"/>
          <w:color w:val="auto"/>
        </w:rPr>
      </w:pPr>
    </w:p>
    <w:tbl>
      <w:tblPr>
        <w:tblLayout w:type="fixed"/>
        <w:tblInd w:w="720" w:type="dxa"/>
        <w:tblCellMar>
          <w:top w:w="0" w:type="dxa"/>
          <w:left w:w="0" w:type="dxa"/>
          <w:bottom w:w="0" w:type="dxa"/>
          <w:right w:w="0" w:type="dxa"/>
        </w:tblCellMar>
      </w:tblPr>
      <w:tr>
        <w:trPr>
          <w:trHeight w:val="261"/>
        </w:trPr>
        <w:tc>
          <w:tcPr>
            <w:tcW w:w="3560" w:type="dxa"/>
            <w:vAlign w:val="bottom"/>
            <w:shd w:val="clear" w:color="auto" w:fill="0063A6"/>
          </w:tcPr>
          <w:p>
            <w:pPr>
              <w:spacing w:after="0"/>
              <w:rPr>
                <w:sz w:val="22"/>
                <w:szCs w:val="22"/>
                <w:color w:val="auto"/>
              </w:rPr>
            </w:pPr>
          </w:p>
        </w:tc>
        <w:tc>
          <w:tcPr>
            <w:tcW w:w="2100" w:type="dxa"/>
            <w:vAlign w:val="bottom"/>
            <w:vMerge w:val="restart"/>
            <w:shd w:val="clear" w:color="auto" w:fill="0063A6"/>
          </w:tcPr>
          <w:p>
            <w:pPr>
              <w:jc w:val="center"/>
              <w:ind w:left="1022"/>
              <w:spacing w:after="0"/>
              <w:rPr>
                <w:sz w:val="20"/>
                <w:szCs w:val="20"/>
                <w:color w:val="auto"/>
              </w:rPr>
            </w:pPr>
            <w:r>
              <w:rPr>
                <w:rFonts w:ascii="Arial" w:cs="Arial" w:eastAsia="Arial" w:hAnsi="Arial"/>
                <w:sz w:val="14"/>
                <w:szCs w:val="14"/>
                <w:b w:val="1"/>
                <w:bCs w:val="1"/>
                <w:color w:val="FFFFFF"/>
              </w:rPr>
              <w:t>Weight</w:t>
            </w:r>
          </w:p>
        </w:tc>
        <w:tc>
          <w:tcPr>
            <w:tcW w:w="1300" w:type="dxa"/>
            <w:vAlign w:val="bottom"/>
            <w:shd w:val="clear" w:color="auto" w:fill="0063A6"/>
          </w:tcPr>
          <w:p>
            <w:pPr>
              <w:ind w:left="280"/>
              <w:spacing w:after="0"/>
              <w:rPr>
                <w:sz w:val="20"/>
                <w:szCs w:val="20"/>
                <w:color w:val="auto"/>
              </w:rPr>
            </w:pPr>
            <w:r>
              <w:rPr>
                <w:rFonts w:ascii="Arial" w:cs="Arial" w:eastAsia="Arial" w:hAnsi="Arial"/>
                <w:sz w:val="14"/>
                <w:szCs w:val="14"/>
                <w:b w:val="1"/>
                <w:bCs w:val="1"/>
                <w:color w:val="FFFFFF"/>
              </w:rPr>
              <w:t>Threshold</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220" w:type="dxa"/>
            <w:vAlign w:val="bottom"/>
            <w:shd w:val="clear" w:color="auto" w:fill="0063A6"/>
          </w:tcPr>
          <w:p>
            <w:pPr>
              <w:jc w:val="center"/>
              <w:ind w:left="44"/>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86"/>
        </w:trPr>
        <w:tc>
          <w:tcPr>
            <w:tcW w:w="3560" w:type="dxa"/>
            <w:vAlign w:val="bottom"/>
            <w:shd w:val="clear" w:color="auto" w:fill="0063A6"/>
          </w:tcPr>
          <w:p>
            <w:pPr>
              <w:spacing w:after="0"/>
              <w:rPr>
                <w:sz w:val="16"/>
                <w:szCs w:val="16"/>
                <w:color w:val="auto"/>
              </w:rPr>
            </w:pPr>
          </w:p>
        </w:tc>
        <w:tc>
          <w:tcPr>
            <w:tcW w:w="2100" w:type="dxa"/>
            <w:vAlign w:val="bottom"/>
            <w:vMerge w:val="continue"/>
            <w:shd w:val="clear" w:color="auto" w:fill="0063A6"/>
          </w:tcPr>
          <w:p>
            <w:pPr>
              <w:spacing w:after="0"/>
              <w:rPr>
                <w:sz w:val="16"/>
                <w:szCs w:val="16"/>
                <w:color w:val="auto"/>
              </w:rPr>
            </w:pPr>
          </w:p>
        </w:tc>
        <w:tc>
          <w:tcPr>
            <w:tcW w:w="1300" w:type="dxa"/>
            <w:vAlign w:val="bottom"/>
            <w:shd w:val="clear" w:color="auto" w:fill="0063A6"/>
          </w:tcPr>
          <w:p>
            <w:pPr>
              <w:ind w:left="260"/>
              <w:spacing w:after="0"/>
              <w:rPr>
                <w:sz w:val="20"/>
                <w:szCs w:val="20"/>
                <w:color w:val="auto"/>
              </w:rPr>
            </w:pPr>
            <w:r>
              <w:rPr>
                <w:rFonts w:ascii="Arial" w:cs="Arial" w:eastAsia="Arial" w:hAnsi="Arial"/>
                <w:sz w:val="14"/>
                <w:szCs w:val="14"/>
                <w:i w:val="1"/>
                <w:iCs w:val="1"/>
                <w:color w:val="FFFFFF"/>
              </w:rPr>
              <w:t>50% Payout</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i w:val="1"/>
                <w:iCs w:val="1"/>
                <w:color w:val="FFFFFF"/>
              </w:rPr>
              <w:t>100% Payout</w:t>
            </w:r>
          </w:p>
        </w:tc>
        <w:tc>
          <w:tcPr>
            <w:tcW w:w="1220" w:type="dxa"/>
            <w:vAlign w:val="bottom"/>
            <w:shd w:val="clear" w:color="auto" w:fill="0063A6"/>
          </w:tcPr>
          <w:p>
            <w:pPr>
              <w:jc w:val="center"/>
              <w:ind w:left="84"/>
              <w:spacing w:after="0"/>
              <w:rPr>
                <w:sz w:val="20"/>
                <w:szCs w:val="20"/>
                <w:color w:val="auto"/>
              </w:rPr>
            </w:pPr>
            <w:r>
              <w:rPr>
                <w:rFonts w:ascii="Arial" w:cs="Arial" w:eastAsia="Arial" w:hAnsi="Arial"/>
                <w:sz w:val="14"/>
                <w:szCs w:val="14"/>
                <w:i w:val="1"/>
                <w:iCs w:val="1"/>
                <w:color w:val="FFFFFF"/>
              </w:rPr>
              <w:t>150% Payout</w:t>
            </w:r>
          </w:p>
        </w:tc>
        <w:tc>
          <w:tcPr>
            <w:tcW w:w="0" w:type="dxa"/>
            <w:vAlign w:val="bottom"/>
          </w:tcPr>
          <w:p>
            <w:pPr>
              <w:spacing w:after="0"/>
              <w:rPr>
                <w:sz w:val="1"/>
                <w:szCs w:val="1"/>
                <w:color w:val="auto"/>
              </w:rPr>
            </w:pPr>
          </w:p>
        </w:tc>
      </w:tr>
      <w:tr>
        <w:trPr>
          <w:trHeight w:val="79"/>
        </w:trPr>
        <w:tc>
          <w:tcPr>
            <w:tcW w:w="3560" w:type="dxa"/>
            <w:vAlign w:val="bottom"/>
            <w:shd w:val="clear" w:color="auto" w:fill="0063A6"/>
          </w:tcPr>
          <w:p>
            <w:pPr>
              <w:spacing w:after="0"/>
              <w:rPr>
                <w:sz w:val="6"/>
                <w:szCs w:val="6"/>
                <w:color w:val="auto"/>
              </w:rPr>
            </w:pPr>
          </w:p>
        </w:tc>
        <w:tc>
          <w:tcPr>
            <w:tcW w:w="2100" w:type="dxa"/>
            <w:vAlign w:val="bottom"/>
            <w:shd w:val="clear" w:color="auto" w:fill="0063A6"/>
          </w:tcPr>
          <w:p>
            <w:pPr>
              <w:spacing w:after="0"/>
              <w:rPr>
                <w:sz w:val="6"/>
                <w:szCs w:val="6"/>
                <w:color w:val="auto"/>
              </w:rPr>
            </w:pPr>
          </w:p>
        </w:tc>
        <w:tc>
          <w:tcPr>
            <w:tcW w:w="1300" w:type="dxa"/>
            <w:vAlign w:val="bottom"/>
            <w:shd w:val="clear" w:color="auto" w:fill="0063A6"/>
          </w:tcPr>
          <w:p>
            <w:pPr>
              <w:spacing w:after="0"/>
              <w:rPr>
                <w:sz w:val="6"/>
                <w:szCs w:val="6"/>
                <w:color w:val="auto"/>
              </w:rPr>
            </w:pPr>
          </w:p>
        </w:tc>
        <w:tc>
          <w:tcPr>
            <w:tcW w:w="1380" w:type="dxa"/>
            <w:vAlign w:val="bottom"/>
            <w:shd w:val="clear" w:color="auto" w:fill="0063A6"/>
          </w:tcPr>
          <w:p>
            <w:pPr>
              <w:spacing w:after="0"/>
              <w:rPr>
                <w:sz w:val="6"/>
                <w:szCs w:val="6"/>
                <w:color w:val="auto"/>
              </w:rPr>
            </w:pPr>
          </w:p>
        </w:tc>
        <w:tc>
          <w:tcPr>
            <w:tcW w:w="122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3560" w:type="dxa"/>
            <w:vAlign w:val="bottom"/>
            <w:shd w:val="clear" w:color="auto" w:fill="F2F2F2"/>
          </w:tcPr>
          <w:p>
            <w:pPr>
              <w:ind w:left="80"/>
              <w:spacing w:after="0"/>
              <w:rPr>
                <w:sz w:val="20"/>
                <w:szCs w:val="20"/>
                <w:color w:val="auto"/>
              </w:rPr>
            </w:pPr>
            <w:r>
              <w:rPr>
                <w:rFonts w:ascii="Arial" w:cs="Arial" w:eastAsia="Arial" w:hAnsi="Arial"/>
                <w:sz w:val="16"/>
                <w:szCs w:val="16"/>
                <w:color w:val="auto"/>
              </w:rPr>
              <w:t>Revenue ($M)</w:t>
            </w:r>
          </w:p>
        </w:tc>
        <w:tc>
          <w:tcPr>
            <w:tcW w:w="2100" w:type="dxa"/>
            <w:vAlign w:val="bottom"/>
            <w:shd w:val="clear" w:color="auto" w:fill="F2F2F2"/>
          </w:tcPr>
          <w:p>
            <w:pPr>
              <w:jc w:val="center"/>
              <w:ind w:left="1022"/>
              <w:spacing w:after="0"/>
              <w:rPr>
                <w:sz w:val="20"/>
                <w:szCs w:val="20"/>
                <w:color w:val="auto"/>
              </w:rPr>
            </w:pPr>
            <w:r>
              <w:rPr>
                <w:rFonts w:ascii="Arial" w:cs="Arial" w:eastAsia="Arial" w:hAnsi="Arial"/>
                <w:sz w:val="16"/>
                <w:szCs w:val="16"/>
                <w:color w:val="auto"/>
                <w:w w:val="99"/>
              </w:rPr>
              <w:t>50%</w:t>
            </w:r>
          </w:p>
        </w:tc>
        <w:tc>
          <w:tcPr>
            <w:tcW w:w="1300" w:type="dxa"/>
            <w:vAlign w:val="bottom"/>
            <w:shd w:val="clear" w:color="auto" w:fill="F2F2F2"/>
          </w:tcPr>
          <w:p>
            <w:pPr>
              <w:jc w:val="right"/>
              <w:ind w:right="324"/>
              <w:spacing w:after="0"/>
              <w:rPr>
                <w:sz w:val="20"/>
                <w:szCs w:val="20"/>
                <w:color w:val="auto"/>
              </w:rPr>
            </w:pPr>
            <w:r>
              <w:rPr>
                <w:rFonts w:ascii="Arial" w:cs="Arial" w:eastAsia="Arial" w:hAnsi="Arial"/>
                <w:sz w:val="16"/>
                <w:szCs w:val="16"/>
                <w:color w:val="auto"/>
              </w:rPr>
              <w:t>$1,872</w:t>
            </w:r>
          </w:p>
        </w:tc>
        <w:tc>
          <w:tcPr>
            <w:tcW w:w="1380" w:type="dxa"/>
            <w:vAlign w:val="bottom"/>
            <w:shd w:val="clear" w:color="auto" w:fill="F2F2F2"/>
          </w:tcPr>
          <w:p>
            <w:pPr>
              <w:jc w:val="right"/>
              <w:ind w:right="364"/>
              <w:spacing w:after="0"/>
              <w:rPr>
                <w:sz w:val="20"/>
                <w:szCs w:val="20"/>
                <w:color w:val="auto"/>
              </w:rPr>
            </w:pPr>
            <w:r>
              <w:rPr>
                <w:rFonts w:ascii="Arial" w:cs="Arial" w:eastAsia="Arial" w:hAnsi="Arial"/>
                <w:sz w:val="16"/>
                <w:szCs w:val="16"/>
                <w:color w:val="auto"/>
              </w:rPr>
              <w:t>$1,911</w:t>
            </w:r>
          </w:p>
        </w:tc>
        <w:tc>
          <w:tcPr>
            <w:tcW w:w="1220" w:type="dxa"/>
            <w:vAlign w:val="bottom"/>
            <w:shd w:val="clear" w:color="auto" w:fill="F2F2F2"/>
          </w:tcPr>
          <w:p>
            <w:pPr>
              <w:jc w:val="right"/>
              <w:ind w:right="204"/>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87"/>
        </w:trPr>
        <w:tc>
          <w:tcPr>
            <w:tcW w:w="3560" w:type="dxa"/>
            <w:vAlign w:val="bottom"/>
            <w:shd w:val="clear" w:color="auto" w:fill="F2F2F2"/>
          </w:tcPr>
          <w:p>
            <w:pPr>
              <w:spacing w:after="0"/>
              <w:rPr>
                <w:sz w:val="7"/>
                <w:szCs w:val="7"/>
                <w:color w:val="auto"/>
              </w:rPr>
            </w:pPr>
          </w:p>
        </w:tc>
        <w:tc>
          <w:tcPr>
            <w:tcW w:w="210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560" w:type="dxa"/>
            <w:vAlign w:val="bottom"/>
          </w:tcPr>
          <w:p>
            <w:pPr>
              <w:ind w:left="80"/>
              <w:spacing w:after="0"/>
              <w:rPr>
                <w:sz w:val="20"/>
                <w:szCs w:val="20"/>
                <w:color w:val="auto"/>
              </w:rPr>
            </w:pPr>
            <w:r>
              <w:rPr>
                <w:rFonts w:ascii="Arial" w:cs="Arial" w:eastAsia="Arial" w:hAnsi="Arial"/>
                <w:sz w:val="16"/>
                <w:szCs w:val="16"/>
                <w:color w:val="auto"/>
              </w:rPr>
              <w:t>Non-GAAP Operating Margin</w:t>
            </w:r>
          </w:p>
        </w:tc>
        <w:tc>
          <w:tcPr>
            <w:tcW w:w="2100" w:type="dxa"/>
            <w:vAlign w:val="bottom"/>
          </w:tcPr>
          <w:p>
            <w:pPr>
              <w:jc w:val="center"/>
              <w:ind w:left="1022"/>
              <w:spacing w:after="0"/>
              <w:rPr>
                <w:sz w:val="20"/>
                <w:szCs w:val="20"/>
                <w:color w:val="auto"/>
              </w:rPr>
            </w:pPr>
            <w:r>
              <w:rPr>
                <w:rFonts w:ascii="Arial" w:cs="Arial" w:eastAsia="Arial" w:hAnsi="Arial"/>
                <w:sz w:val="16"/>
                <w:szCs w:val="16"/>
                <w:color w:val="auto"/>
                <w:w w:val="99"/>
              </w:rPr>
              <w:t>50%</w:t>
            </w:r>
          </w:p>
        </w:tc>
        <w:tc>
          <w:tcPr>
            <w:tcW w:w="1300" w:type="dxa"/>
            <w:vAlign w:val="bottom"/>
          </w:tcPr>
          <w:p>
            <w:pPr>
              <w:jc w:val="right"/>
              <w:ind w:right="344"/>
              <w:spacing w:after="0"/>
              <w:rPr>
                <w:sz w:val="20"/>
                <w:szCs w:val="20"/>
                <w:color w:val="auto"/>
              </w:rPr>
            </w:pPr>
            <w:r>
              <w:rPr>
                <w:rFonts w:ascii="Arial" w:cs="Arial" w:eastAsia="Arial" w:hAnsi="Arial"/>
                <w:sz w:val="16"/>
                <w:szCs w:val="16"/>
                <w:color w:val="auto"/>
              </w:rPr>
              <w:t>16.7%</w:t>
            </w:r>
          </w:p>
        </w:tc>
        <w:tc>
          <w:tcPr>
            <w:tcW w:w="1380" w:type="dxa"/>
            <w:vAlign w:val="bottom"/>
          </w:tcPr>
          <w:p>
            <w:pPr>
              <w:jc w:val="right"/>
              <w:ind w:right="384"/>
              <w:spacing w:after="0"/>
              <w:rPr>
                <w:sz w:val="20"/>
                <w:szCs w:val="20"/>
                <w:color w:val="auto"/>
              </w:rPr>
            </w:pPr>
            <w:r>
              <w:rPr>
                <w:rFonts w:ascii="Arial" w:cs="Arial" w:eastAsia="Arial" w:hAnsi="Arial"/>
                <w:sz w:val="16"/>
                <w:szCs w:val="16"/>
                <w:color w:val="auto"/>
              </w:rPr>
              <w:t>17.8%</w:t>
            </w:r>
          </w:p>
        </w:tc>
        <w:tc>
          <w:tcPr>
            <w:tcW w:w="1220" w:type="dxa"/>
            <w:vAlign w:val="bottom"/>
          </w:tcPr>
          <w:p>
            <w:pPr>
              <w:jc w:val="right"/>
              <w:ind w:right="224"/>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158115</wp:posOffset>
            </wp:positionV>
            <wp:extent cx="6000750" cy="1714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87" w:lineRule="exact"/>
        <w:rPr>
          <w:sz w:val="20"/>
          <w:szCs w:val="20"/>
          <w:color w:val="auto"/>
        </w:rPr>
      </w:pPr>
    </w:p>
    <w:p>
      <w:pPr>
        <w:ind w:left="720" w:right="940"/>
        <w:spacing w:after="0" w:line="248" w:lineRule="auto"/>
        <w:rPr>
          <w:sz w:val="20"/>
          <w:szCs w:val="20"/>
          <w:color w:val="auto"/>
        </w:rPr>
      </w:pPr>
      <w:r>
        <w:rPr>
          <w:rFonts w:ascii="Arial" w:cs="Arial" w:eastAsia="Arial" w:hAnsi="Arial"/>
          <w:sz w:val="16"/>
          <w:szCs w:val="16"/>
          <w:color w:val="auto"/>
        </w:rPr>
        <w:t>In determining the amount of annual cash bonus payments under the 2020 Cash Bonus Plan, the compensation committee considered an evaluation of each executive officer’s individual performance for the year. Generally, this evaluation involved, in the case of our chief executive officer, an evaluation of his performance by the compensation committee and, in the case of our other executive officers, an evaluation by our chief executive officer. These evaluations were based on a review of the various individual performance goals established for our executive officers as part of our annual performance evaluation process. For our executive officers other than our chief executive officer, these goals were established, after consultation with each executive officer. These performance goals were not intended to be formulaic, but rather to serve as the framework upon which our chief executive officer could evaluate the executive officer’s overall performance. Such performance goals were established with reference to each individual executive officer’s position or function within the company and included operational metrics that could reflect corporate or departmental goals or could include specific operational goals with respect to their area of responsibility.</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2020 Annual Cash Bonus Decisions</w:t>
      </w:r>
    </w:p>
    <w:p>
      <w:pPr>
        <w:spacing w:after="0" w:line="187" w:lineRule="exact"/>
        <w:rPr>
          <w:sz w:val="20"/>
          <w:szCs w:val="20"/>
          <w:color w:val="auto"/>
        </w:rPr>
      </w:pPr>
    </w:p>
    <w:p>
      <w:pPr>
        <w:ind w:left="720" w:right="840"/>
        <w:spacing w:after="0" w:line="248" w:lineRule="auto"/>
        <w:rPr>
          <w:sz w:val="20"/>
          <w:szCs w:val="20"/>
          <w:color w:val="auto"/>
        </w:rPr>
      </w:pPr>
      <w:r>
        <w:rPr>
          <w:rFonts w:ascii="Arial" w:cs="Arial" w:eastAsia="Arial" w:hAnsi="Arial"/>
          <w:sz w:val="16"/>
          <w:szCs w:val="16"/>
          <w:color w:val="auto"/>
        </w:rPr>
        <w:t>In March 2021, the compensation committee, based on its evaluation, as well as the recommendation of our chief executive officer, determined the size of the bonus pool based on our performance during 2020 and determined the cash bonus payments for our executive officers, including our named executive officers, pursuant to the 2020 Cash Bonus Plan. The compensation committee reviewed our actual annual revenue performance for 2020 and determined that we had achieved annual revenue of $1,915 million, which was approximately 100% of our annual revenue target for the year. In addition, the compensation committee determined that we had achieved non-GAAP operating margin of 21.4% compared to our target of 17.8% for the year. Management subsequently reviewed our actual annual revenue and non-GAAP operating margin performance and determined that a portion of our results were driven by cost savings related to the COVID-19 pandemic such as reduced office costs and reduced travel expenses.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39</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3" w:name="page44"/>
    <w:bookmarkEnd w:id="4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right="340"/>
        <w:spacing w:after="0" w:line="251" w:lineRule="auto"/>
        <w:rPr>
          <w:sz w:val="20"/>
          <w:szCs w:val="20"/>
          <w:color w:val="auto"/>
        </w:rPr>
      </w:pPr>
      <w:r>
        <w:rPr>
          <w:rFonts w:ascii="Arial" w:cs="Arial" w:eastAsia="Arial" w:hAnsi="Arial"/>
          <w:sz w:val="16"/>
          <w:szCs w:val="16"/>
          <w:color w:val="auto"/>
        </w:rPr>
        <w:t>management recommended that the compensation committee exercise its discretion to cap the bonus funding percentage for the corporate performance measure at 115% of target to account for the cost savings driven by the COVID-19 pandemic. The compensation committee approved management’s proposal, resulting in a bonus funding percentage of 115% with respect to the corporate performance measure.</w:t>
      </w:r>
    </w:p>
    <w:p>
      <w:pPr>
        <w:spacing w:after="0" w:line="148" w:lineRule="exact"/>
        <w:rPr>
          <w:sz w:val="20"/>
          <w:szCs w:val="20"/>
          <w:color w:val="auto"/>
        </w:rPr>
      </w:pPr>
    </w:p>
    <w:p>
      <w:pPr>
        <w:ind w:left="4" w:right="80"/>
        <w:spacing w:after="0" w:line="249" w:lineRule="auto"/>
        <w:rPr>
          <w:sz w:val="20"/>
          <w:szCs w:val="20"/>
          <w:color w:val="auto"/>
        </w:rPr>
      </w:pPr>
      <w:r>
        <w:rPr>
          <w:rFonts w:ascii="Arial" w:cs="Arial" w:eastAsia="Arial" w:hAnsi="Arial"/>
          <w:sz w:val="16"/>
          <w:szCs w:val="16"/>
          <w:color w:val="auto"/>
        </w:rPr>
        <w:t>Our chief executive officer evaluated the achievement of each executive officer against his or her individual performance objectives and formulated a recommendation for each such executive officer’s annual cash bonus payment for consideration by the compensation committee. These recommendations were based on our chief executive officer’s subjective assessment of each individual’s contributions against the personal performance objectives during the year. In the case of our chief executive officer, the compensation committee evaluated our financial and operational performance for 2020 and formulated a recommended annual cash bonus payment for him.</w:t>
      </w:r>
    </w:p>
    <w:p>
      <w:pPr>
        <w:spacing w:after="0" w:line="151" w:lineRule="exact"/>
        <w:rPr>
          <w:sz w:val="20"/>
          <w:szCs w:val="20"/>
          <w:color w:val="auto"/>
        </w:rPr>
      </w:pPr>
    </w:p>
    <w:p>
      <w:pPr>
        <w:ind w:left="4" w:right="260"/>
        <w:spacing w:after="0" w:line="253" w:lineRule="auto"/>
        <w:rPr>
          <w:sz w:val="20"/>
          <w:szCs w:val="20"/>
          <w:color w:val="auto"/>
        </w:rPr>
      </w:pPr>
      <w:r>
        <w:rPr>
          <w:rFonts w:ascii="Arial" w:cs="Arial" w:eastAsia="Arial" w:hAnsi="Arial"/>
          <w:sz w:val="16"/>
          <w:szCs w:val="16"/>
          <w:color w:val="auto"/>
        </w:rPr>
        <w:t>Based on these evaluations, the compensation committee approved the annual cash bonus payments for our named executive officers for 2020 in the table below. Since stock-based compensation expense did not exceed $281 million for the 2020 fiscal year, there was no reduction to the annual cash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6077585" cy="1560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7585" cy="1560195"/>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560" w:type="dxa"/>
            <w:vAlign w:val="bottom"/>
            <w:shd w:val="clear" w:color="auto" w:fill="0063A6"/>
          </w:tcPr>
          <w:p>
            <w:pPr>
              <w:spacing w:after="0"/>
              <w:rPr>
                <w:sz w:val="22"/>
                <w:szCs w:val="22"/>
                <w:color w:val="auto"/>
              </w:rPr>
            </w:pPr>
          </w:p>
        </w:tc>
        <w:tc>
          <w:tcPr>
            <w:tcW w:w="2500" w:type="dxa"/>
            <w:vAlign w:val="bottom"/>
            <w:shd w:val="clear" w:color="auto" w:fill="0063A6"/>
          </w:tcPr>
          <w:p>
            <w:pPr>
              <w:jc w:val="center"/>
              <w:ind w:left="401"/>
              <w:spacing w:after="0"/>
              <w:rPr>
                <w:sz w:val="20"/>
                <w:szCs w:val="20"/>
                <w:color w:val="auto"/>
              </w:rPr>
            </w:pPr>
            <w:r>
              <w:rPr>
                <w:rFonts w:ascii="Arial" w:cs="Arial" w:eastAsia="Arial" w:hAnsi="Arial"/>
                <w:sz w:val="14"/>
                <w:szCs w:val="14"/>
                <w:b w:val="1"/>
                <w:bCs w:val="1"/>
                <w:color w:val="FFFFFF"/>
              </w:rPr>
              <w:t>Target Annual Cash</w:t>
            </w: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Annual Cash Bonus</w:t>
            </w:r>
          </w:p>
        </w:tc>
        <w:tc>
          <w:tcPr>
            <w:tcW w:w="2440" w:type="dxa"/>
            <w:vAlign w:val="bottom"/>
            <w:shd w:val="clear" w:color="auto" w:fill="0063A6"/>
          </w:tcPr>
          <w:p>
            <w:pPr>
              <w:jc w:val="right"/>
              <w:ind w:right="61"/>
              <w:spacing w:after="0"/>
              <w:rPr>
                <w:sz w:val="20"/>
                <w:szCs w:val="20"/>
                <w:color w:val="auto"/>
              </w:rPr>
            </w:pPr>
            <w:r>
              <w:rPr>
                <w:rFonts w:ascii="Arial" w:cs="Arial" w:eastAsia="Arial" w:hAnsi="Arial"/>
                <w:sz w:val="14"/>
                <w:szCs w:val="14"/>
                <w:b w:val="1"/>
                <w:bCs w:val="1"/>
                <w:color w:val="FFFFFF"/>
              </w:rPr>
              <w:t>Percentage of Target Annual</w:t>
            </w:r>
          </w:p>
        </w:tc>
      </w:tr>
      <w:tr>
        <w:trPr>
          <w:trHeight w:val="223"/>
        </w:trPr>
        <w:tc>
          <w:tcPr>
            <w:tcW w:w="25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500" w:type="dxa"/>
            <w:vAlign w:val="bottom"/>
            <w:tcBorders>
              <w:bottom w:val="single" w:sz="8" w:color="0063A6"/>
            </w:tcBorders>
            <w:shd w:val="clear" w:color="auto" w:fill="0063A6"/>
          </w:tcPr>
          <w:p>
            <w:pPr>
              <w:jc w:val="center"/>
              <w:ind w:left="441"/>
              <w:spacing w:after="0"/>
              <w:rPr>
                <w:sz w:val="20"/>
                <w:szCs w:val="20"/>
                <w:color w:val="auto"/>
              </w:rPr>
            </w:pPr>
            <w:r>
              <w:rPr>
                <w:rFonts w:ascii="Arial" w:cs="Arial" w:eastAsia="Arial" w:hAnsi="Arial"/>
                <w:sz w:val="14"/>
                <w:szCs w:val="14"/>
                <w:b w:val="1"/>
                <w:bCs w:val="1"/>
                <w:color w:val="FFFFFF"/>
              </w:rPr>
              <w:t>Bonus Payment ($)</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Payment ($)</w:t>
            </w:r>
          </w:p>
        </w:tc>
        <w:tc>
          <w:tcPr>
            <w:tcW w:w="2440" w:type="dxa"/>
            <w:vAlign w:val="bottom"/>
            <w:tcBorders>
              <w:bottom w:val="single" w:sz="8" w:color="0063A6"/>
            </w:tcBorders>
            <w:shd w:val="clear" w:color="auto" w:fill="0063A6"/>
          </w:tcPr>
          <w:p>
            <w:pPr>
              <w:jc w:val="right"/>
              <w:ind w:right="121"/>
              <w:spacing w:after="0"/>
              <w:rPr>
                <w:sz w:val="20"/>
                <w:szCs w:val="20"/>
                <w:color w:val="auto"/>
              </w:rPr>
            </w:pPr>
            <w:r>
              <w:rPr>
                <w:rFonts w:ascii="Arial" w:cs="Arial" w:eastAsia="Arial" w:hAnsi="Arial"/>
                <w:sz w:val="14"/>
                <w:szCs w:val="14"/>
                <w:b w:val="1"/>
                <w:bCs w:val="1"/>
                <w:color w:val="FFFFFF"/>
              </w:rPr>
              <w:t>Cash Bonus Actually Paid</w:t>
            </w:r>
          </w:p>
        </w:tc>
      </w:tr>
      <w:tr>
        <w:trPr>
          <w:trHeight w:val="304"/>
        </w:trPr>
        <w:tc>
          <w:tcPr>
            <w:tcW w:w="2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500" w:type="dxa"/>
            <w:vAlign w:val="bottom"/>
            <w:tcBorders>
              <w:bottom w:val="single" w:sz="8" w:color="F2F2F2"/>
            </w:tcBorders>
            <w:shd w:val="clear" w:color="auto" w:fill="F2F2F2"/>
          </w:tcPr>
          <w:p>
            <w:pPr>
              <w:jc w:val="center"/>
              <w:ind w:left="401"/>
              <w:spacing w:after="0"/>
              <w:rPr>
                <w:sz w:val="20"/>
                <w:szCs w:val="20"/>
                <w:color w:val="auto"/>
              </w:rPr>
            </w:pPr>
            <w:r>
              <w:rPr>
                <w:rFonts w:ascii="Arial" w:cs="Arial" w:eastAsia="Arial" w:hAnsi="Arial"/>
                <w:sz w:val="16"/>
                <w:szCs w:val="16"/>
                <w:color w:val="auto"/>
              </w:rPr>
              <w:t>587,295</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675,389</w:t>
            </w:r>
          </w:p>
        </w:tc>
        <w:tc>
          <w:tcPr>
            <w:tcW w:w="2440" w:type="dxa"/>
            <w:vAlign w:val="bottom"/>
            <w:tcBorders>
              <w:bottom w:val="single" w:sz="8" w:color="F2F2F2"/>
            </w:tcBorders>
            <w:shd w:val="clear" w:color="auto" w:fill="F2F2F2"/>
          </w:tcPr>
          <w:p>
            <w:pPr>
              <w:jc w:val="right"/>
              <w:ind w:right="841"/>
              <w:spacing w:after="0"/>
              <w:rPr>
                <w:sz w:val="20"/>
                <w:szCs w:val="20"/>
                <w:color w:val="auto"/>
              </w:rPr>
            </w:pPr>
            <w:r>
              <w:rPr>
                <w:rFonts w:ascii="Arial" w:cs="Arial" w:eastAsia="Arial" w:hAnsi="Arial"/>
                <w:sz w:val="16"/>
                <w:szCs w:val="16"/>
                <w:color w:val="auto"/>
              </w:rPr>
              <w:t>115%</w:t>
            </w:r>
          </w:p>
        </w:tc>
      </w:tr>
      <w:tr>
        <w:trPr>
          <w:trHeight w:val="264"/>
        </w:trPr>
        <w:tc>
          <w:tcPr>
            <w:tcW w:w="25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500" w:type="dxa"/>
            <w:vAlign w:val="bottom"/>
          </w:tcPr>
          <w:p>
            <w:pPr>
              <w:jc w:val="center"/>
              <w:ind w:left="401"/>
              <w:spacing w:after="0"/>
              <w:rPr>
                <w:sz w:val="20"/>
                <w:szCs w:val="20"/>
                <w:color w:val="auto"/>
              </w:rPr>
            </w:pPr>
            <w:r>
              <w:rPr>
                <w:rFonts w:ascii="Arial" w:cs="Arial" w:eastAsia="Arial" w:hAnsi="Arial"/>
                <w:sz w:val="16"/>
                <w:szCs w:val="16"/>
                <w:color w:val="auto"/>
              </w:rPr>
              <w:t>216,577</w:t>
            </w:r>
          </w:p>
        </w:tc>
        <w:tc>
          <w:tcPr>
            <w:tcW w:w="2060" w:type="dxa"/>
            <w:vAlign w:val="bottom"/>
          </w:tcPr>
          <w:p>
            <w:pPr>
              <w:jc w:val="center"/>
              <w:spacing w:after="0"/>
              <w:rPr>
                <w:sz w:val="20"/>
                <w:szCs w:val="20"/>
                <w:color w:val="auto"/>
              </w:rPr>
            </w:pPr>
            <w:r>
              <w:rPr>
                <w:rFonts w:ascii="Arial" w:cs="Arial" w:eastAsia="Arial" w:hAnsi="Arial"/>
                <w:sz w:val="16"/>
                <w:szCs w:val="16"/>
                <w:color w:val="auto"/>
              </w:rPr>
              <w:t>373,595</w:t>
            </w:r>
          </w:p>
        </w:tc>
        <w:tc>
          <w:tcPr>
            <w:tcW w:w="2440" w:type="dxa"/>
            <w:vAlign w:val="bottom"/>
          </w:tcPr>
          <w:p>
            <w:pPr>
              <w:jc w:val="right"/>
              <w:ind w:right="841"/>
              <w:spacing w:after="0"/>
              <w:rPr>
                <w:sz w:val="20"/>
                <w:szCs w:val="20"/>
                <w:color w:val="auto"/>
              </w:rPr>
            </w:pPr>
            <w:r>
              <w:rPr>
                <w:rFonts w:ascii="Arial" w:cs="Arial" w:eastAsia="Arial" w:hAnsi="Arial"/>
                <w:sz w:val="16"/>
                <w:szCs w:val="16"/>
                <w:color w:val="auto"/>
              </w:rPr>
              <w:t>172%</w:t>
            </w:r>
          </w:p>
        </w:tc>
      </w:tr>
      <w:tr>
        <w:trPr>
          <w:trHeight w:val="60"/>
        </w:trPr>
        <w:tc>
          <w:tcPr>
            <w:tcW w:w="25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440" w:type="dxa"/>
            <w:vAlign w:val="bottom"/>
          </w:tcPr>
          <w:p>
            <w:pPr>
              <w:spacing w:after="0"/>
              <w:rPr>
                <w:sz w:val="5"/>
                <w:szCs w:val="5"/>
                <w:color w:val="auto"/>
              </w:rPr>
            </w:pPr>
          </w:p>
        </w:tc>
      </w:tr>
      <w:tr>
        <w:trPr>
          <w:trHeight w:val="304"/>
        </w:trPr>
        <w:tc>
          <w:tcPr>
            <w:tcW w:w="2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500" w:type="dxa"/>
            <w:vAlign w:val="bottom"/>
            <w:tcBorders>
              <w:bottom w:val="single" w:sz="8" w:color="F2F2F2"/>
            </w:tcBorders>
            <w:shd w:val="clear" w:color="auto" w:fill="F2F2F2"/>
          </w:tcPr>
          <w:p>
            <w:pPr>
              <w:jc w:val="center"/>
              <w:ind w:left="401"/>
              <w:spacing w:after="0"/>
              <w:rPr>
                <w:sz w:val="20"/>
                <w:szCs w:val="20"/>
                <w:color w:val="auto"/>
              </w:rPr>
            </w:pPr>
            <w:r>
              <w:rPr>
                <w:rFonts w:ascii="Arial" w:cs="Arial" w:eastAsia="Arial" w:hAnsi="Arial"/>
                <w:sz w:val="16"/>
                <w:szCs w:val="16"/>
                <w:color w:val="auto"/>
              </w:rPr>
              <w:t>516,393</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890,778</w:t>
            </w:r>
          </w:p>
        </w:tc>
        <w:tc>
          <w:tcPr>
            <w:tcW w:w="2440" w:type="dxa"/>
            <w:vAlign w:val="bottom"/>
            <w:tcBorders>
              <w:bottom w:val="single" w:sz="8" w:color="F2F2F2"/>
            </w:tcBorders>
            <w:shd w:val="clear" w:color="auto" w:fill="F2F2F2"/>
          </w:tcPr>
          <w:p>
            <w:pPr>
              <w:jc w:val="right"/>
              <w:ind w:right="841"/>
              <w:spacing w:after="0"/>
              <w:rPr>
                <w:sz w:val="20"/>
                <w:szCs w:val="20"/>
                <w:color w:val="auto"/>
              </w:rPr>
            </w:pPr>
            <w:r>
              <w:rPr>
                <w:rFonts w:ascii="Arial" w:cs="Arial" w:eastAsia="Arial" w:hAnsi="Arial"/>
                <w:sz w:val="16"/>
                <w:szCs w:val="16"/>
                <w:color w:val="auto"/>
              </w:rPr>
              <w:t>173%</w:t>
            </w:r>
          </w:p>
        </w:tc>
      </w:tr>
      <w:tr>
        <w:trPr>
          <w:trHeight w:val="264"/>
        </w:trPr>
        <w:tc>
          <w:tcPr>
            <w:tcW w:w="25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500" w:type="dxa"/>
            <w:vAlign w:val="bottom"/>
          </w:tcPr>
          <w:p>
            <w:pPr>
              <w:jc w:val="center"/>
              <w:ind w:left="401"/>
              <w:spacing w:after="0"/>
              <w:rPr>
                <w:sz w:val="20"/>
                <w:szCs w:val="20"/>
                <w:color w:val="auto"/>
              </w:rPr>
            </w:pPr>
            <w:r>
              <w:rPr>
                <w:rFonts w:ascii="Arial" w:cs="Arial" w:eastAsia="Arial" w:hAnsi="Arial"/>
                <w:sz w:val="16"/>
                <w:szCs w:val="16"/>
                <w:color w:val="auto"/>
              </w:rPr>
              <w:t>308,750</w:t>
            </w:r>
          </w:p>
        </w:tc>
        <w:tc>
          <w:tcPr>
            <w:tcW w:w="2060" w:type="dxa"/>
            <w:vAlign w:val="bottom"/>
          </w:tcPr>
          <w:p>
            <w:pPr>
              <w:jc w:val="center"/>
              <w:spacing w:after="0"/>
              <w:rPr>
                <w:sz w:val="20"/>
                <w:szCs w:val="20"/>
                <w:color w:val="auto"/>
              </w:rPr>
            </w:pPr>
            <w:r>
              <w:rPr>
                <w:rFonts w:ascii="Arial" w:cs="Arial" w:eastAsia="Arial" w:hAnsi="Arial"/>
                <w:sz w:val="16"/>
                <w:szCs w:val="16"/>
                <w:color w:val="auto"/>
              </w:rPr>
              <w:t>408,322</w:t>
            </w:r>
          </w:p>
        </w:tc>
        <w:tc>
          <w:tcPr>
            <w:tcW w:w="2440" w:type="dxa"/>
            <w:vAlign w:val="bottom"/>
          </w:tcPr>
          <w:p>
            <w:pPr>
              <w:jc w:val="right"/>
              <w:ind w:right="841"/>
              <w:spacing w:after="0"/>
              <w:rPr>
                <w:sz w:val="20"/>
                <w:szCs w:val="20"/>
                <w:color w:val="auto"/>
              </w:rPr>
            </w:pPr>
            <w:r>
              <w:rPr>
                <w:rFonts w:ascii="Arial" w:cs="Arial" w:eastAsia="Arial" w:hAnsi="Arial"/>
                <w:sz w:val="16"/>
                <w:szCs w:val="16"/>
                <w:color w:val="auto"/>
              </w:rPr>
              <w:t>132%</w:t>
            </w:r>
          </w:p>
        </w:tc>
      </w:tr>
      <w:tr>
        <w:trPr>
          <w:trHeight w:val="60"/>
        </w:trPr>
        <w:tc>
          <w:tcPr>
            <w:tcW w:w="25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440" w:type="dxa"/>
            <w:vAlign w:val="bottom"/>
          </w:tcPr>
          <w:p>
            <w:pPr>
              <w:spacing w:after="0"/>
              <w:rPr>
                <w:sz w:val="5"/>
                <w:szCs w:val="5"/>
                <w:color w:val="auto"/>
              </w:rPr>
            </w:pPr>
          </w:p>
        </w:tc>
      </w:tr>
      <w:tr>
        <w:trPr>
          <w:trHeight w:val="324"/>
        </w:trPr>
        <w:tc>
          <w:tcPr>
            <w:tcW w:w="25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Ajay V. Vashee</w:t>
            </w:r>
            <w:r>
              <w:rPr>
                <w:rFonts w:ascii="Arial" w:cs="Arial" w:eastAsia="Arial" w:hAnsi="Arial"/>
                <w:sz w:val="26"/>
                <w:szCs w:val="26"/>
                <w:color w:val="auto"/>
                <w:vertAlign w:val="superscript"/>
              </w:rPr>
              <w:t>(1)</w:t>
            </w:r>
          </w:p>
        </w:tc>
        <w:tc>
          <w:tcPr>
            <w:tcW w:w="2500" w:type="dxa"/>
            <w:vAlign w:val="bottom"/>
            <w:shd w:val="clear" w:color="auto" w:fill="F2F2F2"/>
          </w:tcPr>
          <w:p>
            <w:pPr>
              <w:jc w:val="center"/>
              <w:ind w:left="401"/>
              <w:spacing w:after="0"/>
              <w:rPr>
                <w:sz w:val="20"/>
                <w:szCs w:val="20"/>
                <w:color w:val="auto"/>
              </w:rPr>
            </w:pPr>
            <w:r>
              <w:rPr>
                <w:rFonts w:ascii="Arial" w:cs="Arial" w:eastAsia="Arial" w:hAnsi="Arial"/>
                <w:sz w:val="16"/>
                <w:szCs w:val="16"/>
                <w:color w:val="auto"/>
              </w:rPr>
              <w:t>357,500</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F2F2F2"/>
          </w:tcPr>
          <w:p>
            <w:pPr>
              <w:jc w:val="right"/>
              <w:ind w:right="841"/>
              <w:spacing w:after="0"/>
              <w:rPr>
                <w:sz w:val="20"/>
                <w:szCs w:val="20"/>
                <w:color w:val="auto"/>
              </w:rPr>
            </w:pPr>
            <w:r>
              <w:rPr>
                <w:rFonts w:ascii="Arial" w:cs="Arial" w:eastAsia="Arial" w:hAnsi="Arial"/>
                <w:sz w:val="16"/>
                <w:szCs w:val="16"/>
                <w:color w:val="auto"/>
              </w:rPr>
              <w:t>0%</w:t>
            </w:r>
          </w:p>
        </w:tc>
      </w:tr>
      <w:tr>
        <w:trPr>
          <w:trHeight w:val="399"/>
        </w:trPr>
        <w:tc>
          <w:tcPr>
            <w:tcW w:w="2560" w:type="dxa"/>
            <w:vAlign w:val="bottom"/>
          </w:tcPr>
          <w:p>
            <w:pPr>
              <w:ind w:left="60"/>
              <w:spacing w:after="0"/>
              <w:rPr>
                <w:sz w:val="20"/>
                <w:szCs w:val="20"/>
                <w:color w:val="auto"/>
              </w:rPr>
            </w:pPr>
            <w:r>
              <w:rPr>
                <w:rFonts w:ascii="Arial" w:cs="Arial" w:eastAsia="Arial" w:hAnsi="Arial"/>
                <w:sz w:val="16"/>
                <w:szCs w:val="16"/>
                <w:color w:val="auto"/>
              </w:rPr>
              <w:t>Olivia Nottebohm</w:t>
            </w:r>
            <w:r>
              <w:rPr>
                <w:rFonts w:ascii="Arial" w:cs="Arial" w:eastAsia="Arial" w:hAnsi="Arial"/>
                <w:sz w:val="26"/>
                <w:szCs w:val="26"/>
                <w:color w:val="auto"/>
                <w:vertAlign w:val="superscript"/>
              </w:rPr>
              <w:t>(2)</w:t>
            </w:r>
          </w:p>
        </w:tc>
        <w:tc>
          <w:tcPr>
            <w:tcW w:w="2500" w:type="dxa"/>
            <w:vAlign w:val="bottom"/>
          </w:tcPr>
          <w:p>
            <w:pPr>
              <w:jc w:val="center"/>
              <w:ind w:left="401"/>
              <w:spacing w:after="0"/>
              <w:rPr>
                <w:sz w:val="20"/>
                <w:szCs w:val="20"/>
                <w:color w:val="auto"/>
              </w:rPr>
            </w:pPr>
            <w:r>
              <w:rPr>
                <w:rFonts w:ascii="Arial" w:cs="Arial" w:eastAsia="Arial" w:hAnsi="Arial"/>
                <w:sz w:val="16"/>
                <w:szCs w:val="16"/>
                <w:color w:val="auto"/>
              </w:rPr>
              <w:t>450,819</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40" w:type="dxa"/>
            <w:vAlign w:val="bottom"/>
          </w:tcPr>
          <w:p>
            <w:pPr>
              <w:jc w:val="right"/>
              <w:ind w:right="841"/>
              <w:spacing w:after="0"/>
              <w:rPr>
                <w:sz w:val="20"/>
                <w:szCs w:val="20"/>
                <w:color w:val="auto"/>
              </w:rPr>
            </w:pPr>
            <w:r>
              <w:rPr>
                <w:rFonts w:ascii="Arial" w:cs="Arial" w:eastAsia="Arial" w:hAnsi="Arial"/>
                <w:sz w:val="16"/>
                <w:szCs w:val="16"/>
                <w:color w:val="auto"/>
              </w:rPr>
              <w:t>0%</w:t>
            </w:r>
          </w:p>
        </w:tc>
      </w:tr>
    </w:tbl>
    <w:p>
      <w:pPr>
        <w:spacing w:after="0" w:line="38" w:lineRule="exact"/>
        <w:rPr>
          <w:sz w:val="20"/>
          <w:szCs w:val="20"/>
          <w:color w:val="auto"/>
        </w:rPr>
      </w:pPr>
    </w:p>
    <w:p>
      <w:pPr>
        <w:ind w:left="244" w:hanging="244"/>
        <w:spacing w:after="0"/>
        <w:tabs>
          <w:tab w:leader="none" w:pos="244"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Vashee resigned from the company in October 2020 and therefore was ineligible to receive his 2020 annual cash bonus.</w:t>
      </w:r>
    </w:p>
    <w:p>
      <w:pPr>
        <w:spacing w:after="0" w:line="14" w:lineRule="exact"/>
        <w:rPr>
          <w:rFonts w:ascii="Arial" w:cs="Arial" w:eastAsia="Arial" w:hAnsi="Arial"/>
          <w:sz w:val="14"/>
          <w:szCs w:val="14"/>
          <w:color w:val="auto"/>
        </w:rPr>
      </w:pPr>
    </w:p>
    <w:p>
      <w:pPr>
        <w:ind w:left="244" w:hanging="244"/>
        <w:spacing w:after="0"/>
        <w:tabs>
          <w:tab w:leader="none" w:pos="244"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Nottebohm resigned from the company in February 2021 and therefore was ineligible to receive her 2020 annual cash bonus.</w:t>
      </w:r>
    </w:p>
    <w:p>
      <w:pPr>
        <w:spacing w:after="0" w:line="144" w:lineRule="exact"/>
        <w:rPr>
          <w:sz w:val="20"/>
          <w:szCs w:val="20"/>
          <w:color w:val="auto"/>
        </w:rPr>
      </w:pPr>
    </w:p>
    <w:p>
      <w:pPr>
        <w:ind w:left="4" w:right="80"/>
        <w:spacing w:after="0" w:line="281" w:lineRule="auto"/>
        <w:rPr>
          <w:sz w:val="20"/>
          <w:szCs w:val="20"/>
          <w:color w:val="auto"/>
        </w:rPr>
      </w:pPr>
      <w:r>
        <w:rPr>
          <w:rFonts w:ascii="Arial" w:cs="Arial" w:eastAsia="Arial" w:hAnsi="Arial"/>
          <w:sz w:val="16"/>
          <w:szCs w:val="16"/>
          <w:color w:val="auto"/>
        </w:rPr>
        <w:t>The annual cash bonus payments made to our named executive officers for 2020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w:t>
      </w:r>
      <w:r>
        <w:rPr>
          <w:rFonts w:ascii="Arial" w:cs="Arial" w:eastAsia="Arial" w:hAnsi="Arial"/>
          <w:sz w:val="16"/>
          <w:szCs w:val="16"/>
          <w:i w:val="1"/>
          <w:iCs w:val="1"/>
          <w:color w:val="auto"/>
        </w:rPr>
        <w:t>for Fiscal Year 2020</w:t>
      </w:r>
      <w:r>
        <w:rPr>
          <w:rFonts w:ascii="Arial" w:cs="Arial" w:eastAsia="Arial" w:hAnsi="Arial"/>
          <w:sz w:val="16"/>
          <w:szCs w:val="16"/>
          <w:color w:val="auto"/>
        </w:rPr>
        <w:t>” below.</w:t>
      </w:r>
    </w:p>
    <w:p>
      <w:pPr>
        <w:spacing w:after="0" w:line="3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52"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We view long-term equity incentive compensation in the form of equity awards as a critical element of our executive compensation program. The realized value of these equity awards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48"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 xml:space="preserve">The amount and forms of the equity awards granted to our executive officers, including our named executive officers, are determined after considering the factors described in “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48"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auto"/>
        </w:rPr>
        <w:t>In January 2020, the compensation committee approved a new hire equity grant in the form of restricted stock awards, or RSAs, to Ms. Nottebohm, effective March 1, 2020. In March 2020, the compensation committee approved equity grants in the form of RSAs to Messrs. Volkmer and Vashee, each of which were effective April 1, 2020, and Mr. Regan was granted an equity award in the form of RSUs, effective April 1, 2020. In September 2020, the compensation committee approved an equity grant of RSAs, effective October 1, 2020, to Mr. Regan in connection with his promotion to CFO. In November 2020, the compensation committee approved an equity grant of RSAs, effective December 1, 2020, to Mr. Young in connection with his promotion to President. RSAs have certain stockholder rights, such as the right to vote the shares immediately upon grant and prior to their vesting.</w:t>
      </w:r>
    </w:p>
    <w:p>
      <w:pPr>
        <w:spacing w:after="0" w:line="154"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Differentiation was made among our executive officers based on the compensation committee’s review of the competitive market data for their respective positions, internal equity, past performance, and expected future contributions. Mr. Houston does not receive equity-based compensation in light of his significant ownership position in the company.</w:t>
      </w:r>
    </w:p>
    <w:p>
      <w:pPr>
        <w:spacing w:after="0" w:line="186" w:lineRule="exact"/>
        <w:rPr>
          <w:sz w:val="20"/>
          <w:szCs w:val="20"/>
          <w:color w:val="auto"/>
        </w:rPr>
      </w:pPr>
    </w:p>
    <w:p>
      <w:pPr>
        <w:ind w:left="524" w:hanging="524"/>
        <w:spacing w:after="0"/>
        <w:tabs>
          <w:tab w:leader="none" w:pos="524"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4" w:name="page45"/>
    <w:bookmarkEnd w:id="44"/>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equity awards granted to our named executive officers in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748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7585" cy="174879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840" w:type="dxa"/>
            <w:vAlign w:val="bottom"/>
            <w:shd w:val="clear" w:color="auto" w:fill="0063A6"/>
          </w:tcPr>
          <w:p>
            <w:pPr>
              <w:spacing w:after="0"/>
              <w:rPr>
                <w:sz w:val="22"/>
                <w:szCs w:val="22"/>
                <w:color w:val="auto"/>
              </w:rPr>
            </w:pPr>
          </w:p>
        </w:tc>
        <w:tc>
          <w:tcPr>
            <w:tcW w:w="3540" w:type="dxa"/>
            <w:vAlign w:val="bottom"/>
            <w:shd w:val="clear" w:color="auto" w:fill="0063A6"/>
          </w:tcPr>
          <w:p>
            <w:pPr>
              <w:spacing w:after="0"/>
              <w:rPr>
                <w:sz w:val="22"/>
                <w:szCs w:val="22"/>
                <w:color w:val="auto"/>
              </w:rPr>
            </w:pPr>
          </w:p>
        </w:tc>
        <w:tc>
          <w:tcPr>
            <w:tcW w:w="2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Aggregate Grant</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3540" w:type="dxa"/>
            <w:vAlign w:val="bottom"/>
            <w:tcBorders>
              <w:bottom w:val="single" w:sz="8" w:color="0063A6"/>
            </w:tcBorders>
            <w:shd w:val="clear" w:color="auto" w:fill="0063A6"/>
          </w:tcPr>
          <w:p>
            <w:pPr>
              <w:jc w:val="right"/>
              <w:ind w:right="420"/>
              <w:spacing w:after="0"/>
              <w:rPr>
                <w:sz w:val="20"/>
                <w:szCs w:val="20"/>
                <w:color w:val="auto"/>
              </w:rPr>
            </w:pPr>
            <w:r>
              <w:rPr>
                <w:rFonts w:ascii="Arial" w:cs="Arial" w:eastAsia="Arial" w:hAnsi="Arial"/>
                <w:sz w:val="14"/>
                <w:szCs w:val="14"/>
                <w:b w:val="1"/>
                <w:bCs w:val="1"/>
                <w:color w:val="FFFFFF"/>
              </w:rPr>
              <w:t>RSUs or RSAs</w:t>
            </w:r>
          </w:p>
        </w:tc>
        <w:tc>
          <w:tcPr>
            <w:tcW w:w="2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Date Fair Value ($)</w:t>
            </w:r>
          </w:p>
        </w:tc>
        <w:tc>
          <w:tcPr>
            <w:tcW w:w="0" w:type="dxa"/>
            <w:vAlign w:val="bottom"/>
          </w:tcPr>
          <w:p>
            <w:pPr>
              <w:spacing w:after="0"/>
              <w:rPr>
                <w:sz w:val="1"/>
                <w:szCs w:val="1"/>
                <w:color w:val="auto"/>
              </w:rPr>
            </w:pPr>
          </w:p>
        </w:tc>
      </w:tr>
      <w:tr>
        <w:trPr>
          <w:trHeight w:val="304"/>
        </w:trPr>
        <w:tc>
          <w:tcPr>
            <w:tcW w:w="38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3540" w:type="dxa"/>
            <w:vAlign w:val="bottom"/>
            <w:tcBorders>
              <w:bottom w:val="single" w:sz="8" w:color="F2F2F2"/>
            </w:tcBorders>
            <w:shd w:val="clear" w:color="auto" w:fill="F2F2F2"/>
          </w:tcPr>
          <w:p>
            <w:pPr>
              <w:jc w:val="right"/>
              <w:ind w:right="840"/>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0"/>
        </w:trPr>
        <w:tc>
          <w:tcPr>
            <w:tcW w:w="3840" w:type="dxa"/>
            <w:vAlign w:val="bottom"/>
            <w:vMerge w:val="restart"/>
          </w:tcPr>
          <w:p>
            <w:pPr>
              <w:ind w:left="80"/>
              <w:spacing w:after="0"/>
              <w:rPr>
                <w:sz w:val="20"/>
                <w:szCs w:val="20"/>
                <w:color w:val="auto"/>
              </w:rPr>
            </w:pPr>
            <w:r>
              <w:rPr>
                <w:rFonts w:ascii="Arial" w:cs="Arial" w:eastAsia="Arial" w:hAnsi="Arial"/>
                <w:sz w:val="16"/>
                <w:szCs w:val="16"/>
                <w:color w:val="auto"/>
              </w:rPr>
              <w:t>Timothy Regan</w:t>
            </w:r>
          </w:p>
        </w:tc>
        <w:tc>
          <w:tcPr>
            <w:tcW w:w="3540" w:type="dxa"/>
            <w:vAlign w:val="bottom"/>
          </w:tcPr>
          <w:p>
            <w:pPr>
              <w:jc w:val="right"/>
              <w:ind w:right="460"/>
              <w:spacing w:after="0"/>
              <w:rPr>
                <w:sz w:val="20"/>
                <w:szCs w:val="20"/>
                <w:color w:val="auto"/>
              </w:rPr>
            </w:pPr>
            <w:r>
              <w:rPr>
                <w:rFonts w:ascii="Arial" w:cs="Arial" w:eastAsia="Arial" w:hAnsi="Arial"/>
                <w:sz w:val="16"/>
                <w:szCs w:val="16"/>
                <w:color w:val="auto"/>
              </w:rPr>
              <w:t>55,770</w:t>
            </w:r>
            <w:r>
              <w:rPr>
                <w:rFonts w:ascii="Arial" w:cs="Arial" w:eastAsia="Arial" w:hAnsi="Arial"/>
                <w:sz w:val="26"/>
                <w:szCs w:val="26"/>
                <w:color w:val="auto"/>
                <w:vertAlign w:val="superscript"/>
              </w:rPr>
              <w:t>(1)</w:t>
            </w:r>
          </w:p>
        </w:tc>
        <w:tc>
          <w:tcPr>
            <w:tcW w:w="2180" w:type="dxa"/>
            <w:vAlign w:val="bottom"/>
          </w:tcPr>
          <w:p>
            <w:pPr>
              <w:jc w:val="right"/>
              <w:ind w:right="581"/>
              <w:spacing w:after="0"/>
              <w:rPr>
                <w:sz w:val="20"/>
                <w:szCs w:val="20"/>
                <w:color w:val="auto"/>
              </w:rPr>
            </w:pPr>
            <w:r>
              <w:rPr>
                <w:rFonts w:ascii="Arial" w:cs="Arial" w:eastAsia="Arial" w:hAnsi="Arial"/>
                <w:sz w:val="16"/>
                <w:szCs w:val="16"/>
                <w:color w:val="auto"/>
              </w:rPr>
              <w:t>1,009,437</w:t>
            </w:r>
          </w:p>
        </w:tc>
        <w:tc>
          <w:tcPr>
            <w:tcW w:w="0" w:type="dxa"/>
            <w:vAlign w:val="bottom"/>
          </w:tcPr>
          <w:p>
            <w:pPr>
              <w:spacing w:after="0"/>
              <w:rPr>
                <w:sz w:val="1"/>
                <w:szCs w:val="1"/>
                <w:color w:val="auto"/>
              </w:rPr>
            </w:pPr>
          </w:p>
        </w:tc>
      </w:tr>
      <w:tr>
        <w:trPr>
          <w:trHeight w:val="62"/>
        </w:trPr>
        <w:tc>
          <w:tcPr>
            <w:tcW w:w="3840" w:type="dxa"/>
            <w:vAlign w:val="bottom"/>
            <w:vMerge w:val="continue"/>
          </w:tcPr>
          <w:p>
            <w:pPr>
              <w:spacing w:after="0"/>
              <w:rPr>
                <w:sz w:val="5"/>
                <w:szCs w:val="5"/>
                <w:color w:val="auto"/>
              </w:rPr>
            </w:pPr>
          </w:p>
        </w:tc>
        <w:tc>
          <w:tcPr>
            <w:tcW w:w="3540" w:type="dxa"/>
            <w:vAlign w:val="bottom"/>
            <w:vMerge w:val="restart"/>
          </w:tcPr>
          <w:p>
            <w:pPr>
              <w:jc w:val="right"/>
              <w:ind w:right="460"/>
              <w:spacing w:after="0" w:line="271" w:lineRule="exact"/>
              <w:rPr>
                <w:sz w:val="20"/>
                <w:szCs w:val="20"/>
                <w:color w:val="auto"/>
              </w:rPr>
            </w:pPr>
            <w:r>
              <w:rPr>
                <w:rFonts w:ascii="Arial" w:cs="Arial" w:eastAsia="Arial" w:hAnsi="Arial"/>
                <w:sz w:val="16"/>
                <w:szCs w:val="16"/>
                <w:color w:val="auto"/>
              </w:rPr>
              <w:t>201,772</w:t>
            </w:r>
            <w:r>
              <w:rPr>
                <w:rFonts w:ascii="Arial" w:cs="Arial" w:eastAsia="Arial" w:hAnsi="Arial"/>
                <w:sz w:val="26"/>
                <w:szCs w:val="26"/>
                <w:color w:val="auto"/>
                <w:vertAlign w:val="superscript"/>
              </w:rPr>
              <w:t>(2)</w:t>
            </w:r>
          </w:p>
        </w:tc>
        <w:tc>
          <w:tcPr>
            <w:tcW w:w="2180" w:type="dxa"/>
            <w:vAlign w:val="bottom"/>
            <w:vMerge w:val="restart"/>
          </w:tcPr>
          <w:p>
            <w:pPr>
              <w:jc w:val="right"/>
              <w:ind w:right="581"/>
              <w:spacing w:after="0"/>
              <w:rPr>
                <w:sz w:val="20"/>
                <w:szCs w:val="20"/>
                <w:color w:val="auto"/>
              </w:rPr>
            </w:pPr>
            <w:r>
              <w:rPr>
                <w:rFonts w:ascii="Arial" w:cs="Arial" w:eastAsia="Arial" w:hAnsi="Arial"/>
                <w:sz w:val="16"/>
                <w:szCs w:val="16"/>
                <w:color w:val="auto"/>
              </w:rPr>
              <w:t>3,886,129</w:t>
            </w: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Timothy Young</w:t>
            </w:r>
            <w:r>
              <w:rPr>
                <w:rFonts w:ascii="Arial" w:cs="Arial" w:eastAsia="Arial" w:hAnsi="Arial"/>
                <w:sz w:val="26"/>
                <w:szCs w:val="26"/>
                <w:color w:val="auto"/>
                <w:vertAlign w:val="superscript"/>
              </w:rPr>
              <w:t>(3)</w:t>
            </w:r>
          </w:p>
        </w:tc>
        <w:tc>
          <w:tcPr>
            <w:tcW w:w="3540" w:type="dxa"/>
            <w:vAlign w:val="bottom"/>
            <w:shd w:val="clear" w:color="auto" w:fill="F2F2F2"/>
          </w:tcPr>
          <w:p>
            <w:pPr>
              <w:jc w:val="right"/>
              <w:ind w:right="460"/>
              <w:spacing w:after="0"/>
              <w:rPr>
                <w:sz w:val="20"/>
                <w:szCs w:val="20"/>
                <w:color w:val="auto"/>
              </w:rPr>
            </w:pPr>
            <w:r>
              <w:rPr>
                <w:rFonts w:ascii="Arial" w:cs="Arial" w:eastAsia="Arial" w:hAnsi="Arial"/>
                <w:sz w:val="16"/>
                <w:szCs w:val="16"/>
                <w:color w:val="auto"/>
              </w:rPr>
              <w:t>529,568</w:t>
            </w:r>
            <w:r>
              <w:rPr>
                <w:rFonts w:ascii="Arial" w:cs="Arial" w:eastAsia="Arial" w:hAnsi="Arial"/>
                <w:sz w:val="26"/>
                <w:szCs w:val="26"/>
                <w:color w:val="auto"/>
                <w:vertAlign w:val="superscript"/>
              </w:rPr>
              <w:t>(2)</w:t>
            </w:r>
          </w:p>
        </w:tc>
        <w:tc>
          <w:tcPr>
            <w:tcW w:w="2180" w:type="dxa"/>
            <w:vAlign w:val="bottom"/>
            <w:shd w:val="clear" w:color="auto" w:fill="F2F2F2"/>
          </w:tcPr>
          <w:p>
            <w:pPr>
              <w:jc w:val="right"/>
              <w:ind w:right="581"/>
              <w:spacing w:after="0"/>
              <w:rPr>
                <w:sz w:val="20"/>
                <w:szCs w:val="20"/>
                <w:color w:val="auto"/>
              </w:rPr>
            </w:pPr>
            <w:r>
              <w:rPr>
                <w:rFonts w:ascii="Arial" w:cs="Arial" w:eastAsia="Arial" w:hAnsi="Arial"/>
                <w:sz w:val="16"/>
                <w:szCs w:val="16"/>
                <w:color w:val="auto"/>
              </w:rPr>
              <w:t>19,143,883</w:t>
            </w:r>
          </w:p>
        </w:tc>
        <w:tc>
          <w:tcPr>
            <w:tcW w:w="0" w:type="dxa"/>
            <w:vAlign w:val="bottom"/>
          </w:tcPr>
          <w:p>
            <w:pPr>
              <w:spacing w:after="0"/>
              <w:rPr>
                <w:sz w:val="1"/>
                <w:szCs w:val="1"/>
                <w:color w:val="auto"/>
              </w:rPr>
            </w:pPr>
          </w:p>
        </w:tc>
      </w:tr>
      <w:tr>
        <w:trPr>
          <w:trHeight w:val="324"/>
        </w:trPr>
        <w:tc>
          <w:tcPr>
            <w:tcW w:w="3840" w:type="dxa"/>
            <w:vAlign w:val="bottom"/>
          </w:tcPr>
          <w:p>
            <w:pPr>
              <w:ind w:left="80"/>
              <w:spacing w:after="0"/>
              <w:rPr>
                <w:sz w:val="20"/>
                <w:szCs w:val="20"/>
                <w:color w:val="auto"/>
              </w:rPr>
            </w:pPr>
            <w:r>
              <w:rPr>
                <w:rFonts w:ascii="Arial" w:cs="Arial" w:eastAsia="Arial" w:hAnsi="Arial"/>
                <w:sz w:val="16"/>
                <w:szCs w:val="16"/>
                <w:color w:val="auto"/>
              </w:rPr>
              <w:t>Bart E. Volkmer</w:t>
            </w:r>
          </w:p>
        </w:tc>
        <w:tc>
          <w:tcPr>
            <w:tcW w:w="3540" w:type="dxa"/>
            <w:vAlign w:val="bottom"/>
          </w:tcPr>
          <w:p>
            <w:pPr>
              <w:jc w:val="right"/>
              <w:ind w:right="460"/>
              <w:spacing w:after="0"/>
              <w:rPr>
                <w:sz w:val="20"/>
                <w:szCs w:val="20"/>
                <w:color w:val="auto"/>
              </w:rPr>
            </w:pPr>
            <w:r>
              <w:rPr>
                <w:rFonts w:ascii="Arial" w:cs="Arial" w:eastAsia="Arial" w:hAnsi="Arial"/>
                <w:sz w:val="16"/>
                <w:szCs w:val="16"/>
                <w:color w:val="auto"/>
              </w:rPr>
              <w:t>133,848</w:t>
            </w:r>
            <w:r>
              <w:rPr>
                <w:rFonts w:ascii="Arial" w:cs="Arial" w:eastAsia="Arial" w:hAnsi="Arial"/>
                <w:sz w:val="26"/>
                <w:szCs w:val="26"/>
                <w:color w:val="auto"/>
                <w:vertAlign w:val="superscript"/>
              </w:rPr>
              <w:t>(2)</w:t>
            </w:r>
          </w:p>
        </w:tc>
        <w:tc>
          <w:tcPr>
            <w:tcW w:w="2180" w:type="dxa"/>
            <w:vAlign w:val="bottom"/>
          </w:tcPr>
          <w:p>
            <w:pPr>
              <w:jc w:val="right"/>
              <w:ind w:right="581"/>
              <w:spacing w:after="0"/>
              <w:rPr>
                <w:sz w:val="20"/>
                <w:szCs w:val="20"/>
                <w:color w:val="auto"/>
              </w:rPr>
            </w:pPr>
            <w:r>
              <w:rPr>
                <w:rFonts w:ascii="Arial" w:cs="Arial" w:eastAsia="Arial" w:hAnsi="Arial"/>
                <w:sz w:val="16"/>
                <w:szCs w:val="16"/>
                <w:color w:val="auto"/>
              </w:rPr>
              <w:t>2,422,649</w:t>
            </w:r>
          </w:p>
        </w:tc>
        <w:tc>
          <w:tcPr>
            <w:tcW w:w="0" w:type="dxa"/>
            <w:vAlign w:val="bottom"/>
          </w:tcPr>
          <w:p>
            <w:pPr>
              <w:spacing w:after="0"/>
              <w:rPr>
                <w:sz w:val="1"/>
                <w:szCs w:val="1"/>
                <w:color w:val="auto"/>
              </w:rPr>
            </w:pPr>
          </w:p>
        </w:tc>
      </w:tr>
      <w:tr>
        <w:trPr>
          <w:trHeight w:val="324"/>
        </w:trPr>
        <w:tc>
          <w:tcPr>
            <w:tcW w:w="3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Ajay V. Vashee</w:t>
            </w:r>
          </w:p>
        </w:tc>
        <w:tc>
          <w:tcPr>
            <w:tcW w:w="3540" w:type="dxa"/>
            <w:vAlign w:val="bottom"/>
            <w:shd w:val="clear" w:color="auto" w:fill="F2F2F2"/>
          </w:tcPr>
          <w:p>
            <w:pPr>
              <w:jc w:val="right"/>
              <w:ind w:right="460"/>
              <w:spacing w:after="0"/>
              <w:rPr>
                <w:sz w:val="20"/>
                <w:szCs w:val="20"/>
                <w:color w:val="auto"/>
              </w:rPr>
            </w:pPr>
            <w:r>
              <w:rPr>
                <w:rFonts w:ascii="Arial" w:cs="Arial" w:eastAsia="Arial" w:hAnsi="Arial"/>
                <w:sz w:val="16"/>
                <w:szCs w:val="16"/>
                <w:color w:val="auto"/>
              </w:rPr>
              <w:t>228,658</w:t>
            </w:r>
            <w:r>
              <w:rPr>
                <w:rFonts w:ascii="Arial" w:cs="Arial" w:eastAsia="Arial" w:hAnsi="Arial"/>
                <w:sz w:val="26"/>
                <w:szCs w:val="26"/>
                <w:color w:val="auto"/>
                <w:vertAlign w:val="superscript"/>
              </w:rPr>
              <w:t>(2)</w:t>
            </w:r>
          </w:p>
        </w:tc>
        <w:tc>
          <w:tcPr>
            <w:tcW w:w="2180" w:type="dxa"/>
            <w:vAlign w:val="bottom"/>
            <w:shd w:val="clear" w:color="auto" w:fill="F2F2F2"/>
          </w:tcPr>
          <w:p>
            <w:pPr>
              <w:jc w:val="right"/>
              <w:ind w:right="581"/>
              <w:spacing w:after="0"/>
              <w:rPr>
                <w:sz w:val="20"/>
                <w:szCs w:val="20"/>
                <w:color w:val="auto"/>
              </w:rPr>
            </w:pPr>
            <w:r>
              <w:rPr>
                <w:rFonts w:ascii="Arial" w:cs="Arial" w:eastAsia="Arial" w:hAnsi="Arial"/>
                <w:sz w:val="16"/>
                <w:szCs w:val="16"/>
                <w:color w:val="auto"/>
              </w:rPr>
              <w:t>4,138,710</w:t>
            </w:r>
          </w:p>
        </w:tc>
        <w:tc>
          <w:tcPr>
            <w:tcW w:w="0" w:type="dxa"/>
            <w:vAlign w:val="bottom"/>
          </w:tcPr>
          <w:p>
            <w:pPr>
              <w:spacing w:after="0"/>
              <w:rPr>
                <w:sz w:val="1"/>
                <w:szCs w:val="1"/>
                <w:color w:val="auto"/>
              </w:rPr>
            </w:pPr>
          </w:p>
        </w:tc>
      </w:tr>
      <w:tr>
        <w:trPr>
          <w:trHeight w:val="399"/>
        </w:trPr>
        <w:tc>
          <w:tcPr>
            <w:tcW w:w="3840" w:type="dxa"/>
            <w:vAlign w:val="bottom"/>
          </w:tcPr>
          <w:p>
            <w:pPr>
              <w:ind w:left="80"/>
              <w:spacing w:after="0"/>
              <w:rPr>
                <w:sz w:val="20"/>
                <w:szCs w:val="20"/>
                <w:color w:val="auto"/>
              </w:rPr>
            </w:pPr>
            <w:r>
              <w:rPr>
                <w:rFonts w:ascii="Arial" w:cs="Arial" w:eastAsia="Arial" w:hAnsi="Arial"/>
                <w:sz w:val="16"/>
                <w:szCs w:val="16"/>
                <w:color w:val="auto"/>
              </w:rPr>
              <w:t>Olivia Nottebohm</w:t>
            </w:r>
          </w:p>
        </w:tc>
        <w:tc>
          <w:tcPr>
            <w:tcW w:w="3540" w:type="dxa"/>
            <w:vAlign w:val="bottom"/>
          </w:tcPr>
          <w:p>
            <w:pPr>
              <w:jc w:val="right"/>
              <w:ind w:right="460"/>
              <w:spacing w:after="0"/>
              <w:rPr>
                <w:sz w:val="20"/>
                <w:szCs w:val="20"/>
                <w:color w:val="auto"/>
              </w:rPr>
            </w:pPr>
            <w:r>
              <w:rPr>
                <w:rFonts w:ascii="Arial" w:cs="Arial" w:eastAsia="Arial" w:hAnsi="Arial"/>
                <w:sz w:val="16"/>
                <w:szCs w:val="16"/>
                <w:color w:val="auto"/>
              </w:rPr>
              <w:t>844,759</w:t>
            </w:r>
            <w:r>
              <w:rPr>
                <w:rFonts w:ascii="Arial" w:cs="Arial" w:eastAsia="Arial" w:hAnsi="Arial"/>
                <w:sz w:val="26"/>
                <w:szCs w:val="26"/>
                <w:color w:val="auto"/>
                <w:vertAlign w:val="superscript"/>
              </w:rPr>
              <w:t>(2)</w:t>
            </w:r>
          </w:p>
        </w:tc>
        <w:tc>
          <w:tcPr>
            <w:tcW w:w="2180" w:type="dxa"/>
            <w:vAlign w:val="bottom"/>
          </w:tcPr>
          <w:p>
            <w:pPr>
              <w:jc w:val="right"/>
              <w:ind w:right="581"/>
              <w:spacing w:after="0"/>
              <w:rPr>
                <w:sz w:val="20"/>
                <w:szCs w:val="20"/>
                <w:color w:val="auto"/>
              </w:rPr>
            </w:pPr>
            <w:r>
              <w:rPr>
                <w:rFonts w:ascii="Arial" w:cs="Arial" w:eastAsia="Arial" w:hAnsi="Arial"/>
                <w:sz w:val="16"/>
                <w:szCs w:val="16"/>
                <w:color w:val="auto"/>
              </w:rPr>
              <w:t>16,523,486</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44" w:hanging="244"/>
        <w:spacing w:after="0"/>
        <w:tabs>
          <w:tab w:leader="none" w:pos="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RSUs</w:t>
      </w:r>
    </w:p>
    <w:p>
      <w:pPr>
        <w:spacing w:after="0" w:line="14" w:lineRule="exact"/>
        <w:rPr>
          <w:rFonts w:ascii="Arial" w:cs="Arial" w:eastAsia="Arial" w:hAnsi="Arial"/>
          <w:sz w:val="14"/>
          <w:szCs w:val="14"/>
          <w:color w:val="auto"/>
        </w:rPr>
      </w:pPr>
    </w:p>
    <w:p>
      <w:pPr>
        <w:ind w:left="244" w:hanging="244"/>
        <w:spacing w:after="0"/>
        <w:tabs>
          <w:tab w:leader="none" w:pos="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RSAs</w:t>
      </w:r>
    </w:p>
    <w:p>
      <w:pPr>
        <w:spacing w:after="0" w:line="14" w:lineRule="exact"/>
        <w:rPr>
          <w:rFonts w:ascii="Arial" w:cs="Arial" w:eastAsia="Arial" w:hAnsi="Arial"/>
          <w:sz w:val="14"/>
          <w:szCs w:val="14"/>
          <w:color w:val="auto"/>
        </w:rPr>
      </w:pPr>
    </w:p>
    <w:p>
      <w:pPr>
        <w:ind w:left="244" w:hanging="244"/>
        <w:spacing w:after="0"/>
        <w:tabs>
          <w:tab w:leader="none" w:pos="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number of shares listed reflect achievement at the target level of performance. The maximum number of shares is 300% of such value.</w:t>
      </w:r>
    </w:p>
    <w:p>
      <w:pPr>
        <w:spacing w:after="0" w:line="160" w:lineRule="exact"/>
        <w:rPr>
          <w:sz w:val="20"/>
          <w:szCs w:val="20"/>
          <w:color w:val="auto"/>
        </w:rPr>
      </w:pPr>
    </w:p>
    <w:p>
      <w:pPr>
        <w:ind w:left="4" w:right="200"/>
        <w:spacing w:after="0" w:line="251" w:lineRule="auto"/>
        <w:rPr>
          <w:sz w:val="20"/>
          <w:szCs w:val="20"/>
          <w:color w:val="auto"/>
        </w:rPr>
      </w:pPr>
      <w:r>
        <w:rPr>
          <w:rFonts w:ascii="Arial" w:cs="Arial" w:eastAsia="Arial" w:hAnsi="Arial"/>
          <w:sz w:val="16"/>
          <w:szCs w:val="16"/>
          <w:color w:val="auto"/>
        </w:rPr>
        <w:t>The time-based RSA award granted to Ms. Nottebohm vests over a four-year period, with one quarter of the shares vesting on February 15, 2021 and the remaining shares vesting in equal quarterly installments over the next three years, contingent upon the named executive officer remaining continuously employed in service with us through each applicable vesting date. The time-based RSA and RSU awards granted to Messrs. Volkmer, Regan, and Vashee vest over a four-year period in equal quarterly installments.</w:t>
      </w:r>
    </w:p>
    <w:p>
      <w:pPr>
        <w:spacing w:after="0" w:line="14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The performance-based RSA granted to Mr. Young is subject to service-based and market-based vesting conditions and may become eligible to vest over an approximately three-year performance period beginning January 1, 2021. The target number of shares subject to the performance-based RSA are divided into three equal tranches, and the shares subject to a tranche may become eligible to vest based on the achievement of stock price goals measured over a consecutive thirty-day trading period during a twelve-month measurement period that begins one month following the one-year anniversary of the grant date of the performance-based RSA (or in the case of the first measurement period, one month following the grant date) and ends one month following the next anniversary of the grant date,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468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7585" cy="246888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2260" w:type="dxa"/>
            <w:vAlign w:val="bottom"/>
            <w:shd w:val="clear" w:color="auto" w:fill="0063A6"/>
          </w:tcPr>
          <w:p>
            <w:pPr>
              <w:jc w:val="center"/>
              <w:ind w:left="781"/>
              <w:spacing w:after="0"/>
              <w:rPr>
                <w:sz w:val="20"/>
                <w:szCs w:val="20"/>
                <w:color w:val="auto"/>
              </w:rPr>
            </w:pPr>
            <w:r>
              <w:rPr>
                <w:rFonts w:ascii="Arial" w:cs="Arial" w:eastAsia="Arial" w:hAnsi="Arial"/>
                <w:sz w:val="14"/>
                <w:szCs w:val="14"/>
                <w:b w:val="1"/>
                <w:bCs w:val="1"/>
                <w:color w:val="FFFFFF"/>
              </w:rPr>
              <w:t>First Grant Tranche</w:t>
            </w:r>
          </w:p>
        </w:tc>
        <w:tc>
          <w:tcPr>
            <w:tcW w:w="920" w:type="dxa"/>
            <w:vAlign w:val="bottom"/>
            <w:shd w:val="clear" w:color="auto" w:fill="0063A6"/>
          </w:tcPr>
          <w:p>
            <w:pPr>
              <w:spacing w:after="0"/>
              <w:rPr>
                <w:sz w:val="22"/>
                <w:szCs w:val="22"/>
                <w:color w:val="auto"/>
              </w:rPr>
            </w:pPr>
          </w:p>
        </w:tc>
        <w:tc>
          <w:tcPr>
            <w:tcW w:w="32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Second Grant Tranche</w:t>
            </w:r>
          </w:p>
        </w:tc>
        <w:tc>
          <w:tcPr>
            <w:tcW w:w="2260" w:type="dxa"/>
            <w:vAlign w:val="bottom"/>
            <w:shd w:val="clear" w:color="auto" w:fill="0063A6"/>
          </w:tcPr>
          <w:p>
            <w:pPr>
              <w:jc w:val="center"/>
              <w:ind w:left="761"/>
              <w:spacing w:after="0"/>
              <w:rPr>
                <w:sz w:val="20"/>
                <w:szCs w:val="20"/>
                <w:color w:val="auto"/>
              </w:rPr>
            </w:pPr>
            <w:r>
              <w:rPr>
                <w:rFonts w:ascii="Arial" w:cs="Arial" w:eastAsia="Arial" w:hAnsi="Arial"/>
                <w:sz w:val="14"/>
                <w:szCs w:val="14"/>
                <w:b w:val="1"/>
                <w:bCs w:val="1"/>
                <w:color w:val="FFFFFF"/>
              </w:rPr>
              <w:t>Third Grant Tranche</w:t>
            </w:r>
          </w:p>
        </w:tc>
        <w:tc>
          <w:tcPr>
            <w:tcW w:w="920" w:type="dxa"/>
            <w:vAlign w:val="bottom"/>
            <w:shd w:val="clear" w:color="auto" w:fill="0063A6"/>
          </w:tcPr>
          <w:p>
            <w:pPr>
              <w:spacing w:after="0"/>
              <w:rPr>
                <w:sz w:val="22"/>
                <w:szCs w:val="22"/>
                <w:color w:val="auto"/>
              </w:rPr>
            </w:pPr>
          </w:p>
        </w:tc>
      </w:tr>
      <w:tr>
        <w:trPr>
          <w:trHeight w:val="186"/>
        </w:trPr>
        <w:tc>
          <w:tcPr>
            <w:tcW w:w="318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1/1/2021 – 12/31/2021</w:t>
            </w:r>
          </w:p>
        </w:tc>
        <w:tc>
          <w:tcPr>
            <w:tcW w:w="320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1/1/2022 – 12/31/2022</w:t>
            </w:r>
          </w:p>
        </w:tc>
        <w:tc>
          <w:tcPr>
            <w:tcW w:w="318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1/1/2023 – 12/31/2023</w:t>
            </w:r>
          </w:p>
        </w:tc>
      </w:tr>
      <w:tr>
        <w:trPr>
          <w:trHeight w:val="351"/>
        </w:trPr>
        <w:tc>
          <w:tcPr>
            <w:tcW w:w="2260" w:type="dxa"/>
            <w:vAlign w:val="bottom"/>
            <w:shd w:val="clear" w:color="auto" w:fill="0063A6"/>
          </w:tcPr>
          <w:p>
            <w:pPr>
              <w:jc w:val="center"/>
              <w:ind w:right="161"/>
              <w:spacing w:after="0"/>
              <w:rPr>
                <w:sz w:val="20"/>
                <w:szCs w:val="20"/>
                <w:color w:val="auto"/>
              </w:rPr>
            </w:pPr>
            <w:r>
              <w:rPr>
                <w:rFonts w:ascii="Arial" w:cs="Arial" w:eastAsia="Arial" w:hAnsi="Arial"/>
                <w:sz w:val="14"/>
                <w:szCs w:val="14"/>
                <w:b w:val="1"/>
                <w:bCs w:val="1"/>
                <w:color w:val="FFFFFF"/>
              </w:rPr>
              <w:t>Price Target</w:t>
            </w:r>
          </w:p>
        </w:tc>
        <w:tc>
          <w:tcPr>
            <w:tcW w:w="9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Multiplier</w:t>
            </w:r>
          </w:p>
        </w:tc>
        <w:tc>
          <w:tcPr>
            <w:tcW w:w="1980" w:type="dxa"/>
            <w:vAlign w:val="bottom"/>
            <w:shd w:val="clear" w:color="auto" w:fill="0063A6"/>
          </w:tcPr>
          <w:p>
            <w:pPr>
              <w:jc w:val="center"/>
              <w:ind w:left="41"/>
              <w:spacing w:after="0"/>
              <w:rPr>
                <w:sz w:val="20"/>
                <w:szCs w:val="20"/>
                <w:color w:val="auto"/>
              </w:rPr>
            </w:pPr>
            <w:r>
              <w:rPr>
                <w:rFonts w:ascii="Arial" w:cs="Arial" w:eastAsia="Arial" w:hAnsi="Arial"/>
                <w:sz w:val="14"/>
                <w:szCs w:val="14"/>
                <w:b w:val="1"/>
                <w:bCs w:val="1"/>
                <w:color w:val="FFFFFF"/>
              </w:rPr>
              <w:t>Price Target</w:t>
            </w:r>
          </w:p>
        </w:tc>
        <w:tc>
          <w:tcPr>
            <w:tcW w:w="122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Multiplier</w:t>
            </w:r>
          </w:p>
        </w:tc>
        <w:tc>
          <w:tcPr>
            <w:tcW w:w="2260" w:type="dxa"/>
            <w:vAlign w:val="bottom"/>
            <w:shd w:val="clear" w:color="auto" w:fill="0063A6"/>
          </w:tcPr>
          <w:p>
            <w:pPr>
              <w:jc w:val="center"/>
              <w:ind w:right="161"/>
              <w:spacing w:after="0"/>
              <w:rPr>
                <w:sz w:val="20"/>
                <w:szCs w:val="20"/>
                <w:color w:val="auto"/>
              </w:rPr>
            </w:pPr>
            <w:r>
              <w:rPr>
                <w:rFonts w:ascii="Arial" w:cs="Arial" w:eastAsia="Arial" w:hAnsi="Arial"/>
                <w:sz w:val="14"/>
                <w:szCs w:val="14"/>
                <w:b w:val="1"/>
                <w:bCs w:val="1"/>
                <w:color w:val="FFFFFF"/>
              </w:rPr>
              <w:t>Price Target</w:t>
            </w:r>
          </w:p>
        </w:tc>
        <w:tc>
          <w:tcPr>
            <w:tcW w:w="92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Multiplier</w:t>
            </w:r>
          </w:p>
        </w:tc>
      </w:tr>
      <w:tr>
        <w:trPr>
          <w:trHeight w:val="80"/>
        </w:trPr>
        <w:tc>
          <w:tcPr>
            <w:tcW w:w="2260" w:type="dxa"/>
            <w:vAlign w:val="bottom"/>
            <w:shd w:val="clear" w:color="auto" w:fill="0063A6"/>
          </w:tcPr>
          <w:p>
            <w:pPr>
              <w:spacing w:after="0"/>
              <w:rPr>
                <w:sz w:val="6"/>
                <w:szCs w:val="6"/>
                <w:color w:val="auto"/>
              </w:rPr>
            </w:pPr>
          </w:p>
        </w:tc>
        <w:tc>
          <w:tcPr>
            <w:tcW w:w="920" w:type="dxa"/>
            <w:vAlign w:val="bottom"/>
            <w:shd w:val="clear" w:color="auto" w:fill="0063A6"/>
          </w:tcPr>
          <w:p>
            <w:pPr>
              <w:spacing w:after="0"/>
              <w:rPr>
                <w:sz w:val="6"/>
                <w:szCs w:val="6"/>
                <w:color w:val="auto"/>
              </w:rPr>
            </w:pPr>
          </w:p>
        </w:tc>
        <w:tc>
          <w:tcPr>
            <w:tcW w:w="1980" w:type="dxa"/>
            <w:vAlign w:val="bottom"/>
            <w:shd w:val="clear" w:color="auto" w:fill="0063A6"/>
          </w:tcPr>
          <w:p>
            <w:pPr>
              <w:spacing w:after="0"/>
              <w:rPr>
                <w:sz w:val="6"/>
                <w:szCs w:val="6"/>
                <w:color w:val="auto"/>
              </w:rPr>
            </w:pPr>
          </w:p>
        </w:tc>
        <w:tc>
          <w:tcPr>
            <w:tcW w:w="1220" w:type="dxa"/>
            <w:vAlign w:val="bottom"/>
            <w:shd w:val="clear" w:color="auto" w:fill="0063A6"/>
          </w:tcPr>
          <w:p>
            <w:pPr>
              <w:spacing w:after="0"/>
              <w:rPr>
                <w:sz w:val="6"/>
                <w:szCs w:val="6"/>
                <w:color w:val="auto"/>
              </w:rPr>
            </w:pPr>
          </w:p>
        </w:tc>
        <w:tc>
          <w:tcPr>
            <w:tcW w:w="2260" w:type="dxa"/>
            <w:vAlign w:val="bottom"/>
            <w:shd w:val="clear" w:color="auto" w:fill="0063A6"/>
          </w:tcPr>
          <w:p>
            <w:pPr>
              <w:spacing w:after="0"/>
              <w:rPr>
                <w:sz w:val="6"/>
                <w:szCs w:val="6"/>
                <w:color w:val="auto"/>
              </w:rPr>
            </w:pPr>
          </w:p>
        </w:tc>
        <w:tc>
          <w:tcPr>
            <w:tcW w:w="920" w:type="dxa"/>
            <w:vAlign w:val="bottom"/>
            <w:shd w:val="clear" w:color="auto" w:fill="0063A6"/>
          </w:tcPr>
          <w:p>
            <w:pPr>
              <w:spacing w:after="0"/>
              <w:rPr>
                <w:sz w:val="6"/>
                <w:szCs w:val="6"/>
                <w:color w:val="auto"/>
              </w:rPr>
            </w:pPr>
          </w:p>
        </w:tc>
      </w:tr>
      <w:tr>
        <w:trPr>
          <w:trHeight w:val="291"/>
        </w:trPr>
        <w:tc>
          <w:tcPr>
            <w:tcW w:w="2260" w:type="dxa"/>
            <w:vAlign w:val="bottom"/>
            <w:shd w:val="clear" w:color="auto" w:fill="F2F2F2"/>
          </w:tcPr>
          <w:p>
            <w:pPr>
              <w:jc w:val="center"/>
              <w:ind w:right="181"/>
              <w:spacing w:after="0"/>
              <w:rPr>
                <w:sz w:val="20"/>
                <w:szCs w:val="20"/>
                <w:color w:val="auto"/>
              </w:rPr>
            </w:pPr>
            <w:r>
              <w:rPr>
                <w:rFonts w:ascii="Arial" w:cs="Arial" w:eastAsia="Arial" w:hAnsi="Arial"/>
                <w:sz w:val="16"/>
                <w:szCs w:val="16"/>
                <w:color w:val="auto"/>
              </w:rPr>
              <w:t>Less than $10.00</w:t>
            </w:r>
          </w:p>
        </w:tc>
        <w:tc>
          <w:tcPr>
            <w:tcW w:w="92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w w:val="94"/>
              </w:rPr>
              <w:t>0%</w:t>
            </w:r>
          </w:p>
        </w:tc>
        <w:tc>
          <w:tcPr>
            <w:tcW w:w="1980" w:type="dxa"/>
            <w:vAlign w:val="bottom"/>
            <w:shd w:val="clear" w:color="auto" w:fill="F2F2F2"/>
          </w:tcPr>
          <w:p>
            <w:pPr>
              <w:jc w:val="center"/>
              <w:ind w:left="21"/>
              <w:spacing w:after="0"/>
              <w:rPr>
                <w:sz w:val="20"/>
                <w:szCs w:val="20"/>
                <w:color w:val="auto"/>
              </w:rPr>
            </w:pPr>
            <w:r>
              <w:rPr>
                <w:rFonts w:ascii="Arial" w:cs="Arial" w:eastAsia="Arial" w:hAnsi="Arial"/>
                <w:sz w:val="16"/>
                <w:szCs w:val="16"/>
                <w:color w:val="auto"/>
              </w:rPr>
              <w:t>Less than $10.00</w:t>
            </w:r>
          </w:p>
        </w:tc>
        <w:tc>
          <w:tcPr>
            <w:tcW w:w="12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4"/>
              </w:rPr>
              <w:t>0%</w:t>
            </w:r>
          </w:p>
        </w:tc>
        <w:tc>
          <w:tcPr>
            <w:tcW w:w="2260" w:type="dxa"/>
            <w:vAlign w:val="bottom"/>
            <w:shd w:val="clear" w:color="auto" w:fill="F2F2F2"/>
          </w:tcPr>
          <w:p>
            <w:pPr>
              <w:jc w:val="center"/>
              <w:ind w:right="141"/>
              <w:spacing w:after="0"/>
              <w:rPr>
                <w:sz w:val="20"/>
                <w:szCs w:val="20"/>
                <w:color w:val="auto"/>
              </w:rPr>
            </w:pPr>
            <w:r>
              <w:rPr>
                <w:rFonts w:ascii="Arial" w:cs="Arial" w:eastAsia="Arial" w:hAnsi="Arial"/>
                <w:sz w:val="16"/>
                <w:szCs w:val="16"/>
                <w:color w:val="auto"/>
              </w:rPr>
              <w:t>Less than $10.00</w:t>
            </w:r>
          </w:p>
        </w:tc>
        <w:tc>
          <w:tcPr>
            <w:tcW w:w="920" w:type="dxa"/>
            <w:vAlign w:val="bottom"/>
            <w:shd w:val="clear" w:color="auto" w:fill="F2F2F2"/>
          </w:tcPr>
          <w:p>
            <w:pPr>
              <w:jc w:val="center"/>
              <w:ind w:right="160"/>
              <w:spacing w:after="0"/>
              <w:rPr>
                <w:sz w:val="20"/>
                <w:szCs w:val="20"/>
                <w:color w:val="auto"/>
              </w:rPr>
            </w:pPr>
            <w:r>
              <w:rPr>
                <w:rFonts w:ascii="Arial" w:cs="Arial" w:eastAsia="Arial" w:hAnsi="Arial"/>
                <w:sz w:val="16"/>
                <w:szCs w:val="16"/>
                <w:color w:val="auto"/>
              </w:rPr>
              <w:t>0%</w:t>
            </w:r>
          </w:p>
        </w:tc>
      </w:tr>
      <w:tr>
        <w:trPr>
          <w:trHeight w:val="87"/>
        </w:trPr>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c>
          <w:tcPr>
            <w:tcW w:w="198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r>
      <w:tr>
        <w:trPr>
          <w:trHeight w:val="291"/>
        </w:trPr>
        <w:tc>
          <w:tcPr>
            <w:tcW w:w="2260" w:type="dxa"/>
            <w:vAlign w:val="bottom"/>
          </w:tcPr>
          <w:p>
            <w:pPr>
              <w:jc w:val="center"/>
              <w:ind w:right="161"/>
              <w:spacing w:after="0"/>
              <w:rPr>
                <w:sz w:val="20"/>
                <w:szCs w:val="20"/>
                <w:color w:val="auto"/>
              </w:rPr>
            </w:pPr>
            <w:r>
              <w:rPr>
                <w:rFonts w:ascii="Arial" w:cs="Arial" w:eastAsia="Arial" w:hAnsi="Arial"/>
                <w:sz w:val="16"/>
                <w:szCs w:val="16"/>
                <w:color w:val="auto"/>
              </w:rPr>
              <w:t>$10.00</w:t>
            </w:r>
          </w:p>
        </w:tc>
        <w:tc>
          <w:tcPr>
            <w:tcW w:w="920" w:type="dxa"/>
            <w:vAlign w:val="bottom"/>
          </w:tcPr>
          <w:p>
            <w:pPr>
              <w:jc w:val="center"/>
              <w:ind w:right="100"/>
              <w:spacing w:after="0"/>
              <w:rPr>
                <w:sz w:val="20"/>
                <w:szCs w:val="20"/>
                <w:color w:val="auto"/>
              </w:rPr>
            </w:pPr>
            <w:r>
              <w:rPr>
                <w:rFonts w:ascii="Arial" w:cs="Arial" w:eastAsia="Arial" w:hAnsi="Arial"/>
                <w:sz w:val="16"/>
                <w:szCs w:val="16"/>
                <w:color w:val="auto"/>
              </w:rPr>
              <w:t>25%</w:t>
            </w:r>
          </w:p>
        </w:tc>
        <w:tc>
          <w:tcPr>
            <w:tcW w:w="1980" w:type="dxa"/>
            <w:vAlign w:val="bottom"/>
          </w:tcPr>
          <w:p>
            <w:pPr>
              <w:jc w:val="center"/>
              <w:ind w:left="41"/>
              <w:spacing w:after="0"/>
              <w:rPr>
                <w:sz w:val="20"/>
                <w:szCs w:val="20"/>
                <w:color w:val="auto"/>
              </w:rPr>
            </w:pPr>
            <w:r>
              <w:rPr>
                <w:rFonts w:ascii="Arial" w:cs="Arial" w:eastAsia="Arial" w:hAnsi="Arial"/>
                <w:sz w:val="16"/>
                <w:szCs w:val="16"/>
                <w:color w:val="auto"/>
              </w:rPr>
              <w:t>$10.00</w:t>
            </w:r>
          </w:p>
        </w:tc>
        <w:tc>
          <w:tcPr>
            <w:tcW w:w="1220" w:type="dxa"/>
            <w:vAlign w:val="bottom"/>
          </w:tcPr>
          <w:p>
            <w:pPr>
              <w:jc w:val="center"/>
              <w:spacing w:after="0"/>
              <w:rPr>
                <w:sz w:val="20"/>
                <w:szCs w:val="20"/>
                <w:color w:val="auto"/>
              </w:rPr>
            </w:pPr>
            <w:r>
              <w:rPr>
                <w:rFonts w:ascii="Arial" w:cs="Arial" w:eastAsia="Arial" w:hAnsi="Arial"/>
                <w:sz w:val="16"/>
                <w:szCs w:val="16"/>
                <w:color w:val="auto"/>
              </w:rPr>
              <w:t>25%</w:t>
            </w:r>
          </w:p>
        </w:tc>
        <w:tc>
          <w:tcPr>
            <w:tcW w:w="2260" w:type="dxa"/>
            <w:vAlign w:val="bottom"/>
          </w:tcPr>
          <w:p>
            <w:pPr>
              <w:jc w:val="center"/>
              <w:ind w:right="161"/>
              <w:spacing w:after="0"/>
              <w:rPr>
                <w:sz w:val="20"/>
                <w:szCs w:val="20"/>
                <w:color w:val="auto"/>
              </w:rPr>
            </w:pPr>
            <w:r>
              <w:rPr>
                <w:rFonts w:ascii="Arial" w:cs="Arial" w:eastAsia="Arial" w:hAnsi="Arial"/>
                <w:sz w:val="16"/>
                <w:szCs w:val="16"/>
                <w:color w:val="auto"/>
              </w:rPr>
              <w:t>$10.00</w:t>
            </w:r>
          </w:p>
        </w:tc>
        <w:tc>
          <w:tcPr>
            <w:tcW w:w="920" w:type="dxa"/>
            <w:vAlign w:val="bottom"/>
          </w:tcPr>
          <w:p>
            <w:pPr>
              <w:jc w:val="center"/>
              <w:ind w:right="160"/>
              <w:spacing w:after="0"/>
              <w:rPr>
                <w:sz w:val="20"/>
                <w:szCs w:val="20"/>
                <w:color w:val="auto"/>
              </w:rPr>
            </w:pPr>
            <w:r>
              <w:rPr>
                <w:rFonts w:ascii="Arial" w:cs="Arial" w:eastAsia="Arial" w:hAnsi="Arial"/>
                <w:sz w:val="16"/>
                <w:szCs w:val="16"/>
                <w:color w:val="auto"/>
                <w:w w:val="99"/>
              </w:rPr>
              <w:t>25%</w:t>
            </w:r>
          </w:p>
        </w:tc>
      </w:tr>
      <w:tr>
        <w:trPr>
          <w:trHeight w:val="87"/>
        </w:trPr>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91"/>
        </w:trPr>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$15.00</w:t>
            </w:r>
          </w:p>
        </w:tc>
        <w:tc>
          <w:tcPr>
            <w:tcW w:w="92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50%</w:t>
            </w:r>
          </w:p>
        </w:tc>
        <w:tc>
          <w:tcPr>
            <w:tcW w:w="1980" w:type="dxa"/>
            <w:vAlign w:val="bottom"/>
            <w:shd w:val="clear" w:color="auto" w:fill="F2F2F2"/>
          </w:tcPr>
          <w:p>
            <w:pPr>
              <w:jc w:val="center"/>
              <w:ind w:left="41"/>
              <w:spacing w:after="0"/>
              <w:rPr>
                <w:sz w:val="20"/>
                <w:szCs w:val="20"/>
                <w:color w:val="auto"/>
              </w:rPr>
            </w:pPr>
            <w:r>
              <w:rPr>
                <w:rFonts w:ascii="Arial" w:cs="Arial" w:eastAsia="Arial" w:hAnsi="Arial"/>
                <w:sz w:val="16"/>
                <w:szCs w:val="16"/>
                <w:color w:val="auto"/>
              </w:rPr>
              <w:t>$15.00</w:t>
            </w:r>
          </w:p>
        </w:tc>
        <w:tc>
          <w:tcPr>
            <w:tcW w:w="12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w:t>
            </w:r>
          </w:p>
        </w:tc>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$15.00</w:t>
            </w:r>
          </w:p>
        </w:tc>
        <w:tc>
          <w:tcPr>
            <w:tcW w:w="920" w:type="dxa"/>
            <w:vAlign w:val="bottom"/>
            <w:shd w:val="clear" w:color="auto" w:fill="F2F2F2"/>
          </w:tcPr>
          <w:p>
            <w:pPr>
              <w:jc w:val="center"/>
              <w:ind w:right="160"/>
              <w:spacing w:after="0"/>
              <w:rPr>
                <w:sz w:val="20"/>
                <w:szCs w:val="20"/>
                <w:color w:val="auto"/>
              </w:rPr>
            </w:pPr>
            <w:r>
              <w:rPr>
                <w:rFonts w:ascii="Arial" w:cs="Arial" w:eastAsia="Arial" w:hAnsi="Arial"/>
                <w:sz w:val="16"/>
                <w:szCs w:val="16"/>
                <w:color w:val="auto"/>
                <w:w w:val="99"/>
              </w:rPr>
              <w:t>50%</w:t>
            </w:r>
          </w:p>
        </w:tc>
      </w:tr>
      <w:tr>
        <w:trPr>
          <w:trHeight w:val="87"/>
        </w:trPr>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c>
          <w:tcPr>
            <w:tcW w:w="198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r>
      <w:tr>
        <w:trPr>
          <w:trHeight w:val="291"/>
        </w:trPr>
        <w:tc>
          <w:tcPr>
            <w:tcW w:w="2260" w:type="dxa"/>
            <w:vAlign w:val="bottom"/>
          </w:tcPr>
          <w:p>
            <w:pPr>
              <w:jc w:val="center"/>
              <w:ind w:right="161"/>
              <w:spacing w:after="0"/>
              <w:rPr>
                <w:sz w:val="20"/>
                <w:szCs w:val="20"/>
                <w:color w:val="auto"/>
              </w:rPr>
            </w:pPr>
            <w:r>
              <w:rPr>
                <w:rFonts w:ascii="Arial" w:cs="Arial" w:eastAsia="Arial" w:hAnsi="Arial"/>
                <w:sz w:val="16"/>
                <w:szCs w:val="16"/>
                <w:color w:val="auto"/>
              </w:rPr>
              <w:t>$20.00</w:t>
            </w:r>
          </w:p>
        </w:tc>
        <w:tc>
          <w:tcPr>
            <w:tcW w:w="920" w:type="dxa"/>
            <w:vAlign w:val="bottom"/>
          </w:tcPr>
          <w:p>
            <w:pPr>
              <w:jc w:val="center"/>
              <w:ind w:right="100"/>
              <w:spacing w:after="0"/>
              <w:rPr>
                <w:sz w:val="20"/>
                <w:szCs w:val="20"/>
                <w:color w:val="auto"/>
              </w:rPr>
            </w:pPr>
            <w:r>
              <w:rPr>
                <w:rFonts w:ascii="Arial" w:cs="Arial" w:eastAsia="Arial" w:hAnsi="Arial"/>
                <w:sz w:val="16"/>
                <w:szCs w:val="16"/>
                <w:color w:val="auto"/>
              </w:rPr>
              <w:t>100%</w:t>
            </w:r>
          </w:p>
        </w:tc>
        <w:tc>
          <w:tcPr>
            <w:tcW w:w="1980" w:type="dxa"/>
            <w:vAlign w:val="bottom"/>
          </w:tcPr>
          <w:p>
            <w:pPr>
              <w:jc w:val="center"/>
              <w:ind w:left="41"/>
              <w:spacing w:after="0"/>
              <w:rPr>
                <w:sz w:val="20"/>
                <w:szCs w:val="20"/>
                <w:color w:val="auto"/>
              </w:rPr>
            </w:pPr>
            <w:r>
              <w:rPr>
                <w:rFonts w:ascii="Arial" w:cs="Arial" w:eastAsia="Arial" w:hAnsi="Arial"/>
                <w:sz w:val="16"/>
                <w:szCs w:val="16"/>
                <w:color w:val="auto"/>
              </w:rPr>
              <w:t>$21.50</w:t>
            </w:r>
          </w:p>
        </w:tc>
        <w:tc>
          <w:tcPr>
            <w:tcW w:w="1220" w:type="dxa"/>
            <w:vAlign w:val="bottom"/>
          </w:tcPr>
          <w:p>
            <w:pPr>
              <w:jc w:val="center"/>
              <w:spacing w:after="0"/>
              <w:rPr>
                <w:sz w:val="20"/>
                <w:szCs w:val="20"/>
                <w:color w:val="auto"/>
              </w:rPr>
            </w:pPr>
            <w:r>
              <w:rPr>
                <w:rFonts w:ascii="Arial" w:cs="Arial" w:eastAsia="Arial" w:hAnsi="Arial"/>
                <w:sz w:val="16"/>
                <w:szCs w:val="16"/>
                <w:color w:val="auto"/>
              </w:rPr>
              <w:t>100%</w:t>
            </w:r>
          </w:p>
        </w:tc>
        <w:tc>
          <w:tcPr>
            <w:tcW w:w="2260" w:type="dxa"/>
            <w:vAlign w:val="bottom"/>
          </w:tcPr>
          <w:p>
            <w:pPr>
              <w:jc w:val="center"/>
              <w:ind w:right="161"/>
              <w:spacing w:after="0"/>
              <w:rPr>
                <w:sz w:val="20"/>
                <w:szCs w:val="20"/>
                <w:color w:val="auto"/>
              </w:rPr>
            </w:pPr>
            <w:r>
              <w:rPr>
                <w:rFonts w:ascii="Arial" w:cs="Arial" w:eastAsia="Arial" w:hAnsi="Arial"/>
                <w:sz w:val="16"/>
                <w:szCs w:val="16"/>
                <w:color w:val="auto"/>
              </w:rPr>
              <w:t>$23.50</w:t>
            </w:r>
          </w:p>
        </w:tc>
        <w:tc>
          <w:tcPr>
            <w:tcW w:w="920" w:type="dxa"/>
            <w:vAlign w:val="bottom"/>
          </w:tcPr>
          <w:p>
            <w:pPr>
              <w:jc w:val="center"/>
              <w:ind w:right="160"/>
              <w:spacing w:after="0"/>
              <w:rPr>
                <w:sz w:val="20"/>
                <w:szCs w:val="20"/>
                <w:color w:val="auto"/>
              </w:rPr>
            </w:pPr>
            <w:r>
              <w:rPr>
                <w:rFonts w:ascii="Arial" w:cs="Arial" w:eastAsia="Arial" w:hAnsi="Arial"/>
                <w:sz w:val="16"/>
                <w:szCs w:val="16"/>
                <w:color w:val="auto"/>
                <w:w w:val="97"/>
              </w:rPr>
              <w:t>100%</w:t>
            </w:r>
          </w:p>
        </w:tc>
      </w:tr>
      <w:tr>
        <w:trPr>
          <w:trHeight w:val="87"/>
        </w:trPr>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91"/>
        </w:trPr>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$25.00</w:t>
            </w:r>
          </w:p>
        </w:tc>
        <w:tc>
          <w:tcPr>
            <w:tcW w:w="92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150%</w:t>
            </w:r>
          </w:p>
        </w:tc>
        <w:tc>
          <w:tcPr>
            <w:tcW w:w="1980" w:type="dxa"/>
            <w:vAlign w:val="bottom"/>
            <w:shd w:val="clear" w:color="auto" w:fill="F2F2F2"/>
          </w:tcPr>
          <w:p>
            <w:pPr>
              <w:jc w:val="center"/>
              <w:ind w:left="41"/>
              <w:spacing w:after="0"/>
              <w:rPr>
                <w:sz w:val="20"/>
                <w:szCs w:val="20"/>
                <w:color w:val="auto"/>
              </w:rPr>
            </w:pPr>
            <w:r>
              <w:rPr>
                <w:rFonts w:ascii="Arial" w:cs="Arial" w:eastAsia="Arial" w:hAnsi="Arial"/>
                <w:sz w:val="16"/>
                <w:szCs w:val="16"/>
                <w:color w:val="auto"/>
              </w:rPr>
              <w:t>$25.00</w:t>
            </w:r>
          </w:p>
        </w:tc>
        <w:tc>
          <w:tcPr>
            <w:tcW w:w="12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150%</w:t>
            </w:r>
          </w:p>
        </w:tc>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$25.00</w:t>
            </w:r>
          </w:p>
        </w:tc>
        <w:tc>
          <w:tcPr>
            <w:tcW w:w="920" w:type="dxa"/>
            <w:vAlign w:val="bottom"/>
            <w:shd w:val="clear" w:color="auto" w:fill="F2F2F2"/>
          </w:tcPr>
          <w:p>
            <w:pPr>
              <w:jc w:val="center"/>
              <w:ind w:right="160"/>
              <w:spacing w:after="0"/>
              <w:rPr>
                <w:sz w:val="20"/>
                <w:szCs w:val="20"/>
                <w:color w:val="auto"/>
              </w:rPr>
            </w:pPr>
            <w:r>
              <w:rPr>
                <w:rFonts w:ascii="Arial" w:cs="Arial" w:eastAsia="Arial" w:hAnsi="Arial"/>
                <w:sz w:val="16"/>
                <w:szCs w:val="16"/>
                <w:color w:val="auto"/>
                <w:w w:val="97"/>
              </w:rPr>
              <w:t>150%</w:t>
            </w:r>
          </w:p>
        </w:tc>
      </w:tr>
      <w:tr>
        <w:trPr>
          <w:trHeight w:val="87"/>
        </w:trPr>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c>
          <w:tcPr>
            <w:tcW w:w="198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r>
      <w:tr>
        <w:trPr>
          <w:trHeight w:val="291"/>
        </w:trPr>
        <w:tc>
          <w:tcPr>
            <w:tcW w:w="2260" w:type="dxa"/>
            <w:vAlign w:val="bottom"/>
          </w:tcPr>
          <w:p>
            <w:pPr>
              <w:jc w:val="center"/>
              <w:ind w:right="161"/>
              <w:spacing w:after="0"/>
              <w:rPr>
                <w:sz w:val="20"/>
                <w:szCs w:val="20"/>
                <w:color w:val="auto"/>
              </w:rPr>
            </w:pPr>
            <w:r>
              <w:rPr>
                <w:rFonts w:ascii="Arial" w:cs="Arial" w:eastAsia="Arial" w:hAnsi="Arial"/>
                <w:sz w:val="16"/>
                <w:szCs w:val="16"/>
                <w:color w:val="auto"/>
              </w:rPr>
              <w:t>$30.00</w:t>
            </w:r>
          </w:p>
        </w:tc>
        <w:tc>
          <w:tcPr>
            <w:tcW w:w="920" w:type="dxa"/>
            <w:vAlign w:val="bottom"/>
          </w:tcPr>
          <w:p>
            <w:pPr>
              <w:jc w:val="center"/>
              <w:ind w:right="100"/>
              <w:spacing w:after="0"/>
              <w:rPr>
                <w:sz w:val="20"/>
                <w:szCs w:val="20"/>
                <w:color w:val="auto"/>
              </w:rPr>
            </w:pPr>
            <w:r>
              <w:rPr>
                <w:rFonts w:ascii="Arial" w:cs="Arial" w:eastAsia="Arial" w:hAnsi="Arial"/>
                <w:sz w:val="16"/>
                <w:szCs w:val="16"/>
                <w:color w:val="auto"/>
              </w:rPr>
              <w:t>200%</w:t>
            </w:r>
          </w:p>
        </w:tc>
        <w:tc>
          <w:tcPr>
            <w:tcW w:w="1980" w:type="dxa"/>
            <w:vAlign w:val="bottom"/>
          </w:tcPr>
          <w:p>
            <w:pPr>
              <w:jc w:val="center"/>
              <w:ind w:left="41"/>
              <w:spacing w:after="0"/>
              <w:rPr>
                <w:sz w:val="20"/>
                <w:szCs w:val="20"/>
                <w:color w:val="auto"/>
              </w:rPr>
            </w:pPr>
            <w:r>
              <w:rPr>
                <w:rFonts w:ascii="Arial" w:cs="Arial" w:eastAsia="Arial" w:hAnsi="Arial"/>
                <w:sz w:val="16"/>
                <w:szCs w:val="16"/>
                <w:color w:val="auto"/>
              </w:rPr>
              <w:t>$30.00</w:t>
            </w:r>
          </w:p>
        </w:tc>
        <w:tc>
          <w:tcPr>
            <w:tcW w:w="1220" w:type="dxa"/>
            <w:vAlign w:val="bottom"/>
          </w:tcPr>
          <w:p>
            <w:pPr>
              <w:jc w:val="center"/>
              <w:spacing w:after="0"/>
              <w:rPr>
                <w:sz w:val="20"/>
                <w:szCs w:val="20"/>
                <w:color w:val="auto"/>
              </w:rPr>
            </w:pPr>
            <w:r>
              <w:rPr>
                <w:rFonts w:ascii="Arial" w:cs="Arial" w:eastAsia="Arial" w:hAnsi="Arial"/>
                <w:sz w:val="16"/>
                <w:szCs w:val="16"/>
                <w:color w:val="auto"/>
              </w:rPr>
              <w:t>200%</w:t>
            </w:r>
          </w:p>
        </w:tc>
        <w:tc>
          <w:tcPr>
            <w:tcW w:w="2260" w:type="dxa"/>
            <w:vAlign w:val="bottom"/>
          </w:tcPr>
          <w:p>
            <w:pPr>
              <w:jc w:val="center"/>
              <w:ind w:right="161"/>
              <w:spacing w:after="0"/>
              <w:rPr>
                <w:sz w:val="20"/>
                <w:szCs w:val="20"/>
                <w:color w:val="auto"/>
              </w:rPr>
            </w:pPr>
            <w:r>
              <w:rPr>
                <w:rFonts w:ascii="Arial" w:cs="Arial" w:eastAsia="Arial" w:hAnsi="Arial"/>
                <w:sz w:val="16"/>
                <w:szCs w:val="16"/>
                <w:color w:val="auto"/>
              </w:rPr>
              <w:t>$30.00</w:t>
            </w:r>
          </w:p>
        </w:tc>
        <w:tc>
          <w:tcPr>
            <w:tcW w:w="920" w:type="dxa"/>
            <w:vAlign w:val="bottom"/>
          </w:tcPr>
          <w:p>
            <w:pPr>
              <w:jc w:val="center"/>
              <w:ind w:right="160"/>
              <w:spacing w:after="0"/>
              <w:rPr>
                <w:sz w:val="20"/>
                <w:szCs w:val="20"/>
                <w:color w:val="auto"/>
              </w:rPr>
            </w:pPr>
            <w:r>
              <w:rPr>
                <w:rFonts w:ascii="Arial" w:cs="Arial" w:eastAsia="Arial" w:hAnsi="Arial"/>
                <w:sz w:val="16"/>
                <w:szCs w:val="16"/>
                <w:color w:val="auto"/>
                <w:w w:val="97"/>
              </w:rPr>
              <w:t>200%</w:t>
            </w:r>
          </w:p>
        </w:tc>
      </w:tr>
      <w:tr>
        <w:trPr>
          <w:trHeight w:val="87"/>
        </w:trPr>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91"/>
        </w:trPr>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$35.00</w:t>
            </w:r>
          </w:p>
        </w:tc>
        <w:tc>
          <w:tcPr>
            <w:tcW w:w="92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250%</w:t>
            </w:r>
          </w:p>
        </w:tc>
        <w:tc>
          <w:tcPr>
            <w:tcW w:w="1980" w:type="dxa"/>
            <w:vAlign w:val="bottom"/>
            <w:shd w:val="clear" w:color="auto" w:fill="F2F2F2"/>
          </w:tcPr>
          <w:p>
            <w:pPr>
              <w:jc w:val="center"/>
              <w:ind w:left="41"/>
              <w:spacing w:after="0"/>
              <w:rPr>
                <w:sz w:val="20"/>
                <w:szCs w:val="20"/>
                <w:color w:val="auto"/>
              </w:rPr>
            </w:pPr>
            <w:r>
              <w:rPr>
                <w:rFonts w:ascii="Arial" w:cs="Arial" w:eastAsia="Arial" w:hAnsi="Arial"/>
                <w:sz w:val="16"/>
                <w:szCs w:val="16"/>
                <w:color w:val="auto"/>
              </w:rPr>
              <w:t>$35.00</w:t>
            </w:r>
          </w:p>
        </w:tc>
        <w:tc>
          <w:tcPr>
            <w:tcW w:w="12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250%</w:t>
            </w:r>
          </w:p>
        </w:tc>
        <w:tc>
          <w:tcPr>
            <w:tcW w:w="2260" w:type="dxa"/>
            <w:vAlign w:val="bottom"/>
            <w:shd w:val="clear" w:color="auto" w:fill="F2F2F2"/>
          </w:tcPr>
          <w:p>
            <w:pPr>
              <w:jc w:val="center"/>
              <w:ind w:right="161"/>
              <w:spacing w:after="0"/>
              <w:rPr>
                <w:sz w:val="20"/>
                <w:szCs w:val="20"/>
                <w:color w:val="auto"/>
              </w:rPr>
            </w:pPr>
            <w:r>
              <w:rPr>
                <w:rFonts w:ascii="Arial" w:cs="Arial" w:eastAsia="Arial" w:hAnsi="Arial"/>
                <w:sz w:val="16"/>
                <w:szCs w:val="16"/>
                <w:color w:val="auto"/>
              </w:rPr>
              <w:t>$35.00</w:t>
            </w:r>
          </w:p>
        </w:tc>
        <w:tc>
          <w:tcPr>
            <w:tcW w:w="920" w:type="dxa"/>
            <w:vAlign w:val="bottom"/>
            <w:shd w:val="clear" w:color="auto" w:fill="F2F2F2"/>
          </w:tcPr>
          <w:p>
            <w:pPr>
              <w:jc w:val="center"/>
              <w:ind w:right="160"/>
              <w:spacing w:after="0"/>
              <w:rPr>
                <w:sz w:val="20"/>
                <w:szCs w:val="20"/>
                <w:color w:val="auto"/>
              </w:rPr>
            </w:pPr>
            <w:r>
              <w:rPr>
                <w:rFonts w:ascii="Arial" w:cs="Arial" w:eastAsia="Arial" w:hAnsi="Arial"/>
                <w:sz w:val="16"/>
                <w:szCs w:val="16"/>
                <w:color w:val="auto"/>
                <w:w w:val="97"/>
              </w:rPr>
              <w:t>250%</w:t>
            </w:r>
          </w:p>
        </w:tc>
      </w:tr>
      <w:tr>
        <w:trPr>
          <w:trHeight w:val="87"/>
        </w:trPr>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c>
          <w:tcPr>
            <w:tcW w:w="198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920" w:type="dxa"/>
            <w:vAlign w:val="bottom"/>
            <w:shd w:val="clear" w:color="auto" w:fill="F2F2F2"/>
          </w:tcPr>
          <w:p>
            <w:pPr>
              <w:spacing w:after="0"/>
              <w:rPr>
                <w:sz w:val="7"/>
                <w:szCs w:val="7"/>
                <w:color w:val="auto"/>
              </w:rPr>
            </w:pPr>
          </w:p>
        </w:tc>
      </w:tr>
      <w:tr>
        <w:trPr>
          <w:trHeight w:val="291"/>
        </w:trPr>
        <w:tc>
          <w:tcPr>
            <w:tcW w:w="2260" w:type="dxa"/>
            <w:vAlign w:val="bottom"/>
          </w:tcPr>
          <w:p>
            <w:pPr>
              <w:jc w:val="center"/>
              <w:ind w:right="161"/>
              <w:spacing w:after="0"/>
              <w:rPr>
                <w:sz w:val="20"/>
                <w:szCs w:val="20"/>
                <w:color w:val="auto"/>
              </w:rPr>
            </w:pPr>
            <w:r>
              <w:rPr>
                <w:rFonts w:ascii="Arial" w:cs="Arial" w:eastAsia="Arial" w:hAnsi="Arial"/>
                <w:sz w:val="16"/>
                <w:szCs w:val="16"/>
                <w:color w:val="auto"/>
              </w:rPr>
              <w:t>$40.00</w:t>
            </w:r>
          </w:p>
        </w:tc>
        <w:tc>
          <w:tcPr>
            <w:tcW w:w="920" w:type="dxa"/>
            <w:vAlign w:val="bottom"/>
          </w:tcPr>
          <w:p>
            <w:pPr>
              <w:jc w:val="center"/>
              <w:ind w:right="100"/>
              <w:spacing w:after="0"/>
              <w:rPr>
                <w:sz w:val="20"/>
                <w:szCs w:val="20"/>
                <w:color w:val="auto"/>
              </w:rPr>
            </w:pPr>
            <w:r>
              <w:rPr>
                <w:rFonts w:ascii="Arial" w:cs="Arial" w:eastAsia="Arial" w:hAnsi="Arial"/>
                <w:sz w:val="16"/>
                <w:szCs w:val="16"/>
                <w:color w:val="auto"/>
              </w:rPr>
              <w:t>300%</w:t>
            </w:r>
          </w:p>
        </w:tc>
        <w:tc>
          <w:tcPr>
            <w:tcW w:w="1980" w:type="dxa"/>
            <w:vAlign w:val="bottom"/>
          </w:tcPr>
          <w:p>
            <w:pPr>
              <w:jc w:val="center"/>
              <w:ind w:left="41"/>
              <w:spacing w:after="0"/>
              <w:rPr>
                <w:sz w:val="20"/>
                <w:szCs w:val="20"/>
                <w:color w:val="auto"/>
              </w:rPr>
            </w:pPr>
            <w:r>
              <w:rPr>
                <w:rFonts w:ascii="Arial" w:cs="Arial" w:eastAsia="Arial" w:hAnsi="Arial"/>
                <w:sz w:val="16"/>
                <w:szCs w:val="16"/>
                <w:color w:val="auto"/>
              </w:rPr>
              <w:t>$40.00</w:t>
            </w:r>
          </w:p>
        </w:tc>
        <w:tc>
          <w:tcPr>
            <w:tcW w:w="1220" w:type="dxa"/>
            <w:vAlign w:val="bottom"/>
          </w:tcPr>
          <w:p>
            <w:pPr>
              <w:jc w:val="center"/>
              <w:spacing w:after="0"/>
              <w:rPr>
                <w:sz w:val="20"/>
                <w:szCs w:val="20"/>
                <w:color w:val="auto"/>
              </w:rPr>
            </w:pPr>
            <w:r>
              <w:rPr>
                <w:rFonts w:ascii="Arial" w:cs="Arial" w:eastAsia="Arial" w:hAnsi="Arial"/>
                <w:sz w:val="16"/>
                <w:szCs w:val="16"/>
                <w:color w:val="auto"/>
              </w:rPr>
              <w:t>300%</w:t>
            </w:r>
          </w:p>
        </w:tc>
        <w:tc>
          <w:tcPr>
            <w:tcW w:w="2260" w:type="dxa"/>
            <w:vAlign w:val="bottom"/>
          </w:tcPr>
          <w:p>
            <w:pPr>
              <w:jc w:val="center"/>
              <w:ind w:right="161"/>
              <w:spacing w:after="0"/>
              <w:rPr>
                <w:sz w:val="20"/>
                <w:szCs w:val="20"/>
                <w:color w:val="auto"/>
              </w:rPr>
            </w:pPr>
            <w:r>
              <w:rPr>
                <w:rFonts w:ascii="Arial" w:cs="Arial" w:eastAsia="Arial" w:hAnsi="Arial"/>
                <w:sz w:val="16"/>
                <w:szCs w:val="16"/>
                <w:color w:val="auto"/>
              </w:rPr>
              <w:t>$40.00</w:t>
            </w:r>
          </w:p>
        </w:tc>
        <w:tc>
          <w:tcPr>
            <w:tcW w:w="920" w:type="dxa"/>
            <w:vAlign w:val="bottom"/>
          </w:tcPr>
          <w:p>
            <w:pPr>
              <w:jc w:val="center"/>
              <w:ind w:right="160"/>
              <w:spacing w:after="0"/>
              <w:rPr>
                <w:sz w:val="20"/>
                <w:szCs w:val="20"/>
                <w:color w:val="auto"/>
              </w:rPr>
            </w:pPr>
            <w:r>
              <w:rPr>
                <w:rFonts w:ascii="Arial" w:cs="Arial" w:eastAsia="Arial" w:hAnsi="Arial"/>
                <w:sz w:val="16"/>
                <w:szCs w:val="16"/>
                <w:color w:val="auto"/>
                <w:w w:val="97"/>
              </w:rPr>
              <w:t>300%</w:t>
            </w:r>
          </w:p>
        </w:tc>
      </w:tr>
    </w:tbl>
    <w:p>
      <w:pPr>
        <w:spacing w:after="0" w:line="237"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No more than 300% of the target number of shares subject to a tranche may become eligible to vest in any measurement period. Mr. Young will generally forfeit any shares subject to a tranche that do not become eligible to vest as of immediately following the end of the measurement period for that tranche.</w:t>
      </w:r>
    </w:p>
    <w:p>
      <w:pPr>
        <w:spacing w:after="0" w:line="147" w:lineRule="exact"/>
        <w:rPr>
          <w:sz w:val="20"/>
          <w:szCs w:val="20"/>
          <w:color w:val="auto"/>
        </w:rPr>
      </w:pPr>
    </w:p>
    <w:p>
      <w:pPr>
        <w:ind w:left="4" w:right="460"/>
        <w:spacing w:after="0" w:line="260" w:lineRule="auto"/>
        <w:rPr>
          <w:sz w:val="20"/>
          <w:szCs w:val="20"/>
          <w:color w:val="auto"/>
        </w:rPr>
      </w:pPr>
      <w:r>
        <w:rPr>
          <w:rFonts w:ascii="Arial" w:cs="Arial" w:eastAsia="Arial" w:hAnsi="Arial"/>
          <w:sz w:val="16"/>
          <w:szCs w:val="16"/>
          <w:color w:val="auto"/>
        </w:rPr>
        <w:t>Any shares subject to the performance-based RSA that become eligible to vest will vest on February 15 following the end of the applicable measurement period, subject to Mr. Young’s continued service with us through that date.</w:t>
      </w:r>
    </w:p>
    <w:p>
      <w:pPr>
        <w:spacing w:after="0" w:line="141" w:lineRule="exact"/>
        <w:rPr>
          <w:sz w:val="20"/>
          <w:szCs w:val="20"/>
          <w:color w:val="auto"/>
        </w:rPr>
      </w:pPr>
    </w:p>
    <w:p>
      <w:pPr>
        <w:ind w:left="4" w:right="380"/>
        <w:spacing w:after="0" w:line="253" w:lineRule="auto"/>
        <w:rPr>
          <w:sz w:val="20"/>
          <w:szCs w:val="20"/>
          <w:color w:val="auto"/>
        </w:rPr>
      </w:pPr>
      <w:r>
        <w:rPr>
          <w:rFonts w:ascii="Arial" w:cs="Arial" w:eastAsia="Arial" w:hAnsi="Arial"/>
          <w:sz w:val="16"/>
          <w:szCs w:val="16"/>
          <w:color w:val="auto"/>
        </w:rPr>
        <w:t>In addition, the shares subject to the performance-based RSA may vest in connection with certain terminations of Mr. Young’s employment and/or a “change in control” (as defined in our 2018 Equity Incentive Plan), as described further below in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w:t>
      </w:r>
    </w:p>
    <w:p>
      <w:pPr>
        <w:sectPr>
          <w:pgSz w:w="11900" w:h="16838" w:orient="portrait"/>
          <w:cols w:equalWidth="0" w:num="1">
            <w:col w:w="9584"/>
          </w:cols>
          <w:pgMar w:left="1156" w:top="265" w:right="1159" w:bottom="1440" w:gutter="0" w:footer="0" w:header="0"/>
        </w:sectPr>
      </w:pPr>
    </w:p>
    <w:p>
      <w:pPr>
        <w:spacing w:after="0" w:line="186" w:lineRule="exact"/>
        <w:rPr>
          <w:sz w:val="20"/>
          <w:szCs w:val="20"/>
          <w:color w:val="auto"/>
        </w:rPr>
      </w:pPr>
    </w:p>
    <w:p>
      <w:pPr>
        <w:ind w:left="3624"/>
        <w:spacing w:after="0"/>
        <w:tabs>
          <w:tab w:leader="none" w:pos="9404"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45" w:name="page46"/>
    <w:bookmarkEnd w:id="4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0" w:lineRule="exact"/>
        <w:rPr>
          <w:sz w:val="20"/>
          <w:szCs w:val="20"/>
          <w:color w:val="auto"/>
        </w:rPr>
      </w:pPr>
    </w:p>
    <w:p>
      <w:pPr>
        <w:ind w:left="4" w:right="80"/>
        <w:spacing w:after="0" w:line="281" w:lineRule="auto"/>
        <w:rPr>
          <w:sz w:val="20"/>
          <w:szCs w:val="20"/>
          <w:color w:val="auto"/>
        </w:rPr>
      </w:pPr>
      <w:r>
        <w:rPr>
          <w:rFonts w:ascii="Arial" w:cs="Arial" w:eastAsia="Arial" w:hAnsi="Arial"/>
          <w:sz w:val="16"/>
          <w:szCs w:val="16"/>
          <w:color w:val="auto"/>
        </w:rPr>
        <w:t>The equity awards granted to our named executive officers during 2020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Year 2020</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2020</w:t>
      </w:r>
      <w:r>
        <w:rPr>
          <w:rFonts w:ascii="Arial" w:cs="Arial" w:eastAsia="Arial" w:hAnsi="Arial"/>
          <w:sz w:val="16"/>
          <w:szCs w:val="16"/>
          <w:color w:val="auto"/>
        </w:rPr>
        <w:t>” below.</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Welfare and Health Benefits</w:t>
      </w:r>
    </w:p>
    <w:p>
      <w:pPr>
        <w:spacing w:after="0" w:line="66" w:lineRule="exact"/>
        <w:rPr>
          <w:sz w:val="20"/>
          <w:szCs w:val="20"/>
          <w:color w:val="auto"/>
        </w:rPr>
      </w:pPr>
    </w:p>
    <w:p>
      <w:pPr>
        <w:ind w:left="4" w:right="120"/>
        <w:spacing w:after="0" w:line="250"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$1,500 each quarter up to a maximum of $6,000. We intend for the plan to qualify under Section 401(a) of the Internal Revenue Code (the “Code”), so that contributions by participants to the plan, and income earned on plan contributions, are not taxable to participants until withdrawn from the plan.</w:t>
      </w:r>
    </w:p>
    <w:p>
      <w:pPr>
        <w:spacing w:after="0" w:line="149"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Additional benefits received by our executive officers, including our named executive officers, include medical, dental, and vision insurance, fertility benefits, an employee assistance program, commuter and wellness reimbursement programs, health and dependent care flexible spending accounts, a commuter benefit program, health savings accounts, basic and voluntary life and accidental death and dismemberment insurance and disability insurance. Employees who earn over $260,000 per year are provided with voluntary supplemental long-term disability insurance. All of these benefits are provided to our executive officers on the same basis as to all of our employees.</w:t>
      </w:r>
    </w:p>
    <w:p>
      <w:pPr>
        <w:spacing w:after="0" w:line="151"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 For example, in connection with our shift to a Virtual First work model, we are replacing a number of our existing reimbursement and allowance programs with a single allowance program that gives our employees more flexibility to be reimbursed for a wide range of wellness, dependent care, productivity and learning and development expenses.</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66" w:lineRule="exact"/>
        <w:rPr>
          <w:sz w:val="20"/>
          <w:szCs w:val="20"/>
          <w:color w:val="auto"/>
        </w:rPr>
      </w:pPr>
    </w:p>
    <w:p>
      <w:pPr>
        <w:ind w:left="4" w:right="140"/>
        <w:spacing w:after="0" w:line="24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their duties, to make him or her more efficient and effective, and for recruitment and retention purposes. During 2020, none of our named executive officers received perquisites or other personal benefits that were, in the aggregate, $10,000 or more for each individual.</w:t>
      </w:r>
    </w:p>
    <w:p>
      <w:pPr>
        <w:spacing w:after="0" w:line="151" w:lineRule="exact"/>
        <w:rPr>
          <w:sz w:val="20"/>
          <w:szCs w:val="20"/>
          <w:color w:val="auto"/>
        </w:rPr>
      </w:pPr>
    </w:p>
    <w:p>
      <w:pPr>
        <w:ind w:left="4" w:right="580"/>
        <w:spacing w:after="0" w:line="253"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Employment Arrangements</w:t>
      </w:r>
    </w:p>
    <w:p>
      <w:pPr>
        <w:spacing w:after="0" w:line="169"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including our other named executive officers. Each of these arrangements was approved on our behalf by the compensation committee or our board of directors.</w:t>
      </w:r>
    </w:p>
    <w:p>
      <w:pPr>
        <w:spacing w:after="0" w:line="147" w:lineRule="exact"/>
        <w:rPr>
          <w:sz w:val="20"/>
          <w:szCs w:val="20"/>
          <w:color w:val="auto"/>
        </w:rPr>
      </w:pPr>
    </w:p>
    <w:p>
      <w:pPr>
        <w:jc w:val="both"/>
        <w:ind w:left="4" w:right="200"/>
        <w:spacing w:after="0" w:line="251" w:lineRule="auto"/>
        <w:rPr>
          <w:sz w:val="20"/>
          <w:szCs w:val="20"/>
          <w:color w:val="auto"/>
        </w:rPr>
      </w:pPr>
      <w:r>
        <w:rPr>
          <w:rFonts w:ascii="Arial" w:cs="Arial" w:eastAsia="Arial" w:hAnsi="Arial"/>
          <w:sz w:val="16"/>
          <w:szCs w:val="16"/>
          <w:color w:val="auto"/>
        </w:rPr>
        <w:t>In filling each of our executive positions, our board of directors or the compensation committee, as applicable, recognized that we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balancing both competitive and internal equity considerations.</w:t>
      </w:r>
    </w:p>
    <w:p>
      <w:pPr>
        <w:spacing w:after="0" w:line="148"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93" w:lineRule="exact"/>
        <w:rPr>
          <w:sz w:val="20"/>
          <w:szCs w:val="20"/>
          <w:color w:val="auto"/>
        </w:rPr>
      </w:pPr>
    </w:p>
    <w:p>
      <w:pPr>
        <w:ind w:left="524" w:hanging="524"/>
        <w:spacing w:after="0"/>
        <w:tabs>
          <w:tab w:leader="none" w:pos="524"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6" w:name="page47"/>
    <w:bookmarkEnd w:id="4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named executive officers are also eligible to enter into change in control and severance agreements with the company.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253"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Post-Employment Compensation</w:t>
      </w:r>
    </w:p>
    <w:p>
      <w:pPr>
        <w:spacing w:after="0" w:line="169" w:lineRule="exact"/>
        <w:rPr>
          <w:sz w:val="20"/>
          <w:szCs w:val="20"/>
          <w:color w:val="auto"/>
        </w:rPr>
      </w:pPr>
    </w:p>
    <w:p>
      <w:pPr>
        <w:jc w:val="both"/>
        <w:ind w:left="720" w:right="800"/>
        <w:spacing w:after="0" w:line="253"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47" w:lineRule="exact"/>
        <w:rPr>
          <w:sz w:val="20"/>
          <w:szCs w:val="20"/>
          <w:color w:val="auto"/>
        </w:rPr>
      </w:pPr>
    </w:p>
    <w:p>
      <w:pPr>
        <w:ind w:left="720" w:right="880"/>
        <w:spacing w:after="0" w:line="248"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53" w:lineRule="exact"/>
        <w:rPr>
          <w:sz w:val="20"/>
          <w:szCs w:val="20"/>
          <w:color w:val="auto"/>
        </w:rPr>
      </w:pPr>
    </w:p>
    <w:p>
      <w:pPr>
        <w:ind w:left="720" w:right="780"/>
        <w:spacing w:after="0" w:line="250"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49" w:lineRule="exact"/>
        <w:rPr>
          <w:sz w:val="20"/>
          <w:szCs w:val="20"/>
          <w:color w:val="auto"/>
        </w:rPr>
      </w:pPr>
    </w:p>
    <w:p>
      <w:pPr>
        <w:ind w:left="720" w:right="1060"/>
        <w:spacing w:after="0" w:line="251" w:lineRule="auto"/>
        <w:rPr>
          <w:sz w:val="20"/>
          <w:szCs w:val="20"/>
          <w:color w:val="auto"/>
        </w:rPr>
      </w:pPr>
      <w:r>
        <w:rPr>
          <w:rFonts w:ascii="Arial" w:cs="Arial" w:eastAsia="Arial" w:hAnsi="Arial"/>
          <w:sz w:val="16"/>
          <w:szCs w:val="16"/>
          <w:color w:val="auto"/>
        </w:rPr>
        <w:t>Mr. Houston’s “Co-Founder Grant,” as described below, vests in connection with our acquisition, and as noted above, the performance-based RSA granted to Mr. Young in November 2020 may vest in connection with certain terminations of Mr. Young’s employment and/or a “change in control” (as defined in our 2018 Equity Incentive Plan), each as described further below in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Hedging and Pledging Prohibitions</w:t>
      </w:r>
    </w:p>
    <w:p>
      <w:pPr>
        <w:spacing w:after="0" w:line="66"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Tax and Accounting Considerations</w:t>
      </w:r>
    </w:p>
    <w:p>
      <w:pPr>
        <w:spacing w:after="0" w:line="169"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66"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The regulations promulgated under Section 162(m) of the Code currently contain a transition rule that applies to companies, such as ours, that become subject to Section 162(m) of the Code by reason of becoming publicly held. Under this rule, certain compensation granted during a transition period (and, with respect to RSU awards, that is paid out before the end of the transition period) currently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the compensation committee has not adopted a policy that all equity or other compensation must be deductible.</w:t>
      </w:r>
    </w:p>
    <w:p>
      <w:pPr>
        <w:spacing w:after="0" w:line="151" w:lineRule="exact"/>
        <w:rPr>
          <w:sz w:val="20"/>
          <w:szCs w:val="20"/>
          <w:color w:val="auto"/>
        </w:rPr>
      </w:pPr>
    </w:p>
    <w:p>
      <w:pPr>
        <w:ind w:left="720" w:right="800"/>
        <w:spacing w:after="0" w:line="260" w:lineRule="auto"/>
        <w:rPr>
          <w:sz w:val="20"/>
          <w:szCs w:val="20"/>
          <w:color w:val="auto"/>
        </w:rPr>
      </w:pPr>
      <w:r>
        <w:rPr>
          <w:rFonts w:ascii="Arial" w:cs="Arial" w:eastAsia="Arial" w:hAnsi="Arial"/>
          <w:sz w:val="16"/>
          <w:szCs w:val="16"/>
          <w:color w:val="auto"/>
        </w:rPr>
        <w:t>In approving the amount and form of compensation for our executive officers, the compensation committee considers all elements of our cost of providing such compensation, including the potential impact of Section 162(m) of the Code. The compensation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43</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7" w:name="page48"/>
    <w:bookmarkEnd w:id="4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right="240"/>
        <w:spacing w:after="0" w:line="260" w:lineRule="auto"/>
        <w:rPr>
          <w:sz w:val="20"/>
          <w:szCs w:val="20"/>
          <w:color w:val="auto"/>
        </w:rPr>
      </w:pPr>
      <w:r>
        <w:rPr>
          <w:rFonts w:ascii="Arial" w:cs="Arial" w:eastAsia="Arial" w:hAnsi="Arial"/>
          <w:sz w:val="16"/>
          <w:szCs w:val="16"/>
          <w:color w:val="auto"/>
        </w:rPr>
        <w:t>may, in its judgment, approve compensation that may not be deductible for federal income tax purposes when it believes that such compensation is in our best interests or the best interests of our stockholders.</w:t>
      </w:r>
    </w:p>
    <w:p>
      <w:pPr>
        <w:spacing w:after="0" w:line="141" w:lineRule="exact"/>
        <w:rPr>
          <w:sz w:val="20"/>
          <w:szCs w:val="20"/>
          <w:color w:val="auto"/>
        </w:rPr>
      </w:pPr>
    </w:p>
    <w:p>
      <w:pPr>
        <w:ind w:left="4" w:right="200"/>
        <w:spacing w:after="0" w:line="253" w:lineRule="auto"/>
        <w:rPr>
          <w:sz w:val="20"/>
          <w:szCs w:val="20"/>
          <w:color w:val="auto"/>
        </w:rPr>
      </w:pPr>
      <w:r>
        <w:rPr>
          <w:rFonts w:ascii="Arial" w:cs="Arial" w:eastAsia="Arial" w:hAnsi="Arial"/>
          <w:sz w:val="16"/>
          <w:szCs w:val="16"/>
          <w:color w:val="auto"/>
        </w:rPr>
        <w:t>While the transition rule for newly-public companies may help minimize the effect of the Section 162(m) deduction limit in the short-term, it is possible, going forward, that some portion of our executive officer compensation might not be fully deductible by us for federal income tax purposes.</w:t>
      </w:r>
    </w:p>
    <w:p>
      <w:pPr>
        <w:spacing w:after="0" w:line="3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6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Our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53"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In December 2017, the board of directors approved a grant to our co-founders of RSAs with respect to 14.7 million shares of Class A common stock in the aggregate, or collectively, the Co-Founder Grants, of which 10.3 million RSAs were granted to Mr. Houston, our co-founder, chief executive officer, and chairman of the board of directors, and 4.4 million RSAs were granted to Mr. Ferdowsi, our co-founder and a former director and officer. These Co-Founder Grants have service-based, market-based, and performance-based vesting conditions. The Co-Founder Grants are eligible to vest based on the achievement of certain stock price goals (each, a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Price Target</w:t>
      </w:r>
      <w:r>
        <w:rPr>
          <w:rFonts w:ascii="Arial" w:cs="Arial" w:eastAsia="Arial" w:hAnsi="Arial"/>
          <w:sz w:val="16"/>
          <w:szCs w:val="16"/>
          <w:color w:val="auto"/>
        </w:rPr>
        <w:t>”) measured over a consecutive thirty-day trading period during the period that began on January 2, 2019, and ends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earliest to occur of (i) the date on which all shares subject to the Co-Founder Grants vest, (ii) the date the applicable co-founder ceases to satisfy the service-based vesting condition, and (iii) March 23, 2028. See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153"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 In March 2020, Mr. Ferdowsi resigned as a member of the board and as an officer of the company. As a result, he ceased to satisfy the service-based vesting condition of his Co-Founder Grant as of March 19, 2020 (the “Expiration Date”). None of the 4.4 million RSAs subject to Mr. Ferdowsi’s Co-Founder Grant had vested prior to the Expiration Date. Accordingly, all were forfeited by Mr. Ferdowsi and reacquired by the company as of that date. This forfeiture also resulted in a full reversal of the historical stock-based compensation expense related to Mr. Ferdowsi’s award that had been recognized by the company prior to the Expiration Date. Any future stock-based compensation expense that would have been taken related to Mr. Ferdowsi’s award will be cancelled. See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157"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In October 2020, the compensation committee approved an equity grant of RSAs, effective December 1, 2020, to Mr. Young in connection with his promotion to President. The performance-based RSA granted to Mr. Young is subject to service-based and market-based vesting conditions and may become eligible to vest over an approximately three-year performance period beginning January 1, 2021. The target number of shares subject to the performance -based RSA are divided into three equal tranches, and the</w:t>
      </w:r>
    </w:p>
    <w:p>
      <w:pPr>
        <w:spacing w:after="0" w:line="187" w:lineRule="exact"/>
        <w:rPr>
          <w:sz w:val="20"/>
          <w:szCs w:val="20"/>
          <w:color w:val="auto"/>
        </w:rPr>
      </w:pPr>
    </w:p>
    <w:p>
      <w:pPr>
        <w:ind w:left="524" w:hanging="524"/>
        <w:spacing w:after="0"/>
        <w:tabs>
          <w:tab w:leader="none" w:pos="524"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8" w:name="page49"/>
    <w:bookmarkEnd w:id="4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shares subject to a tranche may become eligible to vest based on the achievement of stock price goals measured over a consecutive thirty-day trading period during a twelve-month measurement period that begins one month following the one-year anniversary of the grant date of the performance-based RSA (or in the case of the first measurement period, one month following the grant date) and ends one month following the next anniversary of the grant date. No more than 300% of the target number of shares subject to a tranche may become eligible to vest in any measurement period. Mr. Young will generally forfeit any shares subject to a tranche that do not become eligible to vest as of immediately following the end of the measurement period for that tranche. See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Elements—Long-Term Equity Incentive Compensation</w:t>
      </w:r>
      <w:r>
        <w:rPr>
          <w:rFonts w:ascii="Arial" w:cs="Arial" w:eastAsia="Arial" w:hAnsi="Arial"/>
          <w:sz w:val="16"/>
          <w:szCs w:val="16"/>
          <w:color w:val="auto"/>
        </w:rPr>
        <w:t>” above for additional information regarding Mr. Young’s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RSA.</w:t>
      </w:r>
    </w:p>
    <w:p>
      <w:pPr>
        <w:spacing w:after="0" w:line="153" w:lineRule="exact"/>
        <w:rPr>
          <w:sz w:val="20"/>
          <w:szCs w:val="20"/>
          <w:color w:val="auto"/>
        </w:rPr>
      </w:pPr>
    </w:p>
    <w:p>
      <w:pPr>
        <w:ind w:left="720" w:right="860"/>
        <w:spacing w:after="0" w:line="246" w:lineRule="auto"/>
        <w:rPr>
          <w:sz w:val="20"/>
          <w:szCs w:val="20"/>
          <w:color w:val="auto"/>
        </w:rPr>
      </w:pPr>
      <w:r>
        <w:rPr>
          <w:rFonts w:ascii="Arial" w:cs="Arial" w:eastAsia="Arial" w:hAnsi="Arial"/>
          <w:sz w:val="16"/>
          <w:szCs w:val="16"/>
          <w:color w:val="auto"/>
        </w:rPr>
        <w:t>We estimated the grant date fair value of Mr. Young’s performance-based RSA using a model based on multiple stock price paths developed through the use of a Monte Carlo simulation that incorporates into the valuation the potential stock price goals that could be achieved during each measurement period. We will recognize approximately $19.1 million in stock-based compensation expense associated with this award using the accelerated attribution method through February 15, 2024. We will recognize stock-based compensation expense if the requisite service period is provided, regardless of whether the market conditions are achieved. If</w:t>
      </w:r>
    </w:p>
    <w:p>
      <w:pPr>
        <w:spacing w:after="0" w:line="2" w:lineRule="exact"/>
        <w:rPr>
          <w:sz w:val="20"/>
          <w:szCs w:val="20"/>
          <w:color w:val="auto"/>
        </w:rPr>
      </w:pPr>
    </w:p>
    <w:p>
      <w:pPr>
        <w:jc w:val="both"/>
        <w:ind w:left="720" w:right="1300"/>
        <w:spacing w:after="0" w:line="253" w:lineRule="auto"/>
        <w:rPr>
          <w:sz w:val="20"/>
          <w:szCs w:val="20"/>
          <w:color w:val="auto"/>
        </w:rPr>
      </w:pPr>
      <w:r>
        <w:rPr>
          <w:rFonts w:ascii="Arial" w:cs="Arial" w:eastAsia="Arial" w:hAnsi="Arial"/>
          <w:sz w:val="16"/>
          <w:szCs w:val="16"/>
          <w:color w:val="auto"/>
        </w:rPr>
        <w:t>Mr. Young’s employment with us is terminated, stock-based compensation expense associated with unvested tranches will be reversed and any future stock-based compensation expense that would have been taken will be cancelled from the grant date through February 15,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9" w:name="page50"/>
    <w:bookmarkEnd w:id="4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Report of the Compensation Committee</w:t>
      </w:r>
    </w:p>
    <w:p>
      <w:pPr>
        <w:spacing w:after="0" w:line="169"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Dropbox’s Annual Report on Form 10-K for our fiscal year ended December 31, 2020.</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Respectfully submitted by the members of the compensation committee of the board of directors: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Condoleezza Rice (Chair)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Robert J. Mylod, Jr.</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Karen Peacock</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Michael Seibel</w:t>
      </w:r>
    </w:p>
    <w:p>
      <w:pPr>
        <w:spacing w:after="0" w:line="206" w:lineRule="exact"/>
        <w:rPr>
          <w:sz w:val="20"/>
          <w:szCs w:val="20"/>
          <w:color w:val="auto"/>
        </w:rPr>
      </w:pPr>
    </w:p>
    <w:p>
      <w:pPr>
        <w:ind w:left="524" w:hanging="524"/>
        <w:spacing w:after="0"/>
        <w:tabs>
          <w:tab w:leader="none" w:pos="524"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4"/>
          </w:cols>
          <w:pgMar w:left="1156" w:top="265" w:right="1239" w:bottom="1440" w:gutter="0" w:footer="0" w:header="0"/>
        </w:sectPr>
      </w:pPr>
    </w:p>
    <w:bookmarkStart w:id="50" w:name="page51"/>
    <w:bookmarkEnd w:id="5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Compensation Risk Assessment</w:t>
      </w:r>
    </w:p>
    <w:p>
      <w:pPr>
        <w:spacing w:after="0" w:line="169" w:lineRule="exact"/>
        <w:rPr>
          <w:sz w:val="20"/>
          <w:szCs w:val="20"/>
          <w:color w:val="auto"/>
        </w:rPr>
      </w:pPr>
    </w:p>
    <w:p>
      <w:pPr>
        <w:ind w:left="720" w:right="780"/>
        <w:spacing w:after="0" w:line="249" w:lineRule="auto"/>
        <w:rPr>
          <w:sz w:val="20"/>
          <w:szCs w:val="20"/>
          <w:color w:val="auto"/>
        </w:rPr>
      </w:pPr>
      <w:r>
        <w:rPr>
          <w:rFonts w:ascii="Arial" w:cs="Arial" w:eastAsia="Arial" w:hAnsi="Arial"/>
          <w:sz w:val="16"/>
          <w:szCs w:val="16"/>
          <w:color w:val="auto"/>
        </w:rPr>
        <w:t>Our management regularly assesses and discusses with the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51"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54" w:lineRule="exact"/>
        <w:rPr>
          <w:sz w:val="20"/>
          <w:szCs w:val="20"/>
          <w:color w:val="auto"/>
        </w:rPr>
      </w:pPr>
    </w:p>
    <w:p>
      <w:pPr>
        <w:ind w:left="720" w:right="800"/>
        <w:spacing w:after="0" w:line="250"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47</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1" w:name="page52"/>
    <w:bookmarkEnd w:id="5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Summary Compensation Table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6077585" cy="3703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7585" cy="3703320"/>
                    </a:xfrm>
                    <a:prstGeom prst="rect">
                      <a:avLst/>
                    </a:prstGeom>
                    <a:noFill/>
                  </pic:spPr>
                </pic:pic>
              </a:graphicData>
            </a:graphic>
          </wp:anchor>
        </w:drawing>
      </w:r>
    </w:p>
    <w:p>
      <w:pPr>
        <w:spacing w:after="0" w:line="52"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1900" w:type="dxa"/>
            <w:vAlign w:val="bottom"/>
            <w:shd w:val="clear" w:color="auto" w:fill="0063A6"/>
          </w:tcPr>
          <w:p>
            <w:pPr>
              <w:spacing w:after="0"/>
              <w:rPr>
                <w:sz w:val="20"/>
                <w:szCs w:val="20"/>
                <w:color w:val="auto"/>
              </w:rPr>
            </w:pPr>
          </w:p>
        </w:tc>
        <w:tc>
          <w:tcPr>
            <w:tcW w:w="140" w:type="dxa"/>
            <w:vAlign w:val="bottom"/>
            <w:shd w:val="clear" w:color="auto" w:fill="0063A6"/>
          </w:tcPr>
          <w:p>
            <w:pPr>
              <w:spacing w:after="0"/>
              <w:rPr>
                <w:sz w:val="20"/>
                <w:szCs w:val="20"/>
                <w:color w:val="auto"/>
              </w:rPr>
            </w:pPr>
          </w:p>
        </w:tc>
        <w:tc>
          <w:tcPr>
            <w:tcW w:w="480" w:type="dxa"/>
            <w:vAlign w:val="bottom"/>
            <w:shd w:val="clear" w:color="auto" w:fill="0063A6"/>
          </w:tcPr>
          <w:p>
            <w:pPr>
              <w:spacing w:after="0"/>
              <w:rPr>
                <w:sz w:val="20"/>
                <w:szCs w:val="20"/>
                <w:color w:val="auto"/>
              </w:rPr>
            </w:pPr>
          </w:p>
        </w:tc>
        <w:tc>
          <w:tcPr>
            <w:tcW w:w="140" w:type="dxa"/>
            <w:vAlign w:val="bottom"/>
            <w:shd w:val="clear" w:color="auto" w:fill="0063A6"/>
          </w:tcPr>
          <w:p>
            <w:pPr>
              <w:spacing w:after="0"/>
              <w:rPr>
                <w:sz w:val="20"/>
                <w:szCs w:val="20"/>
                <w:color w:val="auto"/>
              </w:rPr>
            </w:pPr>
          </w:p>
        </w:tc>
        <w:tc>
          <w:tcPr>
            <w:tcW w:w="1040" w:type="dxa"/>
            <w:vAlign w:val="bottom"/>
            <w:shd w:val="clear" w:color="auto" w:fill="0063A6"/>
          </w:tcPr>
          <w:p>
            <w:pPr>
              <w:spacing w:after="0"/>
              <w:rPr>
                <w:sz w:val="20"/>
                <w:szCs w:val="20"/>
                <w:color w:val="auto"/>
              </w:rPr>
            </w:pPr>
          </w:p>
        </w:tc>
        <w:tc>
          <w:tcPr>
            <w:tcW w:w="980" w:type="dxa"/>
            <w:vAlign w:val="bottom"/>
            <w:shd w:val="clear" w:color="auto" w:fill="0063A6"/>
          </w:tcPr>
          <w:p>
            <w:pPr>
              <w:spacing w:after="0"/>
              <w:rPr>
                <w:sz w:val="20"/>
                <w:szCs w:val="20"/>
                <w:color w:val="auto"/>
              </w:rPr>
            </w:pPr>
          </w:p>
        </w:tc>
        <w:tc>
          <w:tcPr>
            <w:tcW w:w="1340" w:type="dxa"/>
            <w:vAlign w:val="bottom"/>
            <w:shd w:val="clear" w:color="auto" w:fill="0063A6"/>
          </w:tcPr>
          <w:p>
            <w:pPr>
              <w:spacing w:after="0"/>
              <w:rPr>
                <w:sz w:val="20"/>
                <w:szCs w:val="20"/>
                <w:color w:val="auto"/>
              </w:rPr>
            </w:pP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Non-equity</w:t>
            </w:r>
          </w:p>
        </w:tc>
        <w:tc>
          <w:tcPr>
            <w:tcW w:w="1280" w:type="dxa"/>
            <w:vAlign w:val="bottom"/>
            <w:shd w:val="clear" w:color="auto" w:fill="0063A6"/>
          </w:tcPr>
          <w:p>
            <w:pPr>
              <w:spacing w:after="0"/>
              <w:rPr>
                <w:sz w:val="20"/>
                <w:szCs w:val="20"/>
                <w:color w:val="auto"/>
              </w:rPr>
            </w:pPr>
          </w:p>
        </w:tc>
        <w:tc>
          <w:tcPr>
            <w:tcW w:w="98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4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040" w:type="dxa"/>
            <w:vAlign w:val="bottom"/>
            <w:shd w:val="clear" w:color="auto" w:fill="0063A6"/>
          </w:tcPr>
          <w:p>
            <w:pPr>
              <w:spacing w:after="0"/>
              <w:rPr>
                <w:sz w:val="12"/>
                <w:szCs w:val="12"/>
                <w:color w:val="auto"/>
              </w:rPr>
            </w:pPr>
          </w:p>
        </w:tc>
        <w:tc>
          <w:tcPr>
            <w:tcW w:w="980" w:type="dxa"/>
            <w:vAlign w:val="bottom"/>
            <w:shd w:val="clear" w:color="auto" w:fill="0063A6"/>
          </w:tcPr>
          <w:p>
            <w:pPr>
              <w:spacing w:after="0"/>
              <w:rPr>
                <w:sz w:val="12"/>
                <w:szCs w:val="12"/>
                <w:color w:val="auto"/>
              </w:rPr>
            </w:pPr>
          </w:p>
        </w:tc>
        <w:tc>
          <w:tcPr>
            <w:tcW w:w="1340" w:type="dxa"/>
            <w:vAlign w:val="bottom"/>
            <w:shd w:val="clear" w:color="auto" w:fill="0063A6"/>
          </w:tcPr>
          <w:p>
            <w:pPr>
              <w:ind w:left="420"/>
              <w:spacing w:after="0" w:line="149" w:lineRule="exact"/>
              <w:rPr>
                <w:sz w:val="20"/>
                <w:szCs w:val="20"/>
                <w:color w:val="auto"/>
              </w:rPr>
            </w:pPr>
            <w:r>
              <w:rPr>
                <w:rFonts w:ascii="Arial" w:cs="Arial" w:eastAsia="Arial" w:hAnsi="Arial"/>
                <w:sz w:val="14"/>
                <w:szCs w:val="14"/>
                <w:b w:val="1"/>
                <w:bCs w:val="1"/>
                <w:color w:val="FFFFFF"/>
              </w:rPr>
              <w:t>Stock</w:t>
            </w:r>
          </w:p>
        </w:tc>
        <w:tc>
          <w:tcPr>
            <w:tcW w:w="1280" w:type="dxa"/>
            <w:vAlign w:val="bottom"/>
            <w:shd w:val="clear" w:color="auto" w:fill="0063A6"/>
          </w:tcPr>
          <w:p>
            <w:pPr>
              <w:jc w:val="center"/>
              <w:spacing w:after="0" w:line="149" w:lineRule="exact"/>
              <w:rPr>
                <w:sz w:val="20"/>
                <w:szCs w:val="20"/>
                <w:color w:val="auto"/>
              </w:rPr>
            </w:pPr>
            <w:r>
              <w:rPr>
                <w:rFonts w:ascii="Arial" w:cs="Arial" w:eastAsia="Arial" w:hAnsi="Arial"/>
                <w:sz w:val="14"/>
                <w:szCs w:val="14"/>
                <w:b w:val="1"/>
                <w:bCs w:val="1"/>
                <w:color w:val="FFFFFF"/>
              </w:rPr>
              <w:t>Incentive Plan</w:t>
            </w:r>
          </w:p>
        </w:tc>
        <w:tc>
          <w:tcPr>
            <w:tcW w:w="1280" w:type="dxa"/>
            <w:vAlign w:val="bottom"/>
            <w:shd w:val="clear" w:color="auto" w:fill="0063A6"/>
          </w:tcPr>
          <w:p>
            <w:pPr>
              <w:jc w:val="center"/>
              <w:spacing w:after="0" w:line="149" w:lineRule="exact"/>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0063A6"/>
          </w:tcPr>
          <w:p>
            <w:pPr>
              <w:ind w:left="60"/>
              <w:spacing w:after="0" w:line="145" w:lineRule="exact"/>
              <w:rPr>
                <w:sz w:val="20"/>
                <w:szCs w:val="20"/>
                <w:color w:val="auto"/>
              </w:rPr>
            </w:pPr>
            <w:r>
              <w:rPr>
                <w:rFonts w:ascii="Arial" w:cs="Arial" w:eastAsia="Arial" w:hAnsi="Arial"/>
                <w:sz w:val="14"/>
                <w:szCs w:val="14"/>
                <w:b w:val="1"/>
                <w:bCs w:val="1"/>
                <w:color w:val="FFFFFF"/>
              </w:rPr>
              <w:t>Name and Principal</w:t>
            </w:r>
          </w:p>
        </w:tc>
        <w:tc>
          <w:tcPr>
            <w:tcW w:w="140" w:type="dxa"/>
            <w:vAlign w:val="bottom"/>
            <w:shd w:val="clear" w:color="auto" w:fill="0063A6"/>
          </w:tcPr>
          <w:p>
            <w:pPr>
              <w:spacing w:after="0"/>
              <w:rPr>
                <w:sz w:val="12"/>
                <w:szCs w:val="12"/>
                <w:color w:val="auto"/>
              </w:rPr>
            </w:pPr>
          </w:p>
        </w:tc>
        <w:tc>
          <w:tcPr>
            <w:tcW w:w="4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040" w:type="dxa"/>
            <w:vAlign w:val="bottom"/>
            <w:shd w:val="clear" w:color="auto" w:fill="0063A6"/>
          </w:tcPr>
          <w:p>
            <w:pPr>
              <w:ind w:left="300"/>
              <w:spacing w:after="0" w:line="145" w:lineRule="exact"/>
              <w:rPr>
                <w:sz w:val="20"/>
                <w:szCs w:val="20"/>
                <w:color w:val="auto"/>
              </w:rPr>
            </w:pPr>
            <w:r>
              <w:rPr>
                <w:rFonts w:ascii="Arial" w:cs="Arial" w:eastAsia="Arial" w:hAnsi="Arial"/>
                <w:sz w:val="14"/>
                <w:szCs w:val="14"/>
                <w:b w:val="1"/>
                <w:bCs w:val="1"/>
                <w:color w:val="FFFFFF"/>
              </w:rPr>
              <w:t>Salary</w:t>
            </w:r>
          </w:p>
        </w:tc>
        <w:tc>
          <w:tcPr>
            <w:tcW w:w="980" w:type="dxa"/>
            <w:vAlign w:val="bottom"/>
            <w:shd w:val="clear" w:color="auto" w:fill="0063A6"/>
          </w:tcPr>
          <w:p>
            <w:pPr>
              <w:ind w:left="220"/>
              <w:spacing w:after="0" w:line="145" w:lineRule="exact"/>
              <w:rPr>
                <w:sz w:val="20"/>
                <w:szCs w:val="20"/>
                <w:color w:val="auto"/>
              </w:rPr>
            </w:pPr>
            <w:r>
              <w:rPr>
                <w:rFonts w:ascii="Arial" w:cs="Arial" w:eastAsia="Arial" w:hAnsi="Arial"/>
                <w:sz w:val="14"/>
                <w:szCs w:val="14"/>
                <w:b w:val="1"/>
                <w:bCs w:val="1"/>
                <w:color w:val="FFFFFF"/>
              </w:rPr>
              <w:t>Bonus</w:t>
            </w:r>
          </w:p>
        </w:tc>
        <w:tc>
          <w:tcPr>
            <w:tcW w:w="1340" w:type="dxa"/>
            <w:vAlign w:val="bottom"/>
            <w:shd w:val="clear" w:color="auto" w:fill="0063A6"/>
          </w:tcPr>
          <w:p>
            <w:pPr>
              <w:ind w:left="360"/>
              <w:spacing w:after="0" w:line="145" w:lineRule="exact"/>
              <w:rPr>
                <w:sz w:val="20"/>
                <w:szCs w:val="20"/>
                <w:color w:val="auto"/>
              </w:rPr>
            </w:pPr>
            <w:r>
              <w:rPr>
                <w:rFonts w:ascii="Arial" w:cs="Arial" w:eastAsia="Arial" w:hAnsi="Arial"/>
                <w:sz w:val="14"/>
                <w:szCs w:val="14"/>
                <w:b w:val="1"/>
                <w:bCs w:val="1"/>
                <w:color w:val="FFFFFF"/>
              </w:rPr>
              <w:t>Awards</w:t>
            </w:r>
          </w:p>
        </w:tc>
        <w:tc>
          <w:tcPr>
            <w:tcW w:w="12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w w:val="98"/>
              </w:rPr>
              <w:t>Compensation</w:t>
            </w:r>
          </w:p>
        </w:tc>
        <w:tc>
          <w:tcPr>
            <w:tcW w:w="12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0063A6"/>
          </w:tcPr>
          <w:p>
            <w:pPr>
              <w:jc w:val="right"/>
              <w:ind w:right="248"/>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68"/>
        </w:trPr>
        <w:tc>
          <w:tcPr>
            <w:tcW w:w="190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Position</w:t>
            </w:r>
          </w:p>
        </w:tc>
        <w:tc>
          <w:tcPr>
            <w:tcW w:w="140" w:type="dxa"/>
            <w:vAlign w:val="bottom"/>
            <w:shd w:val="clear" w:color="auto" w:fill="0063A6"/>
          </w:tcPr>
          <w:p>
            <w:pPr>
              <w:spacing w:after="0"/>
              <w:rPr>
                <w:sz w:val="23"/>
                <w:szCs w:val="23"/>
                <w:color w:val="auto"/>
              </w:rPr>
            </w:pPr>
          </w:p>
        </w:tc>
        <w:tc>
          <w:tcPr>
            <w:tcW w:w="620" w:type="dxa"/>
            <w:vAlign w:val="bottom"/>
            <w:gridSpan w:val="2"/>
            <w:shd w:val="clear" w:color="auto" w:fill="0063A6"/>
          </w:tcPr>
          <w:p>
            <w:pPr>
              <w:ind w:left="100"/>
              <w:spacing w:after="0"/>
              <w:rPr>
                <w:sz w:val="20"/>
                <w:szCs w:val="20"/>
                <w:color w:val="auto"/>
              </w:rPr>
            </w:pPr>
            <w:r>
              <w:rPr>
                <w:rFonts w:ascii="Arial" w:cs="Arial" w:eastAsia="Arial" w:hAnsi="Arial"/>
                <w:sz w:val="14"/>
                <w:szCs w:val="14"/>
                <w:b w:val="1"/>
                <w:bCs w:val="1"/>
                <w:color w:val="FFFFFF"/>
              </w:rPr>
              <w:t>Year</w:t>
            </w:r>
          </w:p>
        </w:tc>
        <w:tc>
          <w:tcPr>
            <w:tcW w:w="1040" w:type="dxa"/>
            <w:vAlign w:val="bottom"/>
            <w:shd w:val="clear" w:color="auto" w:fill="0063A6"/>
          </w:tcPr>
          <w:p>
            <w:pPr>
              <w:ind w:left="440"/>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shd w:val="clear" w:color="auto" w:fill="0063A6"/>
          </w:tcPr>
          <w:p>
            <w:pPr>
              <w:jc w:val="center"/>
              <w:ind w:right="9"/>
              <w:spacing w:after="0" w:line="267" w:lineRule="exact"/>
              <w:rPr>
                <w:sz w:val="20"/>
                <w:szCs w:val="20"/>
                <w:color w:val="auto"/>
              </w:rPr>
            </w:pPr>
            <w:r>
              <w:rPr>
                <w:rFonts w:ascii="Arial" w:cs="Arial" w:eastAsia="Arial" w:hAnsi="Arial"/>
                <w:sz w:val="28"/>
                <w:szCs w:val="28"/>
                <w:b w:val="1"/>
                <w:bCs w:val="1"/>
                <w:color w:val="FFFFFF"/>
                <w:w w:val="79"/>
                <w:vertAlign w:val="subscript"/>
              </w:rPr>
              <w:t>($)</w:t>
            </w:r>
            <w:r>
              <w:rPr>
                <w:rFonts w:ascii="Arial" w:cs="Arial" w:eastAsia="Arial" w:hAnsi="Arial"/>
                <w:sz w:val="12"/>
                <w:szCs w:val="12"/>
                <w:b w:val="1"/>
                <w:bCs w:val="1"/>
                <w:color w:val="FFFFFF"/>
                <w:w w:val="79"/>
              </w:rPr>
              <w:t>(1)</w:t>
            </w:r>
          </w:p>
        </w:tc>
        <w:tc>
          <w:tcPr>
            <w:tcW w:w="1280" w:type="dxa"/>
            <w:vAlign w:val="bottom"/>
            <w:shd w:val="clear" w:color="auto" w:fill="0063A6"/>
          </w:tcPr>
          <w:p>
            <w:pPr>
              <w:jc w:val="center"/>
              <w:spacing w:after="0" w:line="26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1280" w:type="dxa"/>
            <w:vAlign w:val="bottom"/>
            <w:shd w:val="clear" w:color="auto" w:fill="0063A6"/>
          </w:tcPr>
          <w:p>
            <w:pPr>
              <w:jc w:val="center"/>
              <w:spacing w:after="0" w:line="26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(3)</w:t>
            </w: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72"/>
        </w:trPr>
        <w:tc>
          <w:tcPr>
            <w:tcW w:w="19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auto"/>
              </w:rPr>
              <w:t>Andrew W. Houston</w:t>
            </w:r>
          </w:p>
        </w:tc>
        <w:tc>
          <w:tcPr>
            <w:tcW w:w="140" w:type="dxa"/>
            <w:vAlign w:val="bottom"/>
            <w:shd w:val="clear" w:color="auto" w:fill="F2F2F2"/>
          </w:tcPr>
          <w:p>
            <w:pPr>
              <w:spacing w:after="0"/>
              <w:rPr>
                <w:sz w:val="23"/>
                <w:szCs w:val="23"/>
                <w:color w:val="auto"/>
              </w:rPr>
            </w:pPr>
          </w:p>
        </w:tc>
        <w:tc>
          <w:tcPr>
            <w:tcW w:w="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23"/>
                <w:szCs w:val="23"/>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587,500</w:t>
            </w:r>
          </w:p>
        </w:tc>
        <w:tc>
          <w:tcPr>
            <w:tcW w:w="9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F2F2F2"/>
          </w:tcPr>
          <w:p>
            <w:pPr>
              <w:jc w:val="center"/>
              <w:ind w:right="9"/>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675,389</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shd w:val="clear" w:color="auto" w:fill="F2F2F2"/>
          </w:tcPr>
          <w:p>
            <w:pPr>
              <w:jc w:val="center"/>
              <w:ind w:left="28"/>
              <w:spacing w:after="0"/>
              <w:rPr>
                <w:sz w:val="20"/>
                <w:szCs w:val="20"/>
                <w:color w:val="auto"/>
              </w:rPr>
            </w:pPr>
            <w:r>
              <w:rPr>
                <w:rFonts w:ascii="Arial" w:cs="Arial" w:eastAsia="Arial" w:hAnsi="Arial"/>
                <w:sz w:val="14"/>
                <w:szCs w:val="14"/>
                <w:color w:val="auto"/>
              </w:rPr>
              <w:t>1,268,889</w:t>
            </w:r>
          </w:p>
        </w:tc>
        <w:tc>
          <w:tcPr>
            <w:tcW w:w="0" w:type="dxa"/>
            <w:vAlign w:val="bottom"/>
          </w:tcPr>
          <w:p>
            <w:pPr>
              <w:spacing w:after="0"/>
              <w:rPr>
                <w:sz w:val="1"/>
                <w:szCs w:val="1"/>
                <w:color w:val="auto"/>
              </w:rPr>
            </w:pPr>
          </w:p>
        </w:tc>
      </w:tr>
      <w:tr>
        <w:trPr>
          <w:trHeight w:val="165"/>
        </w:trPr>
        <w:tc>
          <w:tcPr>
            <w:tcW w:w="1900" w:type="dxa"/>
            <w:vAlign w:val="bottom"/>
            <w:vMerge w:val="continue"/>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4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140" w:type="dxa"/>
            <w:vAlign w:val="bottom"/>
            <w:shd w:val="clear" w:color="auto" w:fill="F2F2F2"/>
          </w:tcPr>
          <w:p>
            <w:pPr>
              <w:spacing w:after="0"/>
              <w:rPr>
                <w:sz w:val="14"/>
                <w:szCs w:val="14"/>
                <w:color w:val="auto"/>
              </w:rPr>
            </w:pPr>
          </w:p>
        </w:tc>
        <w:tc>
          <w:tcPr>
            <w:tcW w:w="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F2F2F2"/>
          </w:tcPr>
          <w:p>
            <w:pPr>
              <w:spacing w:after="0"/>
              <w:rPr>
                <w:sz w:val="14"/>
                <w:szCs w:val="1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700,000</w:t>
            </w:r>
          </w:p>
        </w:tc>
        <w:tc>
          <w:tcPr>
            <w:tcW w:w="9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F2F2F2"/>
          </w:tcPr>
          <w:p>
            <w:pPr>
              <w:jc w:val="center"/>
              <w:ind w:right="9"/>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679,192</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shd w:val="clear" w:color="auto" w:fill="F2F2F2"/>
          </w:tcPr>
          <w:p>
            <w:pPr>
              <w:jc w:val="center"/>
              <w:ind w:left="28"/>
              <w:spacing w:after="0"/>
              <w:rPr>
                <w:sz w:val="20"/>
                <w:szCs w:val="20"/>
                <w:color w:val="auto"/>
              </w:rPr>
            </w:pPr>
            <w:r>
              <w:rPr>
                <w:rFonts w:ascii="Arial" w:cs="Arial" w:eastAsia="Arial" w:hAnsi="Arial"/>
                <w:sz w:val="14"/>
                <w:szCs w:val="14"/>
                <w:color w:val="auto"/>
              </w:rPr>
              <w:t>1,385,192</w:t>
            </w:r>
          </w:p>
        </w:tc>
        <w:tc>
          <w:tcPr>
            <w:tcW w:w="0" w:type="dxa"/>
            <w:vAlign w:val="bottom"/>
          </w:tcPr>
          <w:p>
            <w:pPr>
              <w:spacing w:after="0"/>
              <w:rPr>
                <w:sz w:val="1"/>
                <w:szCs w:val="1"/>
                <w:color w:val="auto"/>
              </w:rPr>
            </w:pPr>
          </w:p>
        </w:tc>
      </w:tr>
      <w:tr>
        <w:trPr>
          <w:trHeight w:val="186"/>
        </w:trPr>
        <w:tc>
          <w:tcPr>
            <w:tcW w:w="190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and Co-Founder</w:t>
            </w:r>
          </w:p>
        </w:tc>
        <w:tc>
          <w:tcPr>
            <w:tcW w:w="140" w:type="dxa"/>
            <w:vAlign w:val="bottom"/>
            <w:shd w:val="clear" w:color="auto" w:fill="F2F2F2"/>
          </w:tcPr>
          <w:p>
            <w:pPr>
              <w:spacing w:after="0"/>
              <w:rPr>
                <w:sz w:val="16"/>
                <w:szCs w:val="16"/>
                <w:color w:val="auto"/>
              </w:rPr>
            </w:pPr>
          </w:p>
        </w:tc>
        <w:tc>
          <w:tcPr>
            <w:tcW w:w="4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F2F2F2"/>
          </w:tcPr>
          <w:p>
            <w:pPr>
              <w:spacing w:after="0"/>
              <w:rPr>
                <w:sz w:val="16"/>
                <w:szCs w:val="16"/>
                <w:color w:val="auto"/>
              </w:rPr>
            </w:pP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675,000</w:t>
            </w:r>
          </w:p>
        </w:tc>
        <w:tc>
          <w:tcPr>
            <w:tcW w:w="9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restart"/>
            <w:shd w:val="clear" w:color="auto" w:fill="F2F2F2"/>
          </w:tcPr>
          <w:p>
            <w:pPr>
              <w:jc w:val="center"/>
              <w:ind w:right="9"/>
              <w:spacing w:after="0"/>
              <w:rPr>
                <w:sz w:val="20"/>
                <w:szCs w:val="20"/>
                <w:color w:val="auto"/>
              </w:rPr>
            </w:pPr>
            <w:r>
              <w:rPr>
                <w:rFonts w:ascii="Arial" w:cs="Arial" w:eastAsia="Arial" w:hAnsi="Arial"/>
                <w:sz w:val="14"/>
                <w:szCs w:val="14"/>
                <w:color w:val="auto"/>
                <w:w w:val="99"/>
              </w:rPr>
              <w:t>—</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548,049</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vMerge w:val="restart"/>
            <w:shd w:val="clear" w:color="auto" w:fill="F2F2F2"/>
          </w:tcPr>
          <w:p>
            <w:pPr>
              <w:jc w:val="center"/>
              <w:ind w:left="28"/>
              <w:spacing w:after="0"/>
              <w:rPr>
                <w:sz w:val="20"/>
                <w:szCs w:val="20"/>
                <w:color w:val="auto"/>
              </w:rPr>
            </w:pPr>
            <w:r>
              <w:rPr>
                <w:rFonts w:ascii="Arial" w:cs="Arial" w:eastAsia="Arial" w:hAnsi="Arial"/>
                <w:sz w:val="14"/>
                <w:szCs w:val="14"/>
                <w:color w:val="auto"/>
              </w:rPr>
              <w:t>1,229,049</w:t>
            </w:r>
          </w:p>
        </w:tc>
        <w:tc>
          <w:tcPr>
            <w:tcW w:w="0" w:type="dxa"/>
            <w:vAlign w:val="bottom"/>
          </w:tcPr>
          <w:p>
            <w:pPr>
              <w:spacing w:after="0"/>
              <w:rPr>
                <w:sz w:val="1"/>
                <w:szCs w:val="1"/>
                <w:color w:val="auto"/>
              </w:rPr>
            </w:pPr>
          </w:p>
        </w:tc>
      </w:tr>
      <w:tr>
        <w:trPr>
          <w:trHeight w:val="189"/>
        </w:trPr>
        <w:tc>
          <w:tcPr>
            <w:tcW w:w="190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480" w:type="dxa"/>
            <w:vAlign w:val="bottom"/>
            <w:vMerge w:val="continue"/>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1040" w:type="dxa"/>
            <w:vAlign w:val="bottom"/>
            <w:vMerge w:val="continue"/>
            <w:shd w:val="clear" w:color="auto" w:fill="F2F2F2"/>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1340" w:type="dxa"/>
            <w:vAlign w:val="bottom"/>
            <w:vMerge w:val="continue"/>
            <w:shd w:val="clear" w:color="auto" w:fill="F2F2F2"/>
          </w:tcPr>
          <w:p>
            <w:pPr>
              <w:spacing w:after="0"/>
              <w:rPr>
                <w:sz w:val="16"/>
                <w:szCs w:val="16"/>
                <w:color w:val="auto"/>
              </w:rPr>
            </w:pPr>
          </w:p>
        </w:tc>
        <w:tc>
          <w:tcPr>
            <w:tcW w:w="1280" w:type="dxa"/>
            <w:vAlign w:val="bottom"/>
            <w:vMerge w:val="continue"/>
            <w:shd w:val="clear" w:color="auto" w:fill="F2F2F2"/>
          </w:tcPr>
          <w:p>
            <w:pPr>
              <w:spacing w:after="0"/>
              <w:rPr>
                <w:sz w:val="16"/>
                <w:szCs w:val="16"/>
                <w:color w:val="auto"/>
              </w:rPr>
            </w:pPr>
          </w:p>
        </w:tc>
        <w:tc>
          <w:tcPr>
            <w:tcW w:w="1280" w:type="dxa"/>
            <w:vAlign w:val="bottom"/>
            <w:vMerge w:val="continue"/>
            <w:shd w:val="clear" w:color="auto" w:fill="F2F2F2"/>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48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04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1340" w:type="dxa"/>
            <w:vAlign w:val="bottom"/>
            <w:shd w:val="clear" w:color="auto" w:fill="F2F2F2"/>
          </w:tcPr>
          <w:p>
            <w:pPr>
              <w:spacing w:after="0"/>
              <w:rPr>
                <w:sz w:val="6"/>
                <w:szCs w:val="6"/>
                <w:color w:val="auto"/>
              </w:rPr>
            </w:pPr>
          </w:p>
        </w:tc>
        <w:tc>
          <w:tcPr>
            <w:tcW w:w="1280" w:type="dxa"/>
            <w:vAlign w:val="bottom"/>
            <w:shd w:val="clear" w:color="auto" w:fill="F2F2F2"/>
          </w:tcPr>
          <w:p>
            <w:pPr>
              <w:spacing w:after="0"/>
              <w:rPr>
                <w:sz w:val="6"/>
                <w:szCs w:val="6"/>
                <w:color w:val="auto"/>
              </w:rPr>
            </w:pPr>
          </w:p>
        </w:tc>
        <w:tc>
          <w:tcPr>
            <w:tcW w:w="128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Timothy Regan</w:t>
            </w:r>
          </w:p>
        </w:tc>
        <w:tc>
          <w:tcPr>
            <w:tcW w:w="620" w:type="dxa"/>
            <w:vAlign w:val="bottom"/>
            <w:gridSpan w:val="2"/>
            <w:vMerge w:val="restart"/>
          </w:tcPr>
          <w:p>
            <w:pPr>
              <w:ind w:left="1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21"/>
                <w:szCs w:val="21"/>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393,415</w:t>
            </w: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restart"/>
          </w:tcPr>
          <w:p>
            <w:pPr>
              <w:ind w:left="320"/>
              <w:spacing w:after="0"/>
              <w:rPr>
                <w:sz w:val="20"/>
                <w:szCs w:val="20"/>
                <w:color w:val="auto"/>
              </w:rPr>
            </w:pPr>
            <w:r>
              <w:rPr>
                <w:rFonts w:ascii="Arial" w:cs="Arial" w:eastAsia="Arial" w:hAnsi="Arial"/>
                <w:sz w:val="14"/>
                <w:szCs w:val="14"/>
                <w:color w:val="auto"/>
              </w:rPr>
              <w:t>4,895,566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373,595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vMerge w:val="restart"/>
          </w:tcPr>
          <w:p>
            <w:pPr>
              <w:jc w:val="center"/>
              <w:ind w:left="28"/>
              <w:spacing w:after="0"/>
              <w:rPr>
                <w:sz w:val="20"/>
                <w:szCs w:val="20"/>
                <w:color w:val="auto"/>
              </w:rPr>
            </w:pPr>
            <w:r>
              <w:rPr>
                <w:rFonts w:ascii="Arial" w:cs="Arial" w:eastAsia="Arial" w:hAnsi="Arial"/>
                <w:sz w:val="14"/>
                <w:szCs w:val="14"/>
                <w:color w:val="auto"/>
              </w:rPr>
              <w:t>5,668,576</w:t>
            </w:r>
          </w:p>
        </w:tc>
        <w:tc>
          <w:tcPr>
            <w:tcW w:w="0" w:type="dxa"/>
            <w:vAlign w:val="bottom"/>
          </w:tcPr>
          <w:p>
            <w:pPr>
              <w:spacing w:after="0"/>
              <w:rPr>
                <w:sz w:val="1"/>
                <w:szCs w:val="1"/>
                <w:color w:val="auto"/>
              </w:rPr>
            </w:pPr>
          </w:p>
        </w:tc>
      </w:tr>
      <w:tr>
        <w:trPr>
          <w:trHeight w:val="105"/>
        </w:trPr>
        <w:tc>
          <w:tcPr>
            <w:tcW w:w="19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90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9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auto"/>
              </w:rPr>
              <w:t>Timothy Young</w:t>
            </w:r>
          </w:p>
        </w:tc>
        <w:tc>
          <w:tcPr>
            <w:tcW w:w="140" w:type="dxa"/>
            <w:vAlign w:val="bottom"/>
            <w:shd w:val="clear" w:color="auto" w:fill="F2F2F2"/>
          </w:tcPr>
          <w:p>
            <w:pPr>
              <w:spacing w:after="0"/>
              <w:rPr>
                <w:sz w:val="24"/>
                <w:szCs w:val="24"/>
                <w:color w:val="auto"/>
              </w:rPr>
            </w:pPr>
          </w:p>
        </w:tc>
        <w:tc>
          <w:tcPr>
            <w:tcW w:w="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24"/>
                <w:szCs w:val="2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516,667</w:t>
            </w:r>
          </w:p>
        </w:tc>
        <w:tc>
          <w:tcPr>
            <w:tcW w:w="9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F2F2F2"/>
          </w:tcPr>
          <w:p>
            <w:pPr>
              <w:ind w:left="240"/>
              <w:spacing w:after="0"/>
              <w:rPr>
                <w:sz w:val="20"/>
                <w:szCs w:val="20"/>
                <w:color w:val="auto"/>
              </w:rPr>
            </w:pPr>
            <w:r>
              <w:rPr>
                <w:rFonts w:ascii="Arial" w:cs="Arial" w:eastAsia="Arial" w:hAnsi="Arial"/>
                <w:sz w:val="14"/>
                <w:szCs w:val="14"/>
                <w:color w:val="auto"/>
              </w:rPr>
              <w:t>19,143,883</w:t>
            </w:r>
            <w:r>
              <w:rPr>
                <w:rFonts w:ascii="Arial" w:cs="Arial" w:eastAsia="Arial" w:hAnsi="Arial"/>
                <w:sz w:val="23"/>
                <w:szCs w:val="23"/>
                <w:color w:val="auto"/>
                <w:vertAlign w:val="superscript"/>
              </w:rPr>
              <w:t>(4)</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890,778</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20,557,328</w:t>
            </w:r>
          </w:p>
        </w:tc>
        <w:tc>
          <w:tcPr>
            <w:tcW w:w="0" w:type="dxa"/>
            <w:vAlign w:val="bottom"/>
          </w:tcPr>
          <w:p>
            <w:pPr>
              <w:spacing w:after="0"/>
              <w:rPr>
                <w:sz w:val="1"/>
                <w:szCs w:val="1"/>
                <w:color w:val="auto"/>
              </w:rPr>
            </w:pPr>
          </w:p>
        </w:tc>
      </w:tr>
      <w:tr>
        <w:trPr>
          <w:trHeight w:val="27"/>
        </w:trPr>
        <w:tc>
          <w:tcPr>
            <w:tcW w:w="1900" w:type="dxa"/>
            <w:vAlign w:val="bottom"/>
            <w:vMerge w:val="continue"/>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48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040" w:type="dxa"/>
            <w:vAlign w:val="bottom"/>
            <w:shd w:val="clear" w:color="auto" w:fill="F2F2F2"/>
          </w:tcPr>
          <w:p>
            <w:pPr>
              <w:spacing w:after="0"/>
              <w:rPr>
                <w:sz w:val="2"/>
                <w:szCs w:val="2"/>
                <w:color w:val="auto"/>
              </w:rPr>
            </w:pPr>
          </w:p>
        </w:tc>
        <w:tc>
          <w:tcPr>
            <w:tcW w:w="980" w:type="dxa"/>
            <w:vAlign w:val="bottom"/>
            <w:shd w:val="clear" w:color="auto" w:fill="F2F2F2"/>
          </w:tcPr>
          <w:p>
            <w:pPr>
              <w:spacing w:after="0"/>
              <w:rPr>
                <w:sz w:val="2"/>
                <w:szCs w:val="2"/>
                <w:color w:val="auto"/>
              </w:rPr>
            </w:pPr>
          </w:p>
        </w:tc>
        <w:tc>
          <w:tcPr>
            <w:tcW w:w="1340" w:type="dxa"/>
            <w:vAlign w:val="bottom"/>
            <w:shd w:val="clear" w:color="auto" w:fill="F2F2F2"/>
          </w:tcPr>
          <w:p>
            <w:pPr>
              <w:spacing w:after="0"/>
              <w:rPr>
                <w:sz w:val="2"/>
                <w:szCs w:val="2"/>
                <w:color w:val="auto"/>
              </w:rPr>
            </w:pPr>
          </w:p>
        </w:tc>
        <w:tc>
          <w:tcPr>
            <w:tcW w:w="1280" w:type="dxa"/>
            <w:vAlign w:val="bottom"/>
            <w:shd w:val="clear" w:color="auto" w:fill="F2F2F2"/>
          </w:tcPr>
          <w:p>
            <w:pPr>
              <w:spacing w:after="0"/>
              <w:rPr>
                <w:sz w:val="2"/>
                <w:szCs w:val="2"/>
                <w:color w:val="auto"/>
              </w:rPr>
            </w:pPr>
          </w:p>
        </w:tc>
        <w:tc>
          <w:tcPr>
            <w:tcW w:w="1280" w:type="dxa"/>
            <w:vAlign w:val="bottom"/>
            <w:shd w:val="clear" w:color="auto" w:fill="F2F2F2"/>
          </w:tcPr>
          <w:p>
            <w:pPr>
              <w:spacing w:after="0"/>
              <w:rPr>
                <w:sz w:val="2"/>
                <w:szCs w:val="2"/>
                <w:color w:val="auto"/>
              </w:rPr>
            </w:pPr>
          </w:p>
        </w:tc>
        <w:tc>
          <w:tcPr>
            <w:tcW w:w="98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0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President</w:t>
            </w:r>
          </w:p>
        </w:tc>
        <w:tc>
          <w:tcPr>
            <w:tcW w:w="140" w:type="dxa"/>
            <w:vAlign w:val="bottom"/>
            <w:shd w:val="clear" w:color="auto" w:fill="F2F2F2"/>
          </w:tcPr>
          <w:p>
            <w:pPr>
              <w:spacing w:after="0"/>
              <w:rPr>
                <w:sz w:val="16"/>
                <w:szCs w:val="16"/>
                <w:color w:val="auto"/>
              </w:rPr>
            </w:pPr>
          </w:p>
        </w:tc>
        <w:tc>
          <w:tcPr>
            <w:tcW w:w="620" w:type="dxa"/>
            <w:vAlign w:val="bottom"/>
            <w:gridSpan w:val="2"/>
            <w:vMerge w:val="restart"/>
            <w:shd w:val="clear" w:color="auto" w:fill="F2F2F2"/>
          </w:tcPr>
          <w:p>
            <w:pPr>
              <w:ind w:left="20"/>
              <w:spacing w:after="0"/>
              <w:rPr>
                <w:sz w:val="20"/>
                <w:szCs w:val="20"/>
                <w:color w:val="auto"/>
              </w:rPr>
            </w:pPr>
            <w:r>
              <w:rPr>
                <w:rFonts w:ascii="Arial" w:cs="Arial" w:eastAsia="Arial" w:hAnsi="Arial"/>
                <w:sz w:val="14"/>
                <w:szCs w:val="14"/>
                <w:color w:val="auto"/>
              </w:rPr>
              <w:t>2019</w:t>
            </w:r>
            <w:r>
              <w:rPr>
                <w:rFonts w:ascii="Arial" w:cs="Arial" w:eastAsia="Arial" w:hAnsi="Arial"/>
                <w:sz w:val="23"/>
                <w:szCs w:val="23"/>
                <w:color w:val="auto"/>
                <w:vertAlign w:val="superscript"/>
              </w:rPr>
              <w:t>(5)</w:t>
            </w: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115,705</w:t>
            </w:r>
          </w:p>
        </w:tc>
        <w:tc>
          <w:tcPr>
            <w:tcW w:w="9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20,293,391</w:t>
            </w:r>
            <w:r>
              <w:rPr>
                <w:rFonts w:ascii="Arial" w:cs="Arial" w:eastAsia="Arial" w:hAnsi="Arial"/>
                <w:sz w:val="23"/>
                <w:szCs w:val="23"/>
                <w:color w:val="auto"/>
                <w:vertAlign w:val="superscript"/>
              </w:rPr>
              <w:t>(6)</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116,438</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1,500</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20,527,034</w:t>
            </w:r>
          </w:p>
        </w:tc>
        <w:tc>
          <w:tcPr>
            <w:tcW w:w="0" w:type="dxa"/>
            <w:vAlign w:val="bottom"/>
          </w:tcPr>
          <w:p>
            <w:pPr>
              <w:spacing w:after="0"/>
              <w:rPr>
                <w:sz w:val="1"/>
                <w:szCs w:val="1"/>
                <w:color w:val="auto"/>
              </w:rPr>
            </w:pPr>
          </w:p>
        </w:tc>
      </w:tr>
      <w:tr>
        <w:trPr>
          <w:trHeight w:val="165"/>
        </w:trPr>
        <w:tc>
          <w:tcPr>
            <w:tcW w:w="19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620" w:type="dxa"/>
            <w:vAlign w:val="bottom"/>
            <w:gridSpan w:val="2"/>
            <w:vMerge w:val="continue"/>
            <w:shd w:val="clear" w:color="auto" w:fill="F2F2F2"/>
          </w:tcPr>
          <w:p>
            <w:pPr>
              <w:spacing w:after="0"/>
              <w:rPr>
                <w:sz w:val="14"/>
                <w:szCs w:val="14"/>
                <w:color w:val="auto"/>
              </w:rPr>
            </w:pPr>
          </w:p>
        </w:tc>
        <w:tc>
          <w:tcPr>
            <w:tcW w:w="1040" w:type="dxa"/>
            <w:vAlign w:val="bottom"/>
            <w:vMerge w:val="continue"/>
            <w:shd w:val="clear" w:color="auto" w:fill="F2F2F2"/>
          </w:tcPr>
          <w:p>
            <w:pPr>
              <w:spacing w:after="0"/>
              <w:rPr>
                <w:sz w:val="14"/>
                <w:szCs w:val="14"/>
                <w:color w:val="auto"/>
              </w:rPr>
            </w:pPr>
          </w:p>
        </w:tc>
        <w:tc>
          <w:tcPr>
            <w:tcW w:w="980" w:type="dxa"/>
            <w:vAlign w:val="bottom"/>
            <w:vMerge w:val="continue"/>
            <w:shd w:val="clear" w:color="auto" w:fill="F2F2F2"/>
          </w:tcPr>
          <w:p>
            <w:pPr>
              <w:spacing w:after="0"/>
              <w:rPr>
                <w:sz w:val="14"/>
                <w:szCs w:val="14"/>
                <w:color w:val="auto"/>
              </w:rPr>
            </w:pPr>
          </w:p>
        </w:tc>
        <w:tc>
          <w:tcPr>
            <w:tcW w:w="1340" w:type="dxa"/>
            <w:vAlign w:val="bottom"/>
            <w:vMerge w:val="continue"/>
            <w:shd w:val="clear" w:color="auto" w:fill="F2F2F2"/>
          </w:tcPr>
          <w:p>
            <w:pPr>
              <w:spacing w:after="0"/>
              <w:rPr>
                <w:sz w:val="14"/>
                <w:szCs w:val="14"/>
                <w:color w:val="auto"/>
              </w:rPr>
            </w:pPr>
          </w:p>
        </w:tc>
        <w:tc>
          <w:tcPr>
            <w:tcW w:w="1280" w:type="dxa"/>
            <w:vAlign w:val="bottom"/>
            <w:vMerge w:val="continue"/>
            <w:shd w:val="clear" w:color="auto" w:fill="F2F2F2"/>
          </w:tcPr>
          <w:p>
            <w:pPr>
              <w:spacing w:after="0"/>
              <w:rPr>
                <w:sz w:val="14"/>
                <w:szCs w:val="14"/>
                <w:color w:val="auto"/>
              </w:rPr>
            </w:pPr>
          </w:p>
        </w:tc>
        <w:tc>
          <w:tcPr>
            <w:tcW w:w="1280" w:type="dxa"/>
            <w:vAlign w:val="bottom"/>
            <w:vMerge w:val="continue"/>
            <w:shd w:val="clear" w:color="auto" w:fill="F2F2F2"/>
          </w:tcPr>
          <w:p>
            <w:pPr>
              <w:spacing w:after="0"/>
              <w:rPr>
                <w:sz w:val="14"/>
                <w:szCs w:val="14"/>
                <w:color w:val="auto"/>
              </w:rPr>
            </w:pPr>
          </w:p>
        </w:tc>
        <w:tc>
          <w:tcPr>
            <w:tcW w:w="98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900" w:type="dxa"/>
            <w:vAlign w:val="bottom"/>
          </w:tcPr>
          <w:p>
            <w:pPr>
              <w:spacing w:after="0"/>
              <w:rPr>
                <w:sz w:val="23"/>
                <w:szCs w:val="23"/>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23"/>
                <w:szCs w:val="23"/>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475,000</w:t>
            </w:r>
          </w:p>
        </w:tc>
        <w:tc>
          <w:tcPr>
            <w:tcW w:w="9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tcPr>
          <w:p>
            <w:pPr>
              <w:ind w:left="320"/>
              <w:spacing w:after="0"/>
              <w:rPr>
                <w:sz w:val="20"/>
                <w:szCs w:val="20"/>
                <w:color w:val="auto"/>
              </w:rPr>
            </w:pPr>
            <w:r>
              <w:rPr>
                <w:rFonts w:ascii="Arial" w:cs="Arial" w:eastAsia="Arial" w:hAnsi="Arial"/>
                <w:sz w:val="14"/>
                <w:szCs w:val="14"/>
                <w:color w:val="auto"/>
              </w:rPr>
              <w:t>2,422,649</w:t>
            </w:r>
          </w:p>
        </w:tc>
        <w:tc>
          <w:tcPr>
            <w:tcW w:w="1280" w:type="dxa"/>
            <w:vAlign w:val="bottom"/>
          </w:tcPr>
          <w:p>
            <w:pPr>
              <w:jc w:val="center"/>
              <w:spacing w:after="0"/>
              <w:rPr>
                <w:sz w:val="20"/>
                <w:szCs w:val="20"/>
                <w:color w:val="auto"/>
              </w:rPr>
            </w:pPr>
            <w:r>
              <w:rPr>
                <w:rFonts w:ascii="Arial" w:cs="Arial" w:eastAsia="Arial" w:hAnsi="Arial"/>
                <w:sz w:val="14"/>
                <w:szCs w:val="14"/>
                <w:color w:val="auto"/>
              </w:rPr>
              <w:t>408,322</w:t>
            </w:r>
          </w:p>
        </w:tc>
        <w:tc>
          <w:tcPr>
            <w:tcW w:w="1280" w:type="dxa"/>
            <w:vAlign w:val="bottom"/>
          </w:tcPr>
          <w:p>
            <w:pPr>
              <w:jc w:val="center"/>
              <w:spacing w:after="0"/>
              <w:rPr>
                <w:sz w:val="20"/>
                <w:szCs w:val="20"/>
                <w:color w:val="auto"/>
              </w:rPr>
            </w:pPr>
            <w:r>
              <w:rPr>
                <w:rFonts w:ascii="Arial" w:cs="Arial" w:eastAsia="Arial" w:hAnsi="Arial"/>
                <w:sz w:val="14"/>
                <w:szCs w:val="14"/>
                <w:color w:val="auto"/>
              </w:rPr>
              <w:t>4,500</w:t>
            </w:r>
          </w:p>
        </w:tc>
        <w:tc>
          <w:tcPr>
            <w:tcW w:w="980" w:type="dxa"/>
            <w:vAlign w:val="bottom"/>
          </w:tcPr>
          <w:p>
            <w:pPr>
              <w:jc w:val="center"/>
              <w:ind w:left="28"/>
              <w:spacing w:after="0"/>
              <w:rPr>
                <w:sz w:val="20"/>
                <w:szCs w:val="20"/>
                <w:color w:val="auto"/>
              </w:rPr>
            </w:pPr>
            <w:r>
              <w:rPr>
                <w:rFonts w:ascii="Arial" w:cs="Arial" w:eastAsia="Arial" w:hAnsi="Arial"/>
                <w:sz w:val="14"/>
                <w:szCs w:val="14"/>
                <w:color w:val="auto"/>
              </w:rPr>
              <w:t>3,310,471</w:t>
            </w:r>
          </w:p>
        </w:tc>
        <w:tc>
          <w:tcPr>
            <w:tcW w:w="0" w:type="dxa"/>
            <w:vAlign w:val="bottom"/>
          </w:tcPr>
          <w:p>
            <w:pPr>
              <w:spacing w:after="0"/>
              <w:rPr>
                <w:sz w:val="1"/>
                <w:szCs w:val="1"/>
                <w:color w:val="auto"/>
              </w:rPr>
            </w:pPr>
          </w:p>
        </w:tc>
      </w:tr>
      <w:tr>
        <w:trPr>
          <w:trHeight w:val="246"/>
        </w:trPr>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Bart E. Volkmer</w:t>
            </w:r>
          </w:p>
        </w:tc>
        <w:tc>
          <w:tcPr>
            <w:tcW w:w="620" w:type="dxa"/>
            <w:vAlign w:val="bottom"/>
            <w:gridSpan w:val="2"/>
            <w:vMerge w:val="restart"/>
          </w:tcPr>
          <w:p>
            <w:pPr>
              <w:ind w:left="160"/>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21"/>
                <w:szCs w:val="21"/>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472,917</w:t>
            </w: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restart"/>
          </w:tcPr>
          <w:p>
            <w:pPr>
              <w:ind w:left="320"/>
              <w:spacing w:after="0"/>
              <w:rPr>
                <w:sz w:val="20"/>
                <w:szCs w:val="20"/>
                <w:color w:val="auto"/>
              </w:rPr>
            </w:pPr>
            <w:r>
              <w:rPr>
                <w:rFonts w:ascii="Arial" w:cs="Arial" w:eastAsia="Arial" w:hAnsi="Arial"/>
                <w:sz w:val="14"/>
                <w:szCs w:val="14"/>
                <w:color w:val="auto"/>
              </w:rPr>
              <w:t>2,333,167</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384,213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4,500</w:t>
            </w:r>
          </w:p>
        </w:tc>
        <w:tc>
          <w:tcPr>
            <w:tcW w:w="980" w:type="dxa"/>
            <w:vAlign w:val="bottom"/>
            <w:vMerge w:val="restart"/>
          </w:tcPr>
          <w:p>
            <w:pPr>
              <w:jc w:val="center"/>
              <w:ind w:left="28"/>
              <w:spacing w:after="0"/>
              <w:rPr>
                <w:sz w:val="20"/>
                <w:szCs w:val="20"/>
                <w:color w:val="auto"/>
              </w:rPr>
            </w:pPr>
            <w:r>
              <w:rPr>
                <w:rFonts w:ascii="Arial" w:cs="Arial" w:eastAsia="Arial" w:hAnsi="Arial"/>
                <w:sz w:val="14"/>
                <w:szCs w:val="14"/>
                <w:color w:val="auto"/>
              </w:rPr>
              <w:t>3,194,797</w:t>
            </w:r>
          </w:p>
        </w:tc>
        <w:tc>
          <w:tcPr>
            <w:tcW w:w="0" w:type="dxa"/>
            <w:vAlign w:val="bottom"/>
          </w:tcPr>
          <w:p>
            <w:pPr>
              <w:spacing w:after="0"/>
              <w:rPr>
                <w:sz w:val="1"/>
                <w:szCs w:val="1"/>
                <w:color w:val="auto"/>
              </w:rPr>
            </w:pPr>
          </w:p>
        </w:tc>
      </w:tr>
      <w:tr>
        <w:trPr>
          <w:trHeight w:val="105"/>
        </w:trPr>
        <w:tc>
          <w:tcPr>
            <w:tcW w:w="19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Legal Officer</w:t>
            </w: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1900" w:type="dxa"/>
            <w:vAlign w:val="bottom"/>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445,833</w:t>
            </w:r>
          </w:p>
        </w:tc>
        <w:tc>
          <w:tcPr>
            <w:tcW w:w="980" w:type="dxa"/>
            <w:vAlign w:val="bottom"/>
          </w:tcPr>
          <w:p>
            <w:pPr>
              <w:jc w:val="center"/>
              <w:ind w:right="8"/>
              <w:spacing w:after="0"/>
              <w:rPr>
                <w:sz w:val="20"/>
                <w:szCs w:val="20"/>
                <w:color w:val="auto"/>
              </w:rPr>
            </w:pPr>
            <w:r>
              <w:rPr>
                <w:rFonts w:ascii="Arial" w:cs="Arial" w:eastAsia="Arial" w:hAnsi="Arial"/>
                <w:sz w:val="14"/>
                <w:szCs w:val="14"/>
                <w:color w:val="auto"/>
                <w:w w:val="94"/>
              </w:rPr>
              <w:t>58,813</w:t>
            </w:r>
            <w:r>
              <w:rPr>
                <w:rFonts w:ascii="Arial" w:cs="Arial" w:eastAsia="Arial" w:hAnsi="Arial"/>
                <w:sz w:val="23"/>
                <w:szCs w:val="23"/>
                <w:color w:val="auto"/>
                <w:w w:val="94"/>
                <w:vertAlign w:val="superscript"/>
              </w:rPr>
              <w:t>(7)</w:t>
            </w:r>
          </w:p>
        </w:tc>
        <w:tc>
          <w:tcPr>
            <w:tcW w:w="1340" w:type="dxa"/>
            <w:vAlign w:val="bottom"/>
          </w:tcPr>
          <w:p>
            <w:pPr>
              <w:ind w:left="320"/>
              <w:spacing w:after="0"/>
              <w:rPr>
                <w:sz w:val="20"/>
                <w:szCs w:val="20"/>
                <w:color w:val="auto"/>
              </w:rPr>
            </w:pPr>
            <w:r>
              <w:rPr>
                <w:rFonts w:ascii="Arial" w:cs="Arial" w:eastAsia="Arial" w:hAnsi="Arial"/>
                <w:sz w:val="14"/>
                <w:szCs w:val="14"/>
                <w:color w:val="auto"/>
              </w:rPr>
              <w:t>2,570,746</w:t>
            </w:r>
          </w:p>
        </w:tc>
        <w:tc>
          <w:tcPr>
            <w:tcW w:w="1280" w:type="dxa"/>
            <w:vAlign w:val="bottom"/>
          </w:tcPr>
          <w:p>
            <w:pPr>
              <w:jc w:val="center"/>
              <w:spacing w:after="0"/>
              <w:rPr>
                <w:sz w:val="20"/>
                <w:szCs w:val="20"/>
                <w:color w:val="auto"/>
              </w:rPr>
            </w:pPr>
            <w:r>
              <w:rPr>
                <w:rFonts w:ascii="Arial" w:cs="Arial" w:eastAsia="Arial" w:hAnsi="Arial"/>
                <w:sz w:val="14"/>
                <w:szCs w:val="14"/>
                <w:color w:val="auto"/>
              </w:rPr>
              <w:t>452,719</w:t>
            </w:r>
          </w:p>
        </w:tc>
        <w:tc>
          <w:tcPr>
            <w:tcW w:w="1280" w:type="dxa"/>
            <w:vAlign w:val="bottom"/>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3,534,111</w:t>
            </w:r>
          </w:p>
        </w:tc>
        <w:tc>
          <w:tcPr>
            <w:tcW w:w="0" w:type="dxa"/>
            <w:vAlign w:val="bottom"/>
          </w:tcPr>
          <w:p>
            <w:pPr>
              <w:spacing w:after="0"/>
              <w:rPr>
                <w:sz w:val="1"/>
                <w:szCs w:val="1"/>
                <w:color w:val="auto"/>
              </w:rPr>
            </w:pPr>
          </w:p>
        </w:tc>
      </w:tr>
      <w:tr>
        <w:trPr>
          <w:trHeight w:val="351"/>
        </w:trPr>
        <w:tc>
          <w:tcPr>
            <w:tcW w:w="19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auto"/>
              </w:rPr>
              <w:t>Ajay V. Vashee</w:t>
            </w:r>
          </w:p>
        </w:tc>
        <w:tc>
          <w:tcPr>
            <w:tcW w:w="140" w:type="dxa"/>
            <w:vAlign w:val="bottom"/>
            <w:shd w:val="clear" w:color="auto" w:fill="F2F2F2"/>
          </w:tcPr>
          <w:p>
            <w:pPr>
              <w:spacing w:after="0"/>
              <w:rPr>
                <w:sz w:val="24"/>
                <w:szCs w:val="24"/>
                <w:color w:val="auto"/>
              </w:rPr>
            </w:pPr>
          </w:p>
        </w:tc>
        <w:tc>
          <w:tcPr>
            <w:tcW w:w="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24"/>
                <w:szCs w:val="2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435,417</w:t>
            </w:r>
            <w:r>
              <w:rPr>
                <w:rFonts w:ascii="Arial" w:cs="Arial" w:eastAsia="Arial" w:hAnsi="Arial"/>
                <w:sz w:val="23"/>
                <w:szCs w:val="23"/>
                <w:color w:val="auto"/>
                <w:vertAlign w:val="superscript"/>
              </w:rPr>
              <w:t>(8)</w:t>
            </w:r>
          </w:p>
        </w:tc>
        <w:tc>
          <w:tcPr>
            <w:tcW w:w="9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F2F2F2"/>
          </w:tcPr>
          <w:p>
            <w:pPr>
              <w:ind w:left="320"/>
              <w:spacing w:after="0"/>
              <w:rPr>
                <w:sz w:val="20"/>
                <w:szCs w:val="20"/>
                <w:color w:val="auto"/>
              </w:rPr>
            </w:pPr>
            <w:r>
              <w:rPr>
                <w:rFonts w:ascii="Arial" w:cs="Arial" w:eastAsia="Arial" w:hAnsi="Arial"/>
                <w:sz w:val="14"/>
                <w:szCs w:val="14"/>
                <w:color w:val="auto"/>
              </w:rPr>
              <w:t>4,138,710</w:t>
            </w:r>
            <w:r>
              <w:rPr>
                <w:rFonts w:ascii="Arial" w:cs="Arial" w:eastAsia="Arial" w:hAnsi="Arial"/>
                <w:sz w:val="23"/>
                <w:szCs w:val="23"/>
                <w:color w:val="auto"/>
                <w:vertAlign w:val="superscript"/>
              </w:rPr>
              <w:t>(9)</w:t>
            </w:r>
          </w:p>
        </w:tc>
        <w:tc>
          <w:tcPr>
            <w:tcW w:w="1280" w:type="dxa"/>
            <w:vAlign w:val="bottom"/>
            <w:shd w:val="clear" w:color="auto" w:fill="F2F2F2"/>
          </w:tcPr>
          <w:p>
            <w:pPr>
              <w:jc w:val="center"/>
              <w:spacing w:after="0"/>
              <w:rPr>
                <w:sz w:val="20"/>
                <w:szCs w:val="20"/>
                <w:color w:val="auto"/>
              </w:rPr>
            </w:pPr>
            <w:r>
              <w:rPr>
                <w:rFonts w:ascii="Arial" w:cs="Arial" w:eastAsia="Arial" w:hAnsi="Arial"/>
                <w:sz w:val="28"/>
                <w:szCs w:val="28"/>
                <w:color w:val="auto"/>
                <w:w w:val="89"/>
                <w:vertAlign w:val="subscript"/>
              </w:rPr>
              <w:t>—</w:t>
            </w:r>
            <w:r>
              <w:rPr>
                <w:rFonts w:ascii="Arial" w:cs="Arial" w:eastAsia="Arial" w:hAnsi="Arial"/>
                <w:sz w:val="12"/>
                <w:szCs w:val="12"/>
                <w:color w:val="auto"/>
                <w:w w:val="89"/>
              </w:rPr>
              <w:t>(10)</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5,188</w:t>
            </w:r>
          </w:p>
        </w:tc>
        <w:tc>
          <w:tcPr>
            <w:tcW w:w="980" w:type="dxa"/>
            <w:vAlign w:val="bottom"/>
            <w:shd w:val="clear" w:color="auto" w:fill="F2F2F2"/>
          </w:tcPr>
          <w:p>
            <w:pPr>
              <w:jc w:val="center"/>
              <w:ind w:left="28"/>
              <w:spacing w:after="0"/>
              <w:rPr>
                <w:sz w:val="20"/>
                <w:szCs w:val="20"/>
                <w:color w:val="auto"/>
              </w:rPr>
            </w:pPr>
            <w:r>
              <w:rPr>
                <w:rFonts w:ascii="Arial" w:cs="Arial" w:eastAsia="Arial" w:hAnsi="Arial"/>
                <w:sz w:val="14"/>
                <w:szCs w:val="14"/>
                <w:color w:val="auto"/>
              </w:rPr>
              <w:t>4,579,315</w:t>
            </w:r>
          </w:p>
        </w:tc>
        <w:tc>
          <w:tcPr>
            <w:tcW w:w="0" w:type="dxa"/>
            <w:vAlign w:val="bottom"/>
          </w:tcPr>
          <w:p>
            <w:pPr>
              <w:spacing w:after="0"/>
              <w:rPr>
                <w:sz w:val="1"/>
                <w:szCs w:val="1"/>
                <w:color w:val="auto"/>
              </w:rPr>
            </w:pPr>
          </w:p>
        </w:tc>
      </w:tr>
      <w:tr>
        <w:trPr>
          <w:trHeight w:val="85"/>
        </w:trPr>
        <w:tc>
          <w:tcPr>
            <w:tcW w:w="1900" w:type="dxa"/>
            <w:vAlign w:val="bottom"/>
            <w:vMerge w:val="continue"/>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4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1340" w:type="dxa"/>
            <w:vAlign w:val="bottom"/>
            <w:vMerge w:val="restart"/>
            <w:shd w:val="clear" w:color="auto" w:fill="F2F2F2"/>
          </w:tcPr>
          <w:p>
            <w:pPr>
              <w:ind w:left="320"/>
              <w:spacing w:after="0" w:line="247" w:lineRule="exact"/>
              <w:rPr>
                <w:sz w:val="20"/>
                <w:szCs w:val="20"/>
                <w:color w:val="auto"/>
              </w:rPr>
            </w:pPr>
            <w:r>
              <w:rPr>
                <w:rFonts w:ascii="Arial" w:cs="Arial" w:eastAsia="Arial" w:hAnsi="Arial"/>
                <w:sz w:val="14"/>
                <w:szCs w:val="14"/>
                <w:color w:val="auto"/>
              </w:rPr>
              <w:t>3,985,847</w:t>
            </w:r>
            <w:r>
              <w:rPr>
                <w:rFonts w:ascii="Arial" w:cs="Arial" w:eastAsia="Arial" w:hAnsi="Arial"/>
                <w:sz w:val="23"/>
                <w:szCs w:val="23"/>
                <w:color w:val="auto"/>
                <w:vertAlign w:val="superscript"/>
              </w:rPr>
              <w:t>(11)</w:t>
            </w:r>
          </w:p>
        </w:tc>
        <w:tc>
          <w:tcPr>
            <w:tcW w:w="128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Former Chief Financial</w:t>
            </w:r>
          </w:p>
        </w:tc>
        <w:tc>
          <w:tcPr>
            <w:tcW w:w="140" w:type="dxa"/>
            <w:vAlign w:val="bottom"/>
            <w:shd w:val="clear" w:color="auto" w:fill="F2F2F2"/>
          </w:tcPr>
          <w:p>
            <w:pPr>
              <w:spacing w:after="0"/>
              <w:rPr>
                <w:sz w:val="14"/>
                <w:szCs w:val="14"/>
                <w:color w:val="auto"/>
              </w:rPr>
            </w:pPr>
          </w:p>
        </w:tc>
        <w:tc>
          <w:tcPr>
            <w:tcW w:w="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F2F2F2"/>
          </w:tcPr>
          <w:p>
            <w:pPr>
              <w:spacing w:after="0"/>
              <w:rPr>
                <w:sz w:val="14"/>
                <w:szCs w:val="1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545,833</w:t>
            </w:r>
          </w:p>
        </w:tc>
        <w:tc>
          <w:tcPr>
            <w:tcW w:w="9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continue"/>
            <w:shd w:val="clear" w:color="auto" w:fill="F2F2F2"/>
          </w:tcPr>
          <w:p>
            <w:pPr>
              <w:spacing w:after="0"/>
              <w:rPr>
                <w:sz w:val="14"/>
                <w:szCs w:val="14"/>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443,425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shd w:val="clear" w:color="auto" w:fill="F2F2F2"/>
          </w:tcPr>
          <w:p>
            <w:pPr>
              <w:jc w:val="center"/>
              <w:ind w:left="28"/>
              <w:spacing w:after="0"/>
              <w:rPr>
                <w:sz w:val="20"/>
                <w:szCs w:val="20"/>
                <w:color w:val="auto"/>
              </w:rPr>
            </w:pPr>
            <w:r>
              <w:rPr>
                <w:rFonts w:ascii="Arial" w:cs="Arial" w:eastAsia="Arial" w:hAnsi="Arial"/>
                <w:sz w:val="14"/>
                <w:szCs w:val="14"/>
                <w:color w:val="auto"/>
              </w:rPr>
              <w:t>4,981,105</w:t>
            </w:r>
          </w:p>
        </w:tc>
        <w:tc>
          <w:tcPr>
            <w:tcW w:w="0" w:type="dxa"/>
            <w:vAlign w:val="bottom"/>
          </w:tcPr>
          <w:p>
            <w:pPr>
              <w:spacing w:after="0"/>
              <w:rPr>
                <w:sz w:val="1"/>
                <w:szCs w:val="1"/>
                <w:color w:val="auto"/>
              </w:rPr>
            </w:pPr>
          </w:p>
        </w:tc>
      </w:tr>
      <w:tr>
        <w:trPr>
          <w:trHeight w:val="186"/>
        </w:trPr>
        <w:tc>
          <w:tcPr>
            <w:tcW w:w="190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Officer</w:t>
            </w:r>
          </w:p>
        </w:tc>
        <w:tc>
          <w:tcPr>
            <w:tcW w:w="140" w:type="dxa"/>
            <w:vAlign w:val="bottom"/>
            <w:shd w:val="clear" w:color="auto" w:fill="F2F2F2"/>
          </w:tcPr>
          <w:p>
            <w:pPr>
              <w:spacing w:after="0"/>
              <w:rPr>
                <w:sz w:val="16"/>
                <w:szCs w:val="16"/>
                <w:color w:val="auto"/>
              </w:rPr>
            </w:pPr>
          </w:p>
        </w:tc>
        <w:tc>
          <w:tcPr>
            <w:tcW w:w="4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F2F2F2"/>
          </w:tcPr>
          <w:p>
            <w:pPr>
              <w:spacing w:after="0"/>
              <w:rPr>
                <w:sz w:val="16"/>
                <w:szCs w:val="16"/>
                <w:color w:val="auto"/>
              </w:rPr>
            </w:pP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491,667</w:t>
            </w:r>
          </w:p>
        </w:tc>
        <w:tc>
          <w:tcPr>
            <w:tcW w:w="9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restart"/>
            <w:shd w:val="clear" w:color="auto" w:fill="F2F2F2"/>
          </w:tcPr>
          <w:p>
            <w:pPr>
              <w:ind w:left="320"/>
              <w:spacing w:after="0"/>
              <w:rPr>
                <w:sz w:val="20"/>
                <w:szCs w:val="20"/>
                <w:color w:val="auto"/>
              </w:rPr>
            </w:pPr>
            <w:r>
              <w:rPr>
                <w:rFonts w:ascii="Arial" w:cs="Arial" w:eastAsia="Arial" w:hAnsi="Arial"/>
                <w:sz w:val="14"/>
                <w:szCs w:val="14"/>
                <w:color w:val="auto"/>
              </w:rPr>
              <w:t>5,201,503</w:t>
            </w:r>
            <w:r>
              <w:rPr>
                <w:rFonts w:ascii="Arial" w:cs="Arial" w:eastAsia="Arial" w:hAnsi="Arial"/>
                <w:sz w:val="23"/>
                <w:szCs w:val="23"/>
                <w:color w:val="auto"/>
                <w:vertAlign w:val="superscript"/>
              </w:rPr>
              <w:t>(12)</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599,025</w:t>
            </w:r>
          </w:p>
        </w:tc>
        <w:tc>
          <w:tcPr>
            <w:tcW w:w="12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980" w:type="dxa"/>
            <w:vAlign w:val="bottom"/>
            <w:vMerge w:val="restart"/>
            <w:shd w:val="clear" w:color="auto" w:fill="F2F2F2"/>
          </w:tcPr>
          <w:p>
            <w:pPr>
              <w:jc w:val="center"/>
              <w:ind w:left="28"/>
              <w:spacing w:after="0"/>
              <w:rPr>
                <w:sz w:val="20"/>
                <w:szCs w:val="20"/>
                <w:color w:val="auto"/>
              </w:rPr>
            </w:pPr>
            <w:r>
              <w:rPr>
                <w:rFonts w:ascii="Arial" w:cs="Arial" w:eastAsia="Arial" w:hAnsi="Arial"/>
                <w:sz w:val="14"/>
                <w:szCs w:val="14"/>
                <w:color w:val="auto"/>
              </w:rPr>
              <w:t>6,298,195</w:t>
            </w:r>
          </w:p>
        </w:tc>
        <w:tc>
          <w:tcPr>
            <w:tcW w:w="0" w:type="dxa"/>
            <w:vAlign w:val="bottom"/>
          </w:tcPr>
          <w:p>
            <w:pPr>
              <w:spacing w:after="0"/>
              <w:rPr>
                <w:sz w:val="1"/>
                <w:szCs w:val="1"/>
                <w:color w:val="auto"/>
              </w:rPr>
            </w:pPr>
          </w:p>
        </w:tc>
      </w:tr>
      <w:tr>
        <w:trPr>
          <w:trHeight w:val="268"/>
        </w:trPr>
        <w:tc>
          <w:tcPr>
            <w:tcW w:w="1900" w:type="dxa"/>
            <w:vAlign w:val="bottom"/>
            <w:shd w:val="clear" w:color="auto" w:fill="F2F2F2"/>
          </w:tcPr>
          <w:p>
            <w:pPr>
              <w:spacing w:after="0"/>
              <w:rPr>
                <w:sz w:val="23"/>
                <w:szCs w:val="23"/>
                <w:color w:val="auto"/>
              </w:rPr>
            </w:pPr>
          </w:p>
        </w:tc>
        <w:tc>
          <w:tcPr>
            <w:tcW w:w="140" w:type="dxa"/>
            <w:vAlign w:val="bottom"/>
            <w:shd w:val="clear" w:color="auto" w:fill="F2F2F2"/>
          </w:tcPr>
          <w:p>
            <w:pPr>
              <w:spacing w:after="0"/>
              <w:rPr>
                <w:sz w:val="23"/>
                <w:szCs w:val="23"/>
                <w:color w:val="auto"/>
              </w:rPr>
            </w:pPr>
          </w:p>
        </w:tc>
        <w:tc>
          <w:tcPr>
            <w:tcW w:w="480" w:type="dxa"/>
            <w:vAlign w:val="bottom"/>
            <w:vMerge w:val="continue"/>
            <w:shd w:val="clear" w:color="auto" w:fill="F2F2F2"/>
          </w:tcPr>
          <w:p>
            <w:pPr>
              <w:spacing w:after="0"/>
              <w:rPr>
                <w:sz w:val="23"/>
                <w:szCs w:val="23"/>
                <w:color w:val="auto"/>
              </w:rPr>
            </w:pPr>
          </w:p>
        </w:tc>
        <w:tc>
          <w:tcPr>
            <w:tcW w:w="140" w:type="dxa"/>
            <w:vAlign w:val="bottom"/>
            <w:shd w:val="clear" w:color="auto" w:fill="F2F2F2"/>
          </w:tcPr>
          <w:p>
            <w:pPr>
              <w:spacing w:after="0"/>
              <w:rPr>
                <w:sz w:val="23"/>
                <w:szCs w:val="23"/>
                <w:color w:val="auto"/>
              </w:rPr>
            </w:pPr>
          </w:p>
        </w:tc>
        <w:tc>
          <w:tcPr>
            <w:tcW w:w="1040" w:type="dxa"/>
            <w:vAlign w:val="bottom"/>
            <w:vMerge w:val="continue"/>
            <w:shd w:val="clear" w:color="auto" w:fill="F2F2F2"/>
          </w:tcPr>
          <w:p>
            <w:pPr>
              <w:spacing w:after="0"/>
              <w:rPr>
                <w:sz w:val="23"/>
                <w:szCs w:val="23"/>
                <w:color w:val="auto"/>
              </w:rPr>
            </w:pPr>
          </w:p>
        </w:tc>
        <w:tc>
          <w:tcPr>
            <w:tcW w:w="980" w:type="dxa"/>
            <w:vAlign w:val="bottom"/>
            <w:vMerge w:val="continue"/>
            <w:shd w:val="clear" w:color="auto" w:fill="F2F2F2"/>
          </w:tcPr>
          <w:p>
            <w:pPr>
              <w:spacing w:after="0"/>
              <w:rPr>
                <w:sz w:val="23"/>
                <w:szCs w:val="23"/>
                <w:color w:val="auto"/>
              </w:rPr>
            </w:pPr>
          </w:p>
        </w:tc>
        <w:tc>
          <w:tcPr>
            <w:tcW w:w="1340" w:type="dxa"/>
            <w:vAlign w:val="bottom"/>
            <w:vMerge w:val="continue"/>
            <w:shd w:val="clear" w:color="auto" w:fill="F2F2F2"/>
          </w:tcPr>
          <w:p>
            <w:pPr>
              <w:spacing w:after="0"/>
              <w:rPr>
                <w:sz w:val="23"/>
                <w:szCs w:val="23"/>
                <w:color w:val="auto"/>
              </w:rPr>
            </w:pPr>
          </w:p>
        </w:tc>
        <w:tc>
          <w:tcPr>
            <w:tcW w:w="1280" w:type="dxa"/>
            <w:vAlign w:val="bottom"/>
            <w:vMerge w:val="continue"/>
            <w:shd w:val="clear" w:color="auto" w:fill="F2F2F2"/>
          </w:tcPr>
          <w:p>
            <w:pPr>
              <w:spacing w:after="0"/>
              <w:rPr>
                <w:sz w:val="23"/>
                <w:szCs w:val="23"/>
                <w:color w:val="auto"/>
              </w:rPr>
            </w:pPr>
          </w:p>
        </w:tc>
        <w:tc>
          <w:tcPr>
            <w:tcW w:w="1280" w:type="dxa"/>
            <w:vAlign w:val="bottom"/>
            <w:vMerge w:val="continue"/>
            <w:shd w:val="clear" w:color="auto" w:fill="F2F2F2"/>
          </w:tcPr>
          <w:p>
            <w:pPr>
              <w:spacing w:after="0"/>
              <w:rPr>
                <w:sz w:val="23"/>
                <w:szCs w:val="23"/>
                <w:color w:val="auto"/>
              </w:rPr>
            </w:pPr>
          </w:p>
        </w:tc>
        <w:tc>
          <w:tcPr>
            <w:tcW w:w="980" w:type="dxa"/>
            <w:vAlign w:val="bottom"/>
            <w:vMerge w:val="continue"/>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Olivia Nottebohm</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450,961</w:t>
            </w:r>
            <w:r>
              <w:rPr>
                <w:rFonts w:ascii="Arial" w:cs="Arial" w:eastAsia="Arial" w:hAnsi="Arial"/>
                <w:sz w:val="23"/>
                <w:szCs w:val="23"/>
                <w:color w:val="auto"/>
                <w:vertAlign w:val="superscript"/>
              </w:rPr>
              <w:t>(13)</w:t>
            </w:r>
          </w:p>
        </w:tc>
        <w:tc>
          <w:tcPr>
            <w:tcW w:w="980" w:type="dxa"/>
            <w:vAlign w:val="bottom"/>
          </w:tcPr>
          <w:p>
            <w:pPr>
              <w:spacing w:after="0"/>
              <w:rPr>
                <w:sz w:val="21"/>
                <w:szCs w:val="21"/>
                <w:color w:val="auto"/>
              </w:rPr>
            </w:pPr>
          </w:p>
        </w:tc>
        <w:tc>
          <w:tcPr>
            <w:tcW w:w="1340" w:type="dxa"/>
            <w:vAlign w:val="bottom"/>
            <w:vMerge w:val="restart"/>
          </w:tcPr>
          <w:p>
            <w:pPr>
              <w:ind w:left="240"/>
              <w:spacing w:after="0"/>
              <w:rPr>
                <w:sz w:val="20"/>
                <w:szCs w:val="20"/>
                <w:color w:val="auto"/>
              </w:rPr>
            </w:pPr>
            <w:r>
              <w:rPr>
                <w:rFonts w:ascii="Arial" w:cs="Arial" w:eastAsia="Arial" w:hAnsi="Arial"/>
                <w:sz w:val="14"/>
                <w:szCs w:val="14"/>
                <w:color w:val="auto"/>
              </w:rPr>
              <w:t>16,523,486</w:t>
            </w:r>
            <w:r>
              <w:rPr>
                <w:rFonts w:ascii="Arial" w:cs="Arial" w:eastAsia="Arial" w:hAnsi="Arial"/>
                <w:sz w:val="23"/>
                <w:szCs w:val="23"/>
                <w:color w:val="auto"/>
                <w:vertAlign w:val="superscript"/>
              </w:rPr>
              <w:t>(14)</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w w:val="89"/>
                <w:vertAlign w:val="subscript"/>
              </w:rPr>
              <w:t>—</w:t>
            </w:r>
            <w:r>
              <w:rPr>
                <w:rFonts w:ascii="Arial" w:cs="Arial" w:eastAsia="Arial" w:hAnsi="Arial"/>
                <w:sz w:val="12"/>
                <w:szCs w:val="12"/>
                <w:color w:val="auto"/>
                <w:w w:val="89"/>
              </w:rPr>
              <w:t>(15)</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60"/>
              <w:spacing w:after="0"/>
              <w:rPr>
                <w:sz w:val="20"/>
                <w:szCs w:val="20"/>
                <w:color w:val="auto"/>
              </w:rPr>
            </w:pPr>
            <w:r>
              <w:rPr>
                <w:rFonts w:ascii="Arial" w:cs="Arial" w:eastAsia="Arial" w:hAnsi="Arial"/>
                <w:sz w:val="14"/>
                <w:szCs w:val="14"/>
                <w:i w:val="1"/>
                <w:iCs w:val="1"/>
                <w:color w:val="auto"/>
              </w:rPr>
              <w:t>Former Chief Operating</w:t>
            </w: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5,750</w:t>
            </w:r>
          </w:p>
        </w:tc>
        <w:tc>
          <w:tcPr>
            <w:tcW w:w="980" w:type="dxa"/>
            <w:vAlign w:val="bottom"/>
          </w:tcPr>
          <w:p>
            <w:pPr>
              <w:jc w:val="center"/>
              <w:spacing w:after="0"/>
              <w:rPr>
                <w:sz w:val="20"/>
                <w:szCs w:val="20"/>
                <w:color w:val="auto"/>
              </w:rPr>
            </w:pPr>
            <w:r>
              <w:rPr>
                <w:rFonts w:ascii="Arial" w:cs="Arial" w:eastAsia="Arial" w:hAnsi="Arial"/>
                <w:sz w:val="14"/>
                <w:szCs w:val="14"/>
                <w:color w:val="auto"/>
              </w:rPr>
              <w:t>16,980,197</w:t>
            </w:r>
          </w:p>
        </w:tc>
        <w:tc>
          <w:tcPr>
            <w:tcW w:w="0" w:type="dxa"/>
            <w:vAlign w:val="bottom"/>
          </w:tcPr>
          <w:p>
            <w:pPr>
              <w:spacing w:after="0"/>
              <w:rPr>
                <w:sz w:val="1"/>
                <w:szCs w:val="1"/>
                <w:color w:val="auto"/>
              </w:rPr>
            </w:pPr>
          </w:p>
        </w:tc>
      </w:tr>
      <w:tr>
        <w:trPr>
          <w:trHeight w:val="186"/>
        </w:trPr>
        <w:tc>
          <w:tcPr>
            <w:tcW w:w="1900" w:type="dxa"/>
            <w:vAlign w:val="bottom"/>
          </w:tcPr>
          <w:p>
            <w:pPr>
              <w:ind w:left="60"/>
              <w:spacing w:after="0"/>
              <w:rPr>
                <w:sz w:val="20"/>
                <w:szCs w:val="20"/>
                <w:color w:val="auto"/>
              </w:rPr>
            </w:pPr>
            <w:r>
              <w:rPr>
                <w:rFonts w:ascii="Arial" w:cs="Arial" w:eastAsia="Arial" w:hAnsi="Arial"/>
                <w:sz w:val="14"/>
                <w:szCs w:val="14"/>
                <w:i w:val="1"/>
                <w:iCs w:val="1"/>
                <w:color w:val="auto"/>
              </w:rPr>
              <w:t>Officer</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4" w:right="400" w:hanging="244"/>
        <w:spacing w:after="0" w:line="193"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Unless otherwise described in the footnotes below, the amounts reported represent the aggregate grant-date fair value of RSAs or RSUs, as applicable, calculated in accordance with ASC Topic 718.</w:t>
      </w:r>
    </w:p>
    <w:p>
      <w:pPr>
        <w:spacing w:after="0" w:line="1" w:lineRule="exact"/>
        <w:rPr>
          <w:rFonts w:ascii="Arial" w:cs="Arial" w:eastAsia="Arial" w:hAnsi="Arial"/>
          <w:sz w:val="22"/>
          <w:szCs w:val="22"/>
          <w:color w:val="auto"/>
          <w:vertAlign w:val="superscript"/>
        </w:rPr>
      </w:pPr>
    </w:p>
    <w:p>
      <w:pPr>
        <w:ind w:left="244" w:right="240" w:hanging="244"/>
        <w:spacing w:after="0" w:line="195"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amounts reported represent the amounts payable under our cash bonus plans for 2018, 2019, and 2020, respectively.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Elements—Annual Cash Bonuses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Unless otherwise noted, the amount reported reflects matching 401(k) contributions in 2018, 2019 and 2020.</w:t>
      </w:r>
    </w:p>
    <w:p>
      <w:pPr>
        <w:spacing w:after="0" w:line="16" w:lineRule="exact"/>
        <w:rPr>
          <w:rFonts w:ascii="Arial" w:cs="Arial" w:eastAsia="Arial" w:hAnsi="Arial"/>
          <w:sz w:val="20"/>
          <w:szCs w:val="20"/>
          <w:color w:val="auto"/>
          <w:vertAlign w:val="superscript"/>
        </w:rPr>
      </w:pPr>
    </w:p>
    <w:p>
      <w:pPr>
        <w:ind w:left="244" w:right="60" w:hanging="244"/>
        <w:spacing w:after="0" w:line="222"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an approximately three-year performance period based on the achievement of certain stock price goals measured over a consecutive thirty-day trading period during twelve-month measurement periods. We calculated the grant date fair value based on multiple stock price paths developed through the use of a Monte Carlo simulation. See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above. If the RSAs were instead valued based on the achievement of the maximum stock price goals in each measurement period (and thus the maximum number of shares that may be issued under the performance-based RSA are issued), the aggregate market value of the RSAs on the date of grant would be $32,044,160.</w:t>
      </w:r>
    </w:p>
    <w:p>
      <w:pPr>
        <w:spacing w:after="0" w:line="6" w:lineRule="exact"/>
        <w:rPr>
          <w:rFonts w:ascii="Arial" w:cs="Arial" w:eastAsia="Arial" w:hAnsi="Arial"/>
          <w:sz w:val="22"/>
          <w:szCs w:val="22"/>
          <w:color w:val="auto"/>
          <w:vertAlign w:val="superscript"/>
        </w:rPr>
      </w:pPr>
    </w:p>
    <w:p>
      <w:pPr>
        <w:ind w:left="244" w:right="540" w:hanging="244"/>
        <w:spacing w:after="0" w:line="193"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Mr. Young joined us in October 2019, and therefore his salary and non-equity incentive plan compensation set forth in the table above was prorated for the portion of 2019 in which he was employed with us.</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The grant-date fair value is based on the closing price of our Class A common stock on Mr. Young’s first day of employment with us.</w:t>
      </w:r>
    </w:p>
    <w:p>
      <w:pPr>
        <w:spacing w:after="0" w:line="16"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The amount reported represents payment of a retention cash bonus.</w:t>
      </w:r>
    </w:p>
    <w:p>
      <w:pPr>
        <w:spacing w:after="0" w:line="3" w:lineRule="exact"/>
        <w:rPr>
          <w:rFonts w:ascii="Arial" w:cs="Arial" w:eastAsia="Arial" w:hAnsi="Arial"/>
          <w:sz w:val="19"/>
          <w:szCs w:val="19"/>
          <w:color w:val="auto"/>
          <w:vertAlign w:val="superscript"/>
        </w:rPr>
      </w:pPr>
    </w:p>
    <w:p>
      <w:pPr>
        <w:ind w:left="244" w:right="20" w:hanging="244"/>
        <w:spacing w:after="0" w:line="193"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Mr. Vashee resigned from the company in October 2020. Amount reported represents Mr. Vashee’s salary prorated for the portion of 2020 in which he was employed with us.</w:t>
      </w:r>
    </w:p>
    <w:p>
      <w:pPr>
        <w:spacing w:after="0" w:line="1" w:lineRule="exact"/>
        <w:rPr>
          <w:rFonts w:ascii="Arial" w:cs="Arial" w:eastAsia="Arial" w:hAnsi="Arial"/>
          <w:sz w:val="22"/>
          <w:szCs w:val="22"/>
          <w:color w:val="auto"/>
          <w:vertAlign w:val="superscript"/>
        </w:rPr>
      </w:pPr>
    </w:p>
    <w:p>
      <w:pPr>
        <w:ind w:left="244" w:hanging="244"/>
        <w:spacing w:after="0" w:line="187" w:lineRule="auto"/>
        <w:tabs>
          <w:tab w:leader="none" w:pos="244" w:val="left"/>
        </w:tabs>
        <w:numPr>
          <w:ilvl w:val="0"/>
          <w:numId w:val="70"/>
        </w:numPr>
        <w:rPr>
          <w:rFonts w:ascii="Arial" w:cs="Arial" w:eastAsia="Arial" w:hAnsi="Arial"/>
          <w:sz w:val="13"/>
          <w:szCs w:val="13"/>
          <w:color w:val="auto"/>
          <w:vertAlign w:val="superscript"/>
        </w:rPr>
      </w:pPr>
      <w:r>
        <w:rPr>
          <w:rFonts w:ascii="Arial" w:cs="Arial" w:eastAsia="Arial" w:hAnsi="Arial"/>
          <w:sz w:val="9"/>
          <w:szCs w:val="9"/>
          <w:color w:val="auto"/>
        </w:rPr>
        <w:t>200,076 unvested RSAs, representing a grant date fair value of $3,621,376, were forfeited upon Mr. Vashee’s resignation in October 2020.</w:t>
      </w:r>
    </w:p>
    <w:p>
      <w:pPr>
        <w:spacing w:after="0" w:line="18" w:lineRule="exact"/>
        <w:rPr>
          <w:rFonts w:ascii="Arial" w:cs="Arial" w:eastAsia="Arial" w:hAnsi="Arial"/>
          <w:sz w:val="13"/>
          <w:szCs w:val="13"/>
          <w:color w:val="auto"/>
          <w:vertAlign w:val="superscript"/>
        </w:rPr>
      </w:pPr>
    </w:p>
    <w:p>
      <w:pPr>
        <w:ind w:left="244" w:hanging="244"/>
        <w:spacing w:after="0"/>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Mr. Vashee resigned from the company in October 2020 and therefore was ineligible to receive his 2020 annual cash bonus.</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114,273 unvested RSUs, representing a grant date fair value of $2,491,151, were forfeited upon Mr. Vashee’s resignation in October 2020.</w:t>
      </w:r>
    </w:p>
    <w:p>
      <w:pPr>
        <w:spacing w:after="0" w:line="3" w:lineRule="exact"/>
        <w:rPr>
          <w:rFonts w:ascii="Arial" w:cs="Arial" w:eastAsia="Arial" w:hAnsi="Arial"/>
          <w:sz w:val="19"/>
          <w:szCs w:val="19"/>
          <w:color w:val="auto"/>
          <w:vertAlign w:val="superscript"/>
        </w:rPr>
      </w:pPr>
    </w:p>
    <w:p>
      <w:pPr>
        <w:ind w:left="244" w:hanging="244"/>
        <w:spacing w:after="0" w:line="189" w:lineRule="auto"/>
        <w:tabs>
          <w:tab w:leader="none" w:pos="244"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94,611 unvested RSUs, representing a grant date fair value of $1,625,417, were forfeited upon Mr. Vashee’s resignation in October 2020.</w:t>
      </w:r>
    </w:p>
    <w:p>
      <w:pPr>
        <w:spacing w:after="0" w:line="16" w:lineRule="exact"/>
        <w:rPr>
          <w:rFonts w:ascii="Arial" w:cs="Arial" w:eastAsia="Arial" w:hAnsi="Arial"/>
          <w:sz w:val="19"/>
          <w:szCs w:val="19"/>
          <w:color w:val="auto"/>
          <w:vertAlign w:val="superscript"/>
        </w:rPr>
      </w:pPr>
    </w:p>
    <w:p>
      <w:pPr>
        <w:ind w:left="244" w:right="40" w:hanging="244"/>
        <w:spacing w:after="0" w:line="205"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Ms. Nottebohm joined us in February 2020. Amount reported represents Ms. Nottebohm’s salary prorated for the portion of 2020 in which she was employed with us.</w:t>
      </w:r>
    </w:p>
    <w:p>
      <w:pPr>
        <w:spacing w:after="0" w:line="3" w:lineRule="exact"/>
        <w:rPr>
          <w:rFonts w:ascii="Arial" w:cs="Arial" w:eastAsia="Arial" w:hAnsi="Arial"/>
          <w:sz w:val="20"/>
          <w:szCs w:val="20"/>
          <w:color w:val="auto"/>
          <w:vertAlign w:val="superscript"/>
        </w:rPr>
      </w:pPr>
    </w:p>
    <w:p>
      <w:pPr>
        <w:ind w:left="244" w:right="120" w:hanging="244"/>
        <w:spacing w:after="0" w:line="211"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633,569 unvested RSAs, representing a grant date fair value of $12,392,610, were forfeited upon Ms. Nottebohm’s resignation in February 2021. In connection with Ms. Nottebohm’s separation agreement, the unvested RSAs that would have vested if she had remained employed through February 15, 2021 were accelerated to vest on February 5, 2021. See “</w:t>
      </w:r>
      <w:r>
        <w:rPr>
          <w:rFonts w:ascii="Arial" w:cs="Arial" w:eastAsia="Arial" w:hAnsi="Arial"/>
          <w:sz w:val="14"/>
          <w:szCs w:val="14"/>
          <w:i w:val="1"/>
          <w:iCs w:val="1"/>
          <w:color w:val="auto"/>
        </w:rPr>
        <w:t>Potential Payments on Termination or Change in Control—</w:t>
      </w:r>
    </w:p>
    <w:p>
      <w:pPr>
        <w:ind w:left="244"/>
        <w:spacing w:after="0"/>
        <w:rPr>
          <w:rFonts w:ascii="Arial" w:cs="Arial" w:eastAsia="Arial" w:hAnsi="Arial"/>
          <w:sz w:val="20"/>
          <w:szCs w:val="20"/>
          <w:color w:val="auto"/>
          <w:vertAlign w:val="superscript"/>
        </w:rPr>
      </w:pPr>
      <w:r>
        <w:rPr>
          <w:rFonts w:ascii="Arial" w:cs="Arial" w:eastAsia="Arial" w:hAnsi="Arial"/>
          <w:sz w:val="14"/>
          <w:szCs w:val="14"/>
          <w:i w:val="1"/>
          <w:iCs w:val="1"/>
          <w:color w:val="auto"/>
        </w:rPr>
        <w:t>Ms. Nottebohm’s Separation</w:t>
      </w:r>
      <w:r>
        <w:rPr>
          <w:rFonts w:ascii="Arial" w:cs="Arial" w:eastAsia="Arial" w:hAnsi="Arial"/>
          <w:sz w:val="14"/>
          <w:szCs w:val="14"/>
          <w:color w:val="auto"/>
        </w:rPr>
        <w:t>” below.</w:t>
      </w:r>
    </w:p>
    <w:p>
      <w:pPr>
        <w:spacing w:after="0" w:line="11" w:lineRule="exact"/>
        <w:rPr>
          <w:rFonts w:ascii="Arial" w:cs="Arial" w:eastAsia="Arial" w:hAnsi="Arial"/>
          <w:sz w:val="20"/>
          <w:szCs w:val="20"/>
          <w:color w:val="auto"/>
          <w:vertAlign w:val="superscript"/>
        </w:rPr>
      </w:pPr>
    </w:p>
    <w:p>
      <w:pPr>
        <w:ind w:left="244" w:hanging="244"/>
        <w:spacing w:after="0" w:line="183"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Ms. Nottebohm resigned from the company in February 2021 and therefore was ineligible to receive her 2020 annual cash bonus.</w:t>
      </w:r>
    </w:p>
    <w:p>
      <w:pPr>
        <w:spacing w:after="0" w:line="188" w:lineRule="exact"/>
        <w:rPr>
          <w:sz w:val="20"/>
          <w:szCs w:val="20"/>
          <w:color w:val="auto"/>
        </w:rPr>
      </w:pPr>
    </w:p>
    <w:p>
      <w:pPr>
        <w:ind w:left="524" w:hanging="524"/>
        <w:spacing w:after="0"/>
        <w:tabs>
          <w:tab w:leader="none" w:pos="524"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2" w:name="page53"/>
    <w:bookmarkEnd w:id="5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Grants of Plan-Based Awards in 2020</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45085</wp:posOffset>
            </wp:positionV>
            <wp:extent cx="6077585" cy="3240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7585" cy="3240405"/>
                    </a:xfrm>
                    <a:prstGeom prst="rect">
                      <a:avLst/>
                    </a:prstGeom>
                    <a:noFill/>
                  </pic:spPr>
                </pic:pic>
              </a:graphicData>
            </a:graphic>
          </wp:anchor>
        </w:drawing>
      </w:r>
    </w:p>
    <w:p>
      <w:pPr>
        <w:spacing w:after="0" w:line="51" w:lineRule="exact"/>
        <w:rPr>
          <w:sz w:val="20"/>
          <w:szCs w:val="20"/>
          <w:color w:val="auto"/>
        </w:rPr>
      </w:pPr>
    </w:p>
    <w:tbl>
      <w:tblPr>
        <w:tblLayout w:type="fixed"/>
        <w:tblInd w:w="720" w:type="dxa"/>
        <w:tblCellMar>
          <w:top w:w="0" w:type="dxa"/>
          <w:left w:w="0" w:type="dxa"/>
          <w:bottom w:w="0" w:type="dxa"/>
          <w:right w:w="0" w:type="dxa"/>
        </w:tblCellMar>
      </w:tblPr>
      <w:tr>
        <w:trPr>
          <w:trHeight w:val="221"/>
        </w:trPr>
        <w:tc>
          <w:tcPr>
            <w:tcW w:w="1400" w:type="dxa"/>
            <w:vAlign w:val="bottom"/>
            <w:shd w:val="clear" w:color="auto" w:fill="0063A6"/>
          </w:tcPr>
          <w:p>
            <w:pPr>
              <w:spacing w:after="0"/>
              <w:rPr>
                <w:sz w:val="19"/>
                <w:szCs w:val="19"/>
                <w:color w:val="auto"/>
              </w:rPr>
            </w:pPr>
          </w:p>
        </w:tc>
        <w:tc>
          <w:tcPr>
            <w:tcW w:w="1000" w:type="dxa"/>
            <w:vAlign w:val="bottom"/>
            <w:shd w:val="clear" w:color="auto" w:fill="0063A6"/>
          </w:tcPr>
          <w:p>
            <w:pPr>
              <w:spacing w:after="0"/>
              <w:rPr>
                <w:sz w:val="19"/>
                <w:szCs w:val="19"/>
                <w:color w:val="auto"/>
              </w:rPr>
            </w:pPr>
          </w:p>
        </w:tc>
        <w:tc>
          <w:tcPr>
            <w:tcW w:w="940" w:type="dxa"/>
            <w:vAlign w:val="bottom"/>
            <w:shd w:val="clear" w:color="auto" w:fill="0063A6"/>
          </w:tcPr>
          <w:p>
            <w:pPr>
              <w:spacing w:after="0"/>
              <w:rPr>
                <w:sz w:val="19"/>
                <w:szCs w:val="19"/>
                <w:color w:val="auto"/>
              </w:rPr>
            </w:pPr>
          </w:p>
        </w:tc>
        <w:tc>
          <w:tcPr>
            <w:tcW w:w="2060" w:type="dxa"/>
            <w:vAlign w:val="bottom"/>
            <w:gridSpan w:val="3"/>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Estimated Future Payouts Under</w:t>
            </w:r>
          </w:p>
        </w:tc>
        <w:tc>
          <w:tcPr>
            <w:tcW w:w="2060" w:type="dxa"/>
            <w:vAlign w:val="bottom"/>
            <w:gridSpan w:val="3"/>
            <w:shd w:val="clear" w:color="auto" w:fill="0063A6"/>
          </w:tcPr>
          <w:p>
            <w:pPr>
              <w:jc w:val="center"/>
              <w:spacing w:after="0"/>
              <w:rPr>
                <w:sz w:val="20"/>
                <w:szCs w:val="20"/>
                <w:color w:val="auto"/>
              </w:rPr>
            </w:pPr>
            <w:r>
              <w:rPr>
                <w:rFonts w:ascii="Arial" w:cs="Arial" w:eastAsia="Arial" w:hAnsi="Arial"/>
                <w:sz w:val="13"/>
                <w:szCs w:val="13"/>
                <w:b w:val="1"/>
                <w:bCs w:val="1"/>
                <w:color w:val="FFFFFF"/>
                <w:w w:val="97"/>
              </w:rPr>
              <w:t>Estimated Future Payouts</w:t>
            </w:r>
          </w:p>
        </w:tc>
        <w:tc>
          <w:tcPr>
            <w:tcW w:w="9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114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0063A6"/>
          </w:tcPr>
          <w:p>
            <w:pPr>
              <w:spacing w:after="0"/>
              <w:rPr>
                <w:sz w:val="4"/>
                <w:szCs w:val="4"/>
                <w:color w:val="auto"/>
              </w:rPr>
            </w:pPr>
          </w:p>
        </w:tc>
        <w:tc>
          <w:tcPr>
            <w:tcW w:w="1000" w:type="dxa"/>
            <w:vAlign w:val="bottom"/>
            <w:shd w:val="clear" w:color="auto" w:fill="0063A6"/>
          </w:tcPr>
          <w:p>
            <w:pPr>
              <w:spacing w:after="0"/>
              <w:rPr>
                <w:sz w:val="4"/>
                <w:szCs w:val="4"/>
                <w:color w:val="auto"/>
              </w:rPr>
            </w:pPr>
          </w:p>
        </w:tc>
        <w:tc>
          <w:tcPr>
            <w:tcW w:w="940" w:type="dxa"/>
            <w:vAlign w:val="bottom"/>
            <w:shd w:val="clear" w:color="auto" w:fill="0063A6"/>
          </w:tcPr>
          <w:p>
            <w:pPr>
              <w:spacing w:after="0"/>
              <w:rPr>
                <w:sz w:val="4"/>
                <w:szCs w:val="4"/>
                <w:color w:val="auto"/>
              </w:rPr>
            </w:pPr>
          </w:p>
        </w:tc>
        <w:tc>
          <w:tcPr>
            <w:tcW w:w="2060" w:type="dxa"/>
            <w:vAlign w:val="bottom"/>
            <w:gridSpan w:val="3"/>
            <w:vMerge w:val="restart"/>
            <w:shd w:val="clear" w:color="auto" w:fill="0063A6"/>
          </w:tcPr>
          <w:p>
            <w:pPr>
              <w:jc w:val="center"/>
              <w:spacing w:after="0" w:line="131" w:lineRule="exact"/>
              <w:rPr>
                <w:sz w:val="20"/>
                <w:szCs w:val="20"/>
                <w:color w:val="auto"/>
              </w:rPr>
            </w:pPr>
            <w:r>
              <w:rPr>
                <w:rFonts w:ascii="Arial" w:cs="Arial" w:eastAsia="Arial" w:hAnsi="Arial"/>
                <w:sz w:val="13"/>
                <w:szCs w:val="13"/>
                <w:b w:val="1"/>
                <w:bCs w:val="1"/>
                <w:color w:val="FFFFFF"/>
                <w:w w:val="97"/>
              </w:rPr>
              <w:t>Non-Equity Incentive</w:t>
            </w:r>
          </w:p>
        </w:tc>
        <w:tc>
          <w:tcPr>
            <w:tcW w:w="2060" w:type="dxa"/>
            <w:vAlign w:val="bottom"/>
            <w:gridSpan w:val="3"/>
            <w:vMerge w:val="restart"/>
            <w:shd w:val="clear" w:color="auto" w:fill="0063A6"/>
          </w:tcPr>
          <w:p>
            <w:pPr>
              <w:jc w:val="center"/>
              <w:spacing w:after="0" w:line="131" w:lineRule="exact"/>
              <w:rPr>
                <w:sz w:val="20"/>
                <w:szCs w:val="20"/>
                <w:color w:val="auto"/>
              </w:rPr>
            </w:pPr>
            <w:r>
              <w:rPr>
                <w:rFonts w:ascii="Arial" w:cs="Arial" w:eastAsia="Arial" w:hAnsi="Arial"/>
                <w:sz w:val="13"/>
                <w:szCs w:val="13"/>
                <w:b w:val="1"/>
                <w:bCs w:val="1"/>
                <w:color w:val="FFFFFF"/>
                <w:w w:val="96"/>
              </w:rPr>
              <w:t>Under Equity Incentive</w:t>
            </w:r>
          </w:p>
        </w:tc>
        <w:tc>
          <w:tcPr>
            <w:tcW w:w="960" w:type="dxa"/>
            <w:vAlign w:val="bottom"/>
            <w:vMerge w:val="continue"/>
            <w:shd w:val="clear" w:color="auto" w:fill="0063A6"/>
          </w:tcPr>
          <w:p>
            <w:pPr>
              <w:spacing w:after="0"/>
              <w:rPr>
                <w:sz w:val="4"/>
                <w:szCs w:val="4"/>
                <w:color w:val="auto"/>
              </w:rPr>
            </w:pPr>
          </w:p>
        </w:tc>
        <w:tc>
          <w:tcPr>
            <w:tcW w:w="1140" w:type="dxa"/>
            <w:vAlign w:val="bottom"/>
            <w:shd w:val="clear" w:color="auto" w:fill="0063A6"/>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400" w:type="dxa"/>
            <w:vAlign w:val="bottom"/>
            <w:shd w:val="clear" w:color="auto" w:fill="0063A6"/>
          </w:tcPr>
          <w:p>
            <w:pPr>
              <w:spacing w:after="0"/>
              <w:rPr>
                <w:sz w:val="6"/>
                <w:szCs w:val="6"/>
                <w:color w:val="auto"/>
              </w:rPr>
            </w:pPr>
          </w:p>
        </w:tc>
        <w:tc>
          <w:tcPr>
            <w:tcW w:w="1000" w:type="dxa"/>
            <w:vAlign w:val="bottom"/>
            <w:shd w:val="clear" w:color="auto" w:fill="0063A6"/>
          </w:tcPr>
          <w:p>
            <w:pPr>
              <w:spacing w:after="0"/>
              <w:rPr>
                <w:sz w:val="6"/>
                <w:szCs w:val="6"/>
                <w:color w:val="auto"/>
              </w:rPr>
            </w:pPr>
          </w:p>
        </w:tc>
        <w:tc>
          <w:tcPr>
            <w:tcW w:w="940" w:type="dxa"/>
            <w:vAlign w:val="bottom"/>
            <w:shd w:val="clear" w:color="auto" w:fill="0063A6"/>
          </w:tcPr>
          <w:p>
            <w:pPr>
              <w:spacing w:after="0"/>
              <w:rPr>
                <w:sz w:val="6"/>
                <w:szCs w:val="6"/>
                <w:color w:val="auto"/>
              </w:rPr>
            </w:pPr>
          </w:p>
        </w:tc>
        <w:tc>
          <w:tcPr>
            <w:tcW w:w="2060" w:type="dxa"/>
            <w:vAlign w:val="bottom"/>
            <w:gridSpan w:val="3"/>
            <w:vMerge w:val="continue"/>
            <w:shd w:val="clear" w:color="auto" w:fill="0063A6"/>
          </w:tcPr>
          <w:p>
            <w:pPr>
              <w:spacing w:after="0"/>
              <w:rPr>
                <w:sz w:val="6"/>
                <w:szCs w:val="6"/>
                <w:color w:val="auto"/>
              </w:rPr>
            </w:pPr>
          </w:p>
        </w:tc>
        <w:tc>
          <w:tcPr>
            <w:tcW w:w="2060" w:type="dxa"/>
            <w:vAlign w:val="bottom"/>
            <w:gridSpan w:val="3"/>
            <w:vMerge w:val="continue"/>
            <w:shd w:val="clear" w:color="auto" w:fill="0063A6"/>
          </w:tcPr>
          <w:p>
            <w:pPr>
              <w:spacing w:after="0"/>
              <w:rPr>
                <w:sz w:val="6"/>
                <w:szCs w:val="6"/>
                <w:color w:val="auto"/>
              </w:rPr>
            </w:pPr>
          </w:p>
        </w:tc>
        <w:tc>
          <w:tcPr>
            <w:tcW w:w="960" w:type="dxa"/>
            <w:vAlign w:val="bottom"/>
            <w:vMerge w:val="restart"/>
            <w:shd w:val="clear" w:color="auto" w:fill="0063A6"/>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400" w:type="dxa"/>
            <w:vAlign w:val="bottom"/>
            <w:shd w:val="clear" w:color="auto" w:fill="0063A6"/>
          </w:tcPr>
          <w:p>
            <w:pPr>
              <w:spacing w:after="0"/>
              <w:rPr>
                <w:sz w:val="5"/>
                <w:szCs w:val="5"/>
                <w:color w:val="auto"/>
              </w:rPr>
            </w:pPr>
          </w:p>
        </w:tc>
        <w:tc>
          <w:tcPr>
            <w:tcW w:w="1000" w:type="dxa"/>
            <w:vAlign w:val="bottom"/>
            <w:shd w:val="clear" w:color="auto" w:fill="0063A6"/>
          </w:tcPr>
          <w:p>
            <w:pPr>
              <w:spacing w:after="0"/>
              <w:rPr>
                <w:sz w:val="5"/>
                <w:szCs w:val="5"/>
                <w:color w:val="auto"/>
              </w:rPr>
            </w:pPr>
          </w:p>
        </w:tc>
        <w:tc>
          <w:tcPr>
            <w:tcW w:w="940" w:type="dxa"/>
            <w:vAlign w:val="bottom"/>
            <w:shd w:val="clear" w:color="auto" w:fill="0063A6"/>
          </w:tcPr>
          <w:p>
            <w:pPr>
              <w:spacing w:after="0"/>
              <w:rPr>
                <w:sz w:val="5"/>
                <w:szCs w:val="5"/>
                <w:color w:val="auto"/>
              </w:rPr>
            </w:pPr>
          </w:p>
        </w:tc>
        <w:tc>
          <w:tcPr>
            <w:tcW w:w="2060" w:type="dxa"/>
            <w:vAlign w:val="bottom"/>
            <w:gridSpan w:val="3"/>
            <w:vMerge w:val="restart"/>
            <w:shd w:val="clear" w:color="auto" w:fill="0063A6"/>
          </w:tcPr>
          <w:p>
            <w:pPr>
              <w:jc w:val="center"/>
              <w:spacing w:after="0" w:line="193" w:lineRule="exact"/>
              <w:rPr>
                <w:sz w:val="20"/>
                <w:szCs w:val="20"/>
                <w:color w:val="auto"/>
              </w:rPr>
            </w:pPr>
            <w:r>
              <w:rPr>
                <w:rFonts w:ascii="Arial" w:cs="Arial" w:eastAsia="Arial" w:hAnsi="Arial"/>
                <w:sz w:val="13"/>
                <w:szCs w:val="13"/>
                <w:b w:val="1"/>
                <w:bCs w:val="1"/>
                <w:color w:val="FFFFFF"/>
                <w:w w:val="93"/>
              </w:rPr>
              <w:t>Plan Awards ($)</w:t>
            </w:r>
            <w:r>
              <w:rPr>
                <w:rFonts w:ascii="Arial" w:cs="Arial" w:eastAsia="Arial" w:hAnsi="Arial"/>
                <w:sz w:val="20"/>
                <w:szCs w:val="20"/>
                <w:b w:val="1"/>
                <w:bCs w:val="1"/>
                <w:color w:val="FFFFFF"/>
                <w:w w:val="93"/>
                <w:vertAlign w:val="superscript"/>
              </w:rPr>
              <w:t>(1)</w:t>
            </w:r>
          </w:p>
        </w:tc>
        <w:tc>
          <w:tcPr>
            <w:tcW w:w="2060" w:type="dxa"/>
            <w:vAlign w:val="bottom"/>
            <w:gridSpan w:val="3"/>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Plan Awards (#)</w:t>
            </w:r>
          </w:p>
        </w:tc>
        <w:tc>
          <w:tcPr>
            <w:tcW w:w="960" w:type="dxa"/>
            <w:vAlign w:val="bottom"/>
            <w:vMerge w:val="continue"/>
            <w:shd w:val="clear" w:color="auto" w:fill="0063A6"/>
          </w:tcPr>
          <w:p>
            <w:pPr>
              <w:spacing w:after="0"/>
              <w:rPr>
                <w:sz w:val="5"/>
                <w:szCs w:val="5"/>
                <w:color w:val="auto"/>
              </w:rPr>
            </w:pPr>
          </w:p>
        </w:tc>
        <w:tc>
          <w:tcPr>
            <w:tcW w:w="114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063A6"/>
          </w:tcPr>
          <w:p>
            <w:pPr>
              <w:spacing w:after="0"/>
              <w:rPr>
                <w:sz w:val="11"/>
                <w:szCs w:val="11"/>
                <w:color w:val="auto"/>
              </w:rPr>
            </w:pPr>
          </w:p>
        </w:tc>
        <w:tc>
          <w:tcPr>
            <w:tcW w:w="1000" w:type="dxa"/>
            <w:vAlign w:val="bottom"/>
            <w:shd w:val="clear" w:color="auto" w:fill="0063A6"/>
          </w:tcPr>
          <w:p>
            <w:pPr>
              <w:spacing w:after="0"/>
              <w:rPr>
                <w:sz w:val="11"/>
                <w:szCs w:val="11"/>
                <w:color w:val="auto"/>
              </w:rPr>
            </w:pPr>
          </w:p>
        </w:tc>
        <w:tc>
          <w:tcPr>
            <w:tcW w:w="940" w:type="dxa"/>
            <w:vAlign w:val="bottom"/>
            <w:shd w:val="clear" w:color="auto" w:fill="0063A6"/>
          </w:tcPr>
          <w:p>
            <w:pPr>
              <w:spacing w:after="0"/>
              <w:rPr>
                <w:sz w:val="11"/>
                <w:szCs w:val="11"/>
                <w:color w:val="auto"/>
              </w:rPr>
            </w:pPr>
          </w:p>
        </w:tc>
        <w:tc>
          <w:tcPr>
            <w:tcW w:w="2060" w:type="dxa"/>
            <w:vAlign w:val="bottom"/>
            <w:gridSpan w:val="3"/>
            <w:vMerge w:val="continue"/>
            <w:shd w:val="clear" w:color="auto" w:fill="0063A6"/>
          </w:tcPr>
          <w:p>
            <w:pPr>
              <w:spacing w:after="0"/>
              <w:rPr>
                <w:sz w:val="11"/>
                <w:szCs w:val="11"/>
                <w:color w:val="auto"/>
              </w:rPr>
            </w:pPr>
          </w:p>
        </w:tc>
        <w:tc>
          <w:tcPr>
            <w:tcW w:w="2060" w:type="dxa"/>
            <w:vAlign w:val="bottom"/>
            <w:gridSpan w:val="3"/>
            <w:vMerge w:val="continue"/>
            <w:shd w:val="clear" w:color="auto" w:fill="0063A6"/>
          </w:tcPr>
          <w:p>
            <w:pPr>
              <w:spacing w:after="0"/>
              <w:rPr>
                <w:sz w:val="11"/>
                <w:szCs w:val="11"/>
                <w:color w:val="auto"/>
              </w:rPr>
            </w:pPr>
          </w:p>
        </w:tc>
        <w:tc>
          <w:tcPr>
            <w:tcW w:w="960" w:type="dxa"/>
            <w:vAlign w:val="bottom"/>
            <w:shd w:val="clear" w:color="auto" w:fill="0063A6"/>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1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0" w:type="dxa"/>
            <w:vAlign w:val="bottom"/>
            <w:shd w:val="clear" w:color="auto" w:fill="0063A6"/>
          </w:tcPr>
          <w:p>
            <w:pPr>
              <w:spacing w:after="0"/>
              <w:rPr>
                <w:sz w:val="11"/>
                <w:szCs w:val="11"/>
                <w:color w:val="auto"/>
              </w:rPr>
            </w:pPr>
          </w:p>
        </w:tc>
        <w:tc>
          <w:tcPr>
            <w:tcW w:w="1000" w:type="dxa"/>
            <w:vAlign w:val="bottom"/>
            <w:shd w:val="clear" w:color="auto" w:fill="0063A6"/>
          </w:tcPr>
          <w:p>
            <w:pPr>
              <w:spacing w:after="0"/>
              <w:rPr>
                <w:sz w:val="11"/>
                <w:szCs w:val="11"/>
                <w:color w:val="auto"/>
              </w:rPr>
            </w:pPr>
          </w:p>
        </w:tc>
        <w:tc>
          <w:tcPr>
            <w:tcW w:w="940" w:type="dxa"/>
            <w:vAlign w:val="bottom"/>
            <w:shd w:val="clear" w:color="auto" w:fill="0063A6"/>
          </w:tcPr>
          <w:p>
            <w:pPr>
              <w:spacing w:after="0"/>
              <w:rPr>
                <w:sz w:val="11"/>
                <w:szCs w:val="11"/>
                <w:color w:val="auto"/>
              </w:rPr>
            </w:pPr>
          </w:p>
        </w:tc>
        <w:tc>
          <w:tcPr>
            <w:tcW w:w="700" w:type="dxa"/>
            <w:vAlign w:val="bottom"/>
            <w:shd w:val="clear" w:color="auto" w:fill="0063A6"/>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740" w:type="dxa"/>
            <w:vAlign w:val="bottom"/>
            <w:shd w:val="clear" w:color="auto" w:fill="0063A6"/>
          </w:tcPr>
          <w:p>
            <w:pPr>
              <w:spacing w:after="0"/>
              <w:rPr>
                <w:sz w:val="11"/>
                <w:szCs w:val="11"/>
                <w:color w:val="auto"/>
              </w:rPr>
            </w:pPr>
          </w:p>
        </w:tc>
        <w:tc>
          <w:tcPr>
            <w:tcW w:w="700" w:type="dxa"/>
            <w:vAlign w:val="bottom"/>
            <w:shd w:val="clear" w:color="auto" w:fill="0063A6"/>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740" w:type="dxa"/>
            <w:vAlign w:val="bottom"/>
            <w:shd w:val="clear" w:color="auto" w:fill="0063A6"/>
          </w:tcPr>
          <w:p>
            <w:pPr>
              <w:spacing w:after="0"/>
              <w:rPr>
                <w:sz w:val="11"/>
                <w:szCs w:val="11"/>
                <w:color w:val="auto"/>
              </w:rPr>
            </w:pPr>
          </w:p>
        </w:tc>
        <w:tc>
          <w:tcPr>
            <w:tcW w:w="960" w:type="dxa"/>
            <w:vAlign w:val="bottom"/>
            <w:shd w:val="clear" w:color="auto" w:fill="0063A6"/>
          </w:tcPr>
          <w:p>
            <w:pPr>
              <w:jc w:val="center"/>
              <w:spacing w:after="0" w:line="131" w:lineRule="exact"/>
              <w:rPr>
                <w:sz w:val="20"/>
                <w:szCs w:val="20"/>
                <w:color w:val="auto"/>
              </w:rPr>
            </w:pPr>
            <w:r>
              <w:rPr>
                <w:rFonts w:ascii="Arial" w:cs="Arial" w:eastAsia="Arial" w:hAnsi="Arial"/>
                <w:sz w:val="13"/>
                <w:szCs w:val="13"/>
                <w:b w:val="1"/>
                <w:bCs w:val="1"/>
                <w:color w:val="FFFFFF"/>
                <w:w w:val="95"/>
              </w:rPr>
              <w:t>Number of</w:t>
            </w:r>
          </w:p>
        </w:tc>
        <w:tc>
          <w:tcPr>
            <w:tcW w:w="1140" w:type="dxa"/>
            <w:vAlign w:val="bottom"/>
            <w:shd w:val="clear" w:color="auto" w:fill="0063A6"/>
          </w:tcPr>
          <w:p>
            <w:pPr>
              <w:jc w:val="center"/>
              <w:ind w:right="29"/>
              <w:spacing w:after="0" w:line="131" w:lineRule="exact"/>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255"/>
        </w:trPr>
        <w:tc>
          <w:tcPr>
            <w:tcW w:w="1400" w:type="dxa"/>
            <w:vAlign w:val="bottom"/>
            <w:shd w:val="clear" w:color="auto" w:fill="0063A6"/>
          </w:tcPr>
          <w:p>
            <w:pPr>
              <w:ind w:left="80"/>
              <w:spacing w:after="0"/>
              <w:rPr>
                <w:sz w:val="20"/>
                <w:szCs w:val="20"/>
                <w:color w:val="auto"/>
              </w:rPr>
            </w:pPr>
            <w:r>
              <w:rPr>
                <w:rFonts w:ascii="Arial" w:cs="Arial" w:eastAsia="Arial" w:hAnsi="Arial"/>
                <w:sz w:val="13"/>
                <w:szCs w:val="13"/>
                <w:b w:val="1"/>
                <w:bCs w:val="1"/>
                <w:color w:val="FFFFFF"/>
              </w:rPr>
              <w:t>Name</w:t>
            </w:r>
          </w:p>
        </w:tc>
        <w:tc>
          <w:tcPr>
            <w:tcW w:w="1000" w:type="dxa"/>
            <w:vAlign w:val="bottom"/>
            <w:shd w:val="clear" w:color="auto" w:fill="0063A6"/>
          </w:tcPr>
          <w:p>
            <w:pPr>
              <w:ind w:left="180"/>
              <w:spacing w:after="0"/>
              <w:rPr>
                <w:sz w:val="20"/>
                <w:szCs w:val="20"/>
                <w:color w:val="auto"/>
              </w:rPr>
            </w:pPr>
            <w:r>
              <w:rPr>
                <w:rFonts w:ascii="Arial" w:cs="Arial" w:eastAsia="Arial" w:hAnsi="Arial"/>
                <w:sz w:val="13"/>
                <w:szCs w:val="13"/>
                <w:b w:val="1"/>
                <w:bCs w:val="1"/>
                <w:color w:val="FFFFFF"/>
              </w:rPr>
              <w:t>Grant Date</w:t>
            </w:r>
          </w:p>
        </w:tc>
        <w:tc>
          <w:tcPr>
            <w:tcW w:w="940" w:type="dxa"/>
            <w:vAlign w:val="bottom"/>
            <w:shd w:val="clear" w:color="auto" w:fill="0063A6"/>
          </w:tcPr>
          <w:p>
            <w:pPr>
              <w:jc w:val="right"/>
              <w:spacing w:after="0"/>
              <w:rPr>
                <w:sz w:val="20"/>
                <w:szCs w:val="20"/>
                <w:color w:val="auto"/>
              </w:rPr>
            </w:pPr>
            <w:r>
              <w:rPr>
                <w:rFonts w:ascii="Arial" w:cs="Arial" w:eastAsia="Arial" w:hAnsi="Arial"/>
                <w:sz w:val="13"/>
                <w:szCs w:val="13"/>
                <w:b w:val="1"/>
                <w:bCs w:val="1"/>
                <w:color w:val="FFFFFF"/>
                <w:w w:val="99"/>
              </w:rPr>
              <w:t>Approval Date</w:t>
            </w:r>
          </w:p>
        </w:tc>
        <w:tc>
          <w:tcPr>
            <w:tcW w:w="700" w:type="dxa"/>
            <w:vAlign w:val="bottom"/>
            <w:shd w:val="clear" w:color="auto" w:fill="0063A6"/>
          </w:tcPr>
          <w:p>
            <w:pPr>
              <w:ind w:left="60"/>
              <w:spacing w:after="0"/>
              <w:rPr>
                <w:sz w:val="20"/>
                <w:szCs w:val="20"/>
                <w:color w:val="auto"/>
              </w:rPr>
            </w:pPr>
            <w:r>
              <w:rPr>
                <w:rFonts w:ascii="Arial" w:cs="Arial" w:eastAsia="Arial" w:hAnsi="Arial"/>
                <w:sz w:val="13"/>
                <w:szCs w:val="13"/>
                <w:b w:val="1"/>
                <w:bCs w:val="1"/>
                <w:color w:val="FFFFFF"/>
                <w:w w:val="98"/>
              </w:rPr>
              <w:t>Threshold</w:t>
            </w:r>
          </w:p>
        </w:tc>
        <w:tc>
          <w:tcPr>
            <w:tcW w:w="6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740" w:type="dxa"/>
            <w:vAlign w:val="bottom"/>
            <w:shd w:val="clear" w:color="auto" w:fill="0063A6"/>
          </w:tcPr>
          <w:p>
            <w:pPr>
              <w:jc w:val="right"/>
              <w:ind w:right="9"/>
              <w:spacing w:after="0"/>
              <w:rPr>
                <w:sz w:val="20"/>
                <w:szCs w:val="20"/>
                <w:color w:val="auto"/>
              </w:rPr>
            </w:pPr>
            <w:r>
              <w:rPr>
                <w:rFonts w:ascii="Arial" w:cs="Arial" w:eastAsia="Arial" w:hAnsi="Arial"/>
                <w:sz w:val="13"/>
                <w:szCs w:val="13"/>
                <w:b w:val="1"/>
                <w:bCs w:val="1"/>
                <w:color w:val="FFFFFF"/>
              </w:rPr>
              <w:t>Maximum</w:t>
            </w:r>
          </w:p>
        </w:tc>
        <w:tc>
          <w:tcPr>
            <w:tcW w:w="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6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7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9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Shares (#)</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Fair Value ($)</w:t>
            </w:r>
            <w:r>
              <w:rPr>
                <w:rFonts w:ascii="Arial" w:cs="Arial" w:eastAsia="Arial" w:hAnsi="Arial"/>
                <w:sz w:val="20"/>
                <w:szCs w:val="20"/>
                <w:b w:val="1"/>
                <w:bCs w:val="1"/>
                <w:color w:val="FFFFFF"/>
                <w:w w:val="93"/>
                <w:vertAlign w:val="superscript"/>
              </w:rPr>
              <w:t>(2)</w:t>
            </w:r>
          </w:p>
        </w:tc>
        <w:tc>
          <w:tcPr>
            <w:tcW w:w="0" w:type="dxa"/>
            <w:vAlign w:val="bottom"/>
          </w:tcPr>
          <w:p>
            <w:pPr>
              <w:spacing w:after="0"/>
              <w:rPr>
                <w:sz w:val="1"/>
                <w:szCs w:val="1"/>
                <w:color w:val="auto"/>
              </w:rPr>
            </w:pPr>
          </w:p>
        </w:tc>
      </w:tr>
      <w:tr>
        <w:trPr>
          <w:trHeight w:val="271"/>
        </w:trPr>
        <w:tc>
          <w:tcPr>
            <w:tcW w:w="140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W. Houston</w:t>
            </w:r>
          </w:p>
        </w:tc>
        <w:tc>
          <w:tcPr>
            <w:tcW w:w="10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3/17/2020</w:t>
            </w:r>
          </w:p>
        </w:tc>
        <w:tc>
          <w:tcPr>
            <w:tcW w:w="9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293,648</w:t>
            </w:r>
          </w:p>
        </w:tc>
        <w:tc>
          <w:tcPr>
            <w:tcW w:w="136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587,295 1,321,414</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66"/>
        </w:trPr>
        <w:tc>
          <w:tcPr>
            <w:tcW w:w="1400" w:type="dxa"/>
            <w:vAlign w:val="bottom"/>
            <w:shd w:val="clear" w:color="auto" w:fill="F2F2F2"/>
          </w:tcPr>
          <w:p>
            <w:pPr>
              <w:spacing w:after="0"/>
              <w:rPr>
                <w:sz w:val="5"/>
                <w:szCs w:val="5"/>
                <w:color w:val="auto"/>
              </w:rPr>
            </w:pPr>
          </w:p>
        </w:tc>
        <w:tc>
          <w:tcPr>
            <w:tcW w:w="100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6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6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6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80"/>
              <w:spacing w:after="0"/>
              <w:rPr>
                <w:sz w:val="20"/>
                <w:szCs w:val="20"/>
                <w:color w:val="auto"/>
              </w:rPr>
            </w:pPr>
            <w:r>
              <w:rPr>
                <w:rFonts w:ascii="Arial" w:cs="Arial" w:eastAsia="Arial" w:hAnsi="Arial"/>
                <w:sz w:val="14"/>
                <w:szCs w:val="14"/>
                <w:color w:val="auto"/>
              </w:rPr>
              <w:t>Timothy Regan</w:t>
            </w:r>
          </w:p>
        </w:tc>
        <w:tc>
          <w:tcPr>
            <w:tcW w:w="1000" w:type="dxa"/>
            <w:vAlign w:val="bottom"/>
          </w:tcPr>
          <w:p>
            <w:pPr>
              <w:ind w:left="160"/>
              <w:spacing w:after="0"/>
              <w:rPr>
                <w:sz w:val="20"/>
                <w:szCs w:val="20"/>
                <w:color w:val="auto"/>
              </w:rPr>
            </w:pPr>
            <w:r>
              <w:rPr>
                <w:rFonts w:ascii="Arial" w:cs="Arial" w:eastAsia="Arial" w:hAnsi="Arial"/>
                <w:sz w:val="14"/>
                <w:szCs w:val="14"/>
                <w:color w:val="auto"/>
              </w:rPr>
              <w:t>3/17/2020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tcPr>
          <w:p>
            <w:pPr>
              <w:jc w:val="center"/>
              <w:spacing w:after="0"/>
              <w:rPr>
                <w:sz w:val="20"/>
                <w:szCs w:val="20"/>
                <w:color w:val="auto"/>
              </w:rPr>
            </w:pPr>
            <w:r>
              <w:rPr>
                <w:rFonts w:ascii="Arial" w:cs="Arial" w:eastAsia="Arial" w:hAnsi="Arial"/>
                <w:sz w:val="14"/>
                <w:szCs w:val="14"/>
                <w:color w:val="auto"/>
              </w:rPr>
              <w:t>108,289</w:t>
            </w:r>
          </w:p>
        </w:tc>
        <w:tc>
          <w:tcPr>
            <w:tcW w:w="620" w:type="dxa"/>
            <w:vAlign w:val="bottom"/>
          </w:tcPr>
          <w:p>
            <w:pPr>
              <w:jc w:val="center"/>
              <w:spacing w:after="0"/>
              <w:rPr>
                <w:sz w:val="20"/>
                <w:szCs w:val="20"/>
                <w:color w:val="auto"/>
              </w:rPr>
            </w:pPr>
            <w:r>
              <w:rPr>
                <w:rFonts w:ascii="Arial" w:cs="Arial" w:eastAsia="Arial" w:hAnsi="Arial"/>
                <w:sz w:val="14"/>
                <w:szCs w:val="14"/>
                <w:color w:val="auto"/>
              </w:rPr>
              <w:t>216,557</w:t>
            </w:r>
          </w:p>
        </w:tc>
        <w:tc>
          <w:tcPr>
            <w:tcW w:w="740" w:type="dxa"/>
            <w:vAlign w:val="bottom"/>
          </w:tcPr>
          <w:p>
            <w:pPr>
              <w:jc w:val="right"/>
              <w:spacing w:after="0"/>
              <w:rPr>
                <w:sz w:val="20"/>
                <w:szCs w:val="20"/>
                <w:color w:val="auto"/>
              </w:rPr>
            </w:pPr>
            <w:r>
              <w:rPr>
                <w:rFonts w:ascii="Arial" w:cs="Arial" w:eastAsia="Arial" w:hAnsi="Arial"/>
                <w:sz w:val="14"/>
                <w:szCs w:val="14"/>
                <w:color w:val="auto"/>
              </w:rPr>
              <w:t>487,298</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4/1/2020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ind w:left="280"/>
              <w:spacing w:after="0"/>
              <w:rPr>
                <w:sz w:val="20"/>
                <w:szCs w:val="20"/>
                <w:color w:val="auto"/>
              </w:rPr>
            </w:pPr>
            <w:r>
              <w:rPr>
                <w:rFonts w:ascii="Arial" w:cs="Arial" w:eastAsia="Arial" w:hAnsi="Arial"/>
                <w:sz w:val="14"/>
                <w:szCs w:val="14"/>
                <w:color w:val="auto"/>
              </w:rPr>
              <w:t>55,770</w:t>
            </w: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1,009,437</w:t>
            </w: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10/1/2020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8/4/2020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ind w:left="220"/>
              <w:spacing w:after="0"/>
              <w:rPr>
                <w:sz w:val="20"/>
                <w:szCs w:val="20"/>
                <w:color w:val="auto"/>
              </w:rPr>
            </w:pPr>
            <w:r>
              <w:rPr>
                <w:rFonts w:ascii="Arial" w:cs="Arial" w:eastAsia="Arial" w:hAnsi="Arial"/>
                <w:sz w:val="14"/>
                <w:szCs w:val="14"/>
                <w:color w:val="auto"/>
              </w:rPr>
              <w:t>201,772</w:t>
            </w: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3,886,129</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400" w:type="dxa"/>
            <w:vAlign w:val="bottom"/>
            <w:shd w:val="clear" w:color="auto" w:fill="F2F2F2"/>
          </w:tcPr>
          <w:p>
            <w:pPr>
              <w:ind w:left="80"/>
              <w:spacing w:after="0"/>
              <w:rPr>
                <w:sz w:val="20"/>
                <w:szCs w:val="20"/>
                <w:color w:val="auto"/>
              </w:rPr>
            </w:pPr>
            <w:r>
              <w:rPr>
                <w:rFonts w:ascii="Arial" w:cs="Arial" w:eastAsia="Arial" w:hAnsi="Arial"/>
                <w:sz w:val="14"/>
                <w:szCs w:val="14"/>
                <w:color w:val="auto"/>
              </w:rPr>
              <w:t>Timothy Young</w:t>
            </w:r>
          </w:p>
        </w:tc>
        <w:tc>
          <w:tcPr>
            <w:tcW w:w="10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3/17/2020</w:t>
            </w:r>
          </w:p>
        </w:tc>
        <w:tc>
          <w:tcPr>
            <w:tcW w:w="9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258,197</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516,393</w:t>
            </w: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1,161,884</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31"/>
        </w:trPr>
        <w:tc>
          <w:tcPr>
            <w:tcW w:w="1400" w:type="dxa"/>
            <w:vAlign w:val="bottom"/>
            <w:shd w:val="clear" w:color="auto" w:fill="F2F2F2"/>
          </w:tcPr>
          <w:p>
            <w:pPr>
              <w:spacing w:after="0"/>
              <w:rPr>
                <w:sz w:val="24"/>
                <w:szCs w:val="24"/>
                <w:color w:val="auto"/>
              </w:rPr>
            </w:pPr>
          </w:p>
        </w:tc>
        <w:tc>
          <w:tcPr>
            <w:tcW w:w="10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12/1/2020</w:t>
            </w:r>
            <w:r>
              <w:rPr>
                <w:rFonts w:ascii="Arial" w:cs="Arial" w:eastAsia="Arial" w:hAnsi="Arial"/>
                <w:sz w:val="23"/>
                <w:szCs w:val="23"/>
                <w:color w:val="auto"/>
                <w:vertAlign w:val="superscript"/>
              </w:rPr>
              <w:t>(3)</w:t>
            </w:r>
          </w:p>
        </w:tc>
        <w:tc>
          <w:tcPr>
            <w:tcW w:w="9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10/29/2020</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132,393</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529,568</w:t>
            </w: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1,588,704</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ind w:left="140"/>
              <w:spacing w:after="0"/>
              <w:rPr>
                <w:sz w:val="20"/>
                <w:szCs w:val="20"/>
                <w:color w:val="auto"/>
              </w:rPr>
            </w:pPr>
            <w:r>
              <w:rPr>
                <w:rFonts w:ascii="Arial" w:cs="Arial" w:eastAsia="Arial" w:hAnsi="Arial"/>
                <w:sz w:val="14"/>
                <w:szCs w:val="14"/>
                <w:color w:val="auto"/>
              </w:rPr>
              <w:t>19,143,883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71"/>
        </w:trPr>
        <w:tc>
          <w:tcPr>
            <w:tcW w:w="1400" w:type="dxa"/>
            <w:vAlign w:val="bottom"/>
          </w:tcPr>
          <w:p>
            <w:pPr>
              <w:ind w:left="80"/>
              <w:spacing w:after="0"/>
              <w:rPr>
                <w:sz w:val="20"/>
                <w:szCs w:val="20"/>
                <w:color w:val="auto"/>
              </w:rPr>
            </w:pPr>
            <w:r>
              <w:rPr>
                <w:rFonts w:ascii="Arial" w:cs="Arial" w:eastAsia="Arial" w:hAnsi="Arial"/>
                <w:sz w:val="14"/>
                <w:szCs w:val="14"/>
                <w:color w:val="auto"/>
              </w:rPr>
              <w:t>Bart E. Volkmer</w:t>
            </w:r>
          </w:p>
        </w:tc>
        <w:tc>
          <w:tcPr>
            <w:tcW w:w="1000" w:type="dxa"/>
            <w:vAlign w:val="bottom"/>
          </w:tcPr>
          <w:p>
            <w:pPr>
              <w:ind w:left="160"/>
              <w:spacing w:after="0"/>
              <w:rPr>
                <w:sz w:val="20"/>
                <w:szCs w:val="20"/>
                <w:color w:val="auto"/>
              </w:rPr>
            </w:pPr>
            <w:r>
              <w:rPr>
                <w:rFonts w:ascii="Arial" w:cs="Arial" w:eastAsia="Arial" w:hAnsi="Arial"/>
                <w:sz w:val="14"/>
                <w:szCs w:val="14"/>
                <w:color w:val="auto"/>
              </w:rPr>
              <w:t>3/17/2020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tcPr>
          <w:p>
            <w:pPr>
              <w:jc w:val="center"/>
              <w:spacing w:after="0"/>
              <w:rPr>
                <w:sz w:val="20"/>
                <w:szCs w:val="20"/>
                <w:color w:val="auto"/>
              </w:rPr>
            </w:pPr>
            <w:r>
              <w:rPr>
                <w:rFonts w:ascii="Arial" w:cs="Arial" w:eastAsia="Arial" w:hAnsi="Arial"/>
                <w:sz w:val="14"/>
                <w:szCs w:val="14"/>
                <w:color w:val="auto"/>
              </w:rPr>
              <w:t>154,375</w:t>
            </w:r>
          </w:p>
        </w:tc>
        <w:tc>
          <w:tcPr>
            <w:tcW w:w="620" w:type="dxa"/>
            <w:vAlign w:val="bottom"/>
          </w:tcPr>
          <w:p>
            <w:pPr>
              <w:jc w:val="center"/>
              <w:spacing w:after="0"/>
              <w:rPr>
                <w:sz w:val="20"/>
                <w:szCs w:val="20"/>
                <w:color w:val="auto"/>
              </w:rPr>
            </w:pPr>
            <w:r>
              <w:rPr>
                <w:rFonts w:ascii="Arial" w:cs="Arial" w:eastAsia="Arial" w:hAnsi="Arial"/>
                <w:sz w:val="14"/>
                <w:szCs w:val="14"/>
                <w:color w:val="auto"/>
              </w:rPr>
              <w:t>308,750</w:t>
            </w:r>
          </w:p>
        </w:tc>
        <w:tc>
          <w:tcPr>
            <w:tcW w:w="740" w:type="dxa"/>
            <w:vAlign w:val="bottom"/>
          </w:tcPr>
          <w:p>
            <w:pPr>
              <w:jc w:val="right"/>
              <w:spacing w:after="0"/>
              <w:rPr>
                <w:sz w:val="20"/>
                <w:szCs w:val="20"/>
                <w:color w:val="auto"/>
              </w:rPr>
            </w:pPr>
            <w:r>
              <w:rPr>
                <w:rFonts w:ascii="Arial" w:cs="Arial" w:eastAsia="Arial" w:hAnsi="Arial"/>
                <w:sz w:val="14"/>
                <w:szCs w:val="14"/>
                <w:color w:val="auto"/>
              </w:rPr>
              <w:t>694,688</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4/1/2020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ind w:left="220"/>
              <w:spacing w:after="0"/>
              <w:rPr>
                <w:sz w:val="20"/>
                <w:szCs w:val="20"/>
                <w:color w:val="auto"/>
              </w:rPr>
            </w:pPr>
            <w:r>
              <w:rPr>
                <w:rFonts w:ascii="Arial" w:cs="Arial" w:eastAsia="Arial" w:hAnsi="Arial"/>
                <w:sz w:val="14"/>
                <w:szCs w:val="14"/>
                <w:color w:val="auto"/>
              </w:rPr>
              <w:t>133,848</w:t>
            </w: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2,422,649</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400" w:type="dxa"/>
            <w:vAlign w:val="bottom"/>
            <w:shd w:val="clear" w:color="auto" w:fill="F2F2F2"/>
          </w:tcPr>
          <w:p>
            <w:pPr>
              <w:ind w:left="80"/>
              <w:spacing w:after="0"/>
              <w:rPr>
                <w:sz w:val="20"/>
                <w:szCs w:val="20"/>
                <w:color w:val="auto"/>
              </w:rPr>
            </w:pPr>
            <w:r>
              <w:rPr>
                <w:rFonts w:ascii="Arial" w:cs="Arial" w:eastAsia="Arial" w:hAnsi="Arial"/>
                <w:sz w:val="14"/>
                <w:szCs w:val="14"/>
                <w:color w:val="auto"/>
              </w:rPr>
              <w:t>Ajay V. Vashee</w:t>
            </w:r>
          </w:p>
        </w:tc>
        <w:tc>
          <w:tcPr>
            <w:tcW w:w="10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3/17/2020</w:t>
            </w:r>
            <w:r>
              <w:rPr>
                <w:rFonts w:ascii="Arial" w:cs="Arial" w:eastAsia="Arial" w:hAnsi="Arial"/>
                <w:sz w:val="23"/>
                <w:szCs w:val="23"/>
                <w:color w:val="auto"/>
                <w:vertAlign w:val="superscript"/>
              </w:rPr>
              <w:t>(5)</w:t>
            </w:r>
          </w:p>
        </w:tc>
        <w:tc>
          <w:tcPr>
            <w:tcW w:w="9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178,750</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357,500</w:t>
            </w: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804,375</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51"/>
        </w:trPr>
        <w:tc>
          <w:tcPr>
            <w:tcW w:w="1400" w:type="dxa"/>
            <w:vAlign w:val="bottom"/>
            <w:shd w:val="clear" w:color="auto" w:fill="F2F2F2"/>
          </w:tcPr>
          <w:p>
            <w:pPr>
              <w:spacing w:after="0"/>
              <w:rPr>
                <w:sz w:val="24"/>
                <w:szCs w:val="24"/>
                <w:color w:val="auto"/>
              </w:rPr>
            </w:pPr>
          </w:p>
        </w:tc>
        <w:tc>
          <w:tcPr>
            <w:tcW w:w="1000" w:type="dxa"/>
            <w:vAlign w:val="bottom"/>
            <w:shd w:val="clear" w:color="auto" w:fill="F2F2F2"/>
          </w:tcPr>
          <w:p>
            <w:pPr>
              <w:ind w:left="240"/>
              <w:spacing w:after="0"/>
              <w:rPr>
                <w:sz w:val="20"/>
                <w:szCs w:val="20"/>
                <w:color w:val="auto"/>
              </w:rPr>
            </w:pPr>
            <w:r>
              <w:rPr>
                <w:rFonts w:ascii="Arial" w:cs="Arial" w:eastAsia="Arial" w:hAnsi="Arial"/>
                <w:sz w:val="14"/>
                <w:szCs w:val="14"/>
                <w:color w:val="auto"/>
              </w:rPr>
              <w:t>4/1/2020</w:t>
            </w:r>
          </w:p>
        </w:tc>
        <w:tc>
          <w:tcPr>
            <w:tcW w:w="9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228,658</w:t>
            </w:r>
            <w:r>
              <w:rPr>
                <w:rFonts w:ascii="Arial" w:cs="Arial" w:eastAsia="Arial" w:hAnsi="Arial"/>
                <w:sz w:val="23"/>
                <w:szCs w:val="23"/>
                <w:color w:val="auto"/>
                <w:vertAlign w:val="superscript"/>
              </w:rPr>
              <w:t>(6)</w:t>
            </w:r>
          </w:p>
        </w:tc>
        <w:tc>
          <w:tcPr>
            <w:tcW w:w="114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auto"/>
              </w:rPr>
              <w:t>4,138,710</w:t>
            </w:r>
          </w:p>
        </w:tc>
        <w:tc>
          <w:tcPr>
            <w:tcW w:w="0" w:type="dxa"/>
            <w:vAlign w:val="bottom"/>
          </w:tcPr>
          <w:p>
            <w:pPr>
              <w:spacing w:after="0"/>
              <w:rPr>
                <w:sz w:val="1"/>
                <w:szCs w:val="1"/>
                <w:color w:val="auto"/>
              </w:rPr>
            </w:pPr>
          </w:p>
        </w:tc>
      </w:tr>
      <w:tr>
        <w:trPr>
          <w:trHeight w:val="388"/>
        </w:trPr>
        <w:tc>
          <w:tcPr>
            <w:tcW w:w="1400" w:type="dxa"/>
            <w:vAlign w:val="bottom"/>
          </w:tcPr>
          <w:p>
            <w:pPr>
              <w:ind w:left="80"/>
              <w:spacing w:after="0"/>
              <w:rPr>
                <w:sz w:val="20"/>
                <w:szCs w:val="20"/>
                <w:color w:val="auto"/>
              </w:rPr>
            </w:pPr>
            <w:r>
              <w:rPr>
                <w:rFonts w:ascii="Arial" w:cs="Arial" w:eastAsia="Arial" w:hAnsi="Arial"/>
                <w:sz w:val="14"/>
                <w:szCs w:val="14"/>
                <w:color w:val="auto"/>
              </w:rPr>
              <w:t>Olivia Nottebohm</w:t>
            </w:r>
          </w:p>
        </w:tc>
        <w:tc>
          <w:tcPr>
            <w:tcW w:w="1000" w:type="dxa"/>
            <w:vAlign w:val="bottom"/>
          </w:tcPr>
          <w:p>
            <w:pPr>
              <w:ind w:left="240"/>
              <w:spacing w:after="0"/>
              <w:rPr>
                <w:sz w:val="20"/>
                <w:szCs w:val="20"/>
                <w:color w:val="auto"/>
              </w:rPr>
            </w:pPr>
            <w:r>
              <w:rPr>
                <w:rFonts w:ascii="Arial" w:cs="Arial" w:eastAsia="Arial" w:hAnsi="Arial"/>
                <w:sz w:val="14"/>
                <w:szCs w:val="14"/>
                <w:color w:val="auto"/>
              </w:rPr>
              <w:t>3/1/2020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1/27/2020</w:t>
            </w:r>
          </w:p>
        </w:tc>
        <w:tc>
          <w:tcPr>
            <w:tcW w:w="700" w:type="dxa"/>
            <w:vAlign w:val="bottom"/>
          </w:tcPr>
          <w:p>
            <w:pPr>
              <w:jc w:val="center"/>
              <w:spacing w:after="0"/>
              <w:rPr>
                <w:sz w:val="20"/>
                <w:szCs w:val="20"/>
                <w:color w:val="auto"/>
              </w:rPr>
            </w:pPr>
            <w:r>
              <w:rPr>
                <w:rFonts w:ascii="Arial" w:cs="Arial" w:eastAsia="Arial" w:hAnsi="Arial"/>
                <w:sz w:val="14"/>
                <w:szCs w:val="14"/>
                <w:color w:val="auto"/>
              </w:rPr>
              <w:t>225,410</w:t>
            </w:r>
          </w:p>
        </w:tc>
        <w:tc>
          <w:tcPr>
            <w:tcW w:w="620" w:type="dxa"/>
            <w:vAlign w:val="bottom"/>
          </w:tcPr>
          <w:p>
            <w:pPr>
              <w:jc w:val="center"/>
              <w:spacing w:after="0"/>
              <w:rPr>
                <w:sz w:val="20"/>
                <w:szCs w:val="20"/>
                <w:color w:val="auto"/>
              </w:rPr>
            </w:pPr>
            <w:r>
              <w:rPr>
                <w:rFonts w:ascii="Arial" w:cs="Arial" w:eastAsia="Arial" w:hAnsi="Arial"/>
                <w:sz w:val="14"/>
                <w:szCs w:val="14"/>
                <w:color w:val="auto"/>
              </w:rPr>
              <w:t>450,819</w:t>
            </w:r>
          </w:p>
        </w:tc>
        <w:tc>
          <w:tcPr>
            <w:tcW w:w="740" w:type="dxa"/>
            <w:vAlign w:val="bottom"/>
          </w:tcPr>
          <w:p>
            <w:pPr>
              <w:jc w:val="right"/>
              <w:spacing w:after="0"/>
              <w:rPr>
                <w:sz w:val="20"/>
                <w:szCs w:val="20"/>
                <w:color w:val="auto"/>
              </w:rPr>
            </w:pPr>
            <w:r>
              <w:rPr>
                <w:rFonts w:ascii="Arial" w:cs="Arial" w:eastAsia="Arial" w:hAnsi="Arial"/>
                <w:sz w:val="14"/>
                <w:szCs w:val="14"/>
                <w:color w:val="auto"/>
              </w:rPr>
              <w:t>1,014,343</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ind w:left="220"/>
              <w:spacing w:after="0"/>
              <w:rPr>
                <w:sz w:val="20"/>
                <w:szCs w:val="20"/>
                <w:color w:val="auto"/>
              </w:rPr>
            </w:pPr>
            <w:r>
              <w:rPr>
                <w:rFonts w:ascii="Arial" w:cs="Arial" w:eastAsia="Arial" w:hAnsi="Arial"/>
                <w:sz w:val="14"/>
                <w:szCs w:val="14"/>
                <w:color w:val="auto"/>
              </w:rPr>
              <w:t>844,759</w:t>
            </w:r>
            <w:r>
              <w:rPr>
                <w:rFonts w:ascii="Arial" w:cs="Arial" w:eastAsia="Arial" w:hAnsi="Arial"/>
                <w:sz w:val="23"/>
                <w:szCs w:val="23"/>
                <w:color w:val="auto"/>
                <w:vertAlign w:val="superscript"/>
              </w:rPr>
              <w:t>(7)</w:t>
            </w:r>
          </w:p>
        </w:tc>
        <w:tc>
          <w:tcPr>
            <w:tcW w:w="1140" w:type="dxa"/>
            <w:vAlign w:val="bottom"/>
          </w:tcPr>
          <w:p>
            <w:pPr>
              <w:ind w:left="140"/>
              <w:spacing w:after="0"/>
              <w:rPr>
                <w:sz w:val="20"/>
                <w:szCs w:val="20"/>
                <w:color w:val="auto"/>
              </w:rPr>
            </w:pPr>
            <w:r>
              <w:rPr>
                <w:rFonts w:ascii="Arial" w:cs="Arial" w:eastAsia="Arial" w:hAnsi="Arial"/>
                <w:sz w:val="14"/>
                <w:szCs w:val="14"/>
                <w:color w:val="auto"/>
              </w:rPr>
              <w:t>16,523,486</w:t>
            </w:r>
          </w:p>
        </w:tc>
        <w:tc>
          <w:tcPr>
            <w:tcW w:w="0" w:type="dxa"/>
            <w:vAlign w:val="bottom"/>
          </w:tcPr>
          <w:p>
            <w:pPr>
              <w:spacing w:after="0"/>
              <w:rPr>
                <w:sz w:val="1"/>
                <w:szCs w:val="1"/>
                <w:color w:val="auto"/>
              </w:rPr>
            </w:pPr>
          </w:p>
        </w:tc>
      </w:tr>
      <w:tr>
        <w:trPr>
          <w:trHeight w:val="325"/>
        </w:trPr>
        <w:tc>
          <w:tcPr>
            <w:tcW w:w="140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3/17/2020</w:t>
            </w:r>
            <w:r>
              <w:rPr>
                <w:rFonts w:ascii="Arial" w:cs="Arial" w:eastAsia="Arial" w:hAnsi="Arial"/>
                <w:sz w:val="23"/>
                <w:szCs w:val="23"/>
                <w:color w:val="auto"/>
                <w:vertAlign w:val="superscript"/>
              </w:rPr>
              <w:t>(8)</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3/17/2020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960" w:right="940" w:hanging="244"/>
        <w:spacing w:after="0" w:line="201" w:lineRule="auto"/>
        <w:tabs>
          <w:tab w:leader="none" w:pos="96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Each of these grants was made pursuant to our 2020 Cash Bonus Plan, as described in greater detail under “</w:t>
      </w:r>
      <w:r>
        <w:rPr>
          <w:rFonts w:ascii="Arial" w:cs="Arial" w:eastAsia="Arial" w:hAnsi="Arial"/>
          <w:sz w:val="14"/>
          <w:szCs w:val="14"/>
          <w:i w:val="1"/>
          <w:iCs w:val="1"/>
          <w:color w:val="auto"/>
        </w:rPr>
        <w:t>Compensation Elements—Annual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Bonuses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Amounts reported represent the aggregate grant-date fair value of RSAs or RSUs, as applicable, calculated in accordance with ASC Topic 718.</w:t>
      </w:r>
    </w:p>
    <w:p>
      <w:pPr>
        <w:spacing w:after="0" w:line="3" w:lineRule="exact"/>
        <w:rPr>
          <w:rFonts w:ascii="Arial" w:cs="Arial" w:eastAsia="Arial" w:hAnsi="Arial"/>
          <w:sz w:val="20"/>
          <w:szCs w:val="20"/>
          <w:color w:val="auto"/>
          <w:vertAlign w:val="superscript"/>
        </w:rPr>
      </w:pPr>
    </w:p>
    <w:p>
      <w:pPr>
        <w:ind w:left="960" w:right="760" w:hanging="244"/>
        <w:spacing w:after="0" w:line="216" w:lineRule="auto"/>
        <w:tabs>
          <w:tab w:leader="none" w:pos="96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Amounts in the “Estimated Future Payouts Under Equity Incentive Plan Awards” columns relate to estimated payouts of Mr. Young’s performance-based RSA. The amount shown in the Threshold column reflect the shares that would vest if minimum stock price goals in each measurement period are met and is 25% of the amount shown under the Target column. The amount shown in the Target column reflect the shares that would vest if target stock price goals in each measurement period are met. The amount shown in the Maximum column reflect the shares that would vest if the maximum stock price goals in each measurement period are met and is 300% of the amount shown under the Target column.</w:t>
      </w:r>
    </w:p>
    <w:p>
      <w:pPr>
        <w:spacing w:after="0" w:line="2" w:lineRule="exact"/>
        <w:rPr>
          <w:rFonts w:ascii="Arial" w:cs="Arial" w:eastAsia="Arial" w:hAnsi="Arial"/>
          <w:sz w:val="22"/>
          <w:szCs w:val="22"/>
          <w:color w:val="auto"/>
          <w:vertAlign w:val="superscript"/>
        </w:rPr>
      </w:pPr>
    </w:p>
    <w:p>
      <w:pPr>
        <w:ind w:left="960" w:right="880"/>
        <w:spacing w:after="0" w:line="249" w:lineRule="auto"/>
        <w:rPr>
          <w:rFonts w:ascii="Arial" w:cs="Arial" w:eastAsia="Arial" w:hAnsi="Arial"/>
          <w:sz w:val="22"/>
          <w:szCs w:val="22"/>
          <w:color w:val="auto"/>
          <w:vertAlign w:val="superscript"/>
        </w:rPr>
      </w:pPr>
      <w:r>
        <w:rPr>
          <w:rFonts w:ascii="Arial" w:cs="Arial" w:eastAsia="Arial" w:hAnsi="Arial"/>
          <w:sz w:val="14"/>
          <w:szCs w:val="14"/>
          <w:color w:val="auto"/>
        </w:rPr>
        <w:t>See “</w:t>
      </w:r>
      <w:r>
        <w:rPr>
          <w:rFonts w:ascii="Arial" w:cs="Arial" w:eastAsia="Arial" w:hAnsi="Arial"/>
          <w:sz w:val="14"/>
          <w:szCs w:val="14"/>
          <w:i w:val="1"/>
          <w:iCs w:val="1"/>
          <w:color w:val="auto"/>
        </w:rPr>
        <w:t>Compensation Elements—Long-Term Equity Incentive Compensation</w:t>
      </w:r>
      <w:r>
        <w:rPr>
          <w:rFonts w:ascii="Arial" w:cs="Arial" w:eastAsia="Arial" w:hAnsi="Arial"/>
          <w:sz w:val="14"/>
          <w:szCs w:val="14"/>
          <w:color w:val="auto"/>
        </w:rPr>
        <w:t>” above for additional information regarding Mr. Young’s performance-based RSA.</w:t>
      </w:r>
    </w:p>
    <w:p>
      <w:pPr>
        <w:spacing w:after="0" w:line="16" w:lineRule="exact"/>
        <w:rPr>
          <w:rFonts w:ascii="Arial" w:cs="Arial" w:eastAsia="Arial" w:hAnsi="Arial"/>
          <w:sz w:val="22"/>
          <w:szCs w:val="22"/>
          <w:color w:val="auto"/>
          <w:vertAlign w:val="superscript"/>
        </w:rPr>
      </w:pPr>
    </w:p>
    <w:p>
      <w:pPr>
        <w:jc w:val="both"/>
        <w:ind w:left="960" w:right="920" w:hanging="244"/>
        <w:spacing w:after="0" w:line="214" w:lineRule="auto"/>
        <w:tabs>
          <w:tab w:leader="none" w:pos="96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an approximately three-year performance period based on the achievement of certain stock price goals measured over a consecutive thirty-day trading period during twelve-month measurement periods. We calculated the grant date fair value based on multiple stock price paths developed through the use of a Monte Carlo simulation. See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above.</w:t>
      </w:r>
    </w:p>
    <w:p>
      <w:pPr>
        <w:spacing w:after="0" w:line="2"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Mr. Vashee resigned from the company in October 2020 and therefore was ineligible to receive his 2020 annual cash bonus.</w:t>
      </w:r>
    </w:p>
    <w:p>
      <w:pPr>
        <w:spacing w:after="0" w:line="3" w:lineRule="exact"/>
        <w:rPr>
          <w:rFonts w:ascii="Arial" w:cs="Arial" w:eastAsia="Arial" w:hAnsi="Arial"/>
          <w:sz w:val="20"/>
          <w:szCs w:val="20"/>
          <w:color w:val="auto"/>
          <w:vertAlign w:val="superscript"/>
        </w:rPr>
      </w:pPr>
    </w:p>
    <w:p>
      <w:pPr>
        <w:ind w:left="960" w:hanging="244"/>
        <w:spacing w:after="0" w:line="189" w:lineRule="auto"/>
        <w:tabs>
          <w:tab w:leader="none" w:pos="96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200,076 unvested RSAs, representing a grant date fair value of $3,621,376, were forfeited upon Mr. Vashee’s resignation in October 2020.</w:t>
      </w:r>
    </w:p>
    <w:p>
      <w:pPr>
        <w:spacing w:after="0" w:line="16" w:lineRule="exact"/>
        <w:rPr>
          <w:rFonts w:ascii="Arial" w:cs="Arial" w:eastAsia="Arial" w:hAnsi="Arial"/>
          <w:sz w:val="19"/>
          <w:szCs w:val="19"/>
          <w:color w:val="auto"/>
          <w:vertAlign w:val="superscript"/>
        </w:rPr>
      </w:pPr>
    </w:p>
    <w:p>
      <w:pPr>
        <w:ind w:left="960" w:right="860" w:hanging="244"/>
        <w:spacing w:after="0" w:line="202" w:lineRule="auto"/>
        <w:tabs>
          <w:tab w:leader="none" w:pos="96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633,569 unvested RSAs, representing a grant date fair value of $12,392,610, were forfeited upon Ms. Nottebohm’s resignation in February 2021. In connection with Ms. Nottebohm’s separation agreement, the unvested RSAs that would have vested if she had remained employed through February 15, 2021 were accelerated to vest on February 5, 2021. See “</w:t>
      </w:r>
      <w:r>
        <w:rPr>
          <w:rFonts w:ascii="Arial" w:cs="Arial" w:eastAsia="Arial" w:hAnsi="Arial"/>
          <w:sz w:val="14"/>
          <w:szCs w:val="14"/>
          <w:i w:val="1"/>
          <w:iCs w:val="1"/>
          <w:color w:val="auto"/>
        </w:rPr>
        <w:t>Potential Payments on Termination or Change in Control—</w:t>
      </w:r>
    </w:p>
    <w:p>
      <w:pPr>
        <w:spacing w:after="0" w:line="2" w:lineRule="exact"/>
        <w:rPr>
          <w:rFonts w:ascii="Arial" w:cs="Arial" w:eastAsia="Arial" w:hAnsi="Arial"/>
          <w:sz w:val="22"/>
          <w:szCs w:val="22"/>
          <w:color w:val="auto"/>
          <w:vertAlign w:val="superscript"/>
        </w:rPr>
      </w:pPr>
    </w:p>
    <w:p>
      <w:pPr>
        <w:ind w:left="960"/>
        <w:spacing w:after="0"/>
        <w:rPr>
          <w:rFonts w:ascii="Arial" w:cs="Arial" w:eastAsia="Arial" w:hAnsi="Arial"/>
          <w:sz w:val="22"/>
          <w:szCs w:val="22"/>
          <w:color w:val="auto"/>
          <w:vertAlign w:val="superscript"/>
        </w:rPr>
      </w:pPr>
      <w:r>
        <w:rPr>
          <w:rFonts w:ascii="Arial" w:cs="Arial" w:eastAsia="Arial" w:hAnsi="Arial"/>
          <w:sz w:val="14"/>
          <w:szCs w:val="14"/>
          <w:i w:val="1"/>
          <w:iCs w:val="1"/>
          <w:color w:val="auto"/>
        </w:rPr>
        <w:t>Ms. Nottebohm’s Separation</w:t>
      </w:r>
      <w:r>
        <w:rPr>
          <w:rFonts w:ascii="Arial" w:cs="Arial" w:eastAsia="Arial" w:hAnsi="Arial"/>
          <w:sz w:val="14"/>
          <w:szCs w:val="14"/>
          <w:color w:val="auto"/>
        </w:rPr>
        <w:t>” below.</w:t>
      </w:r>
    </w:p>
    <w:p>
      <w:pPr>
        <w:spacing w:after="0" w:line="11"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Ms. Nottebohm resigned from the company in February 2021 and therefore was ineligible to receive her 2020 annual cash bonus.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49</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3" w:name="page54"/>
    <w:bookmarkEnd w:id="5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Outstanding Equity Awards at 2020 Year-End</w:t>
      </w:r>
    </w:p>
    <w:p>
      <w:pPr>
        <w:spacing w:after="0" w:line="169" w:lineRule="exact"/>
        <w:rPr>
          <w:sz w:val="20"/>
          <w:szCs w:val="20"/>
          <w:color w:val="auto"/>
        </w:rPr>
      </w:pPr>
    </w:p>
    <w:p>
      <w:pPr>
        <w:ind w:left="4" w:right="920"/>
        <w:spacing w:after="0" w:line="260"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382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7585" cy="382333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860" w:type="dxa"/>
            <w:vAlign w:val="bottom"/>
            <w:shd w:val="clear" w:color="auto" w:fill="0063A6"/>
          </w:tcPr>
          <w:p>
            <w:pPr>
              <w:spacing w:after="0"/>
              <w:rPr>
                <w:sz w:val="24"/>
                <w:szCs w:val="24"/>
                <w:color w:val="auto"/>
              </w:rPr>
            </w:pPr>
          </w:p>
        </w:tc>
        <w:tc>
          <w:tcPr>
            <w:tcW w:w="1280" w:type="dxa"/>
            <w:vAlign w:val="bottom"/>
            <w:shd w:val="clear" w:color="auto" w:fill="0063A6"/>
          </w:tcPr>
          <w:p>
            <w:pPr>
              <w:spacing w:after="0"/>
              <w:rPr>
                <w:sz w:val="24"/>
                <w:szCs w:val="24"/>
                <w:color w:val="auto"/>
              </w:rPr>
            </w:pPr>
          </w:p>
        </w:tc>
        <w:tc>
          <w:tcPr>
            <w:tcW w:w="2220" w:type="dxa"/>
            <w:vAlign w:val="bottom"/>
            <w:gridSpan w:val="2"/>
            <w:shd w:val="clear" w:color="auto" w:fill="0063A6"/>
          </w:tcPr>
          <w:p>
            <w:pPr>
              <w:ind w:left="620"/>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shd w:val="clear" w:color="auto" w:fill="0063A6"/>
          </w:tcPr>
          <w:p>
            <w:pPr>
              <w:spacing w:after="0"/>
              <w:rPr>
                <w:sz w:val="24"/>
                <w:szCs w:val="24"/>
                <w:color w:val="auto"/>
              </w:rPr>
            </w:pPr>
          </w:p>
        </w:tc>
        <w:tc>
          <w:tcPr>
            <w:tcW w:w="940" w:type="dxa"/>
            <w:vAlign w:val="bottom"/>
            <w:shd w:val="clear" w:color="auto" w:fill="0063A6"/>
          </w:tcPr>
          <w:p>
            <w:pPr>
              <w:spacing w:after="0"/>
              <w:rPr>
                <w:sz w:val="24"/>
                <w:szCs w:val="24"/>
                <w:color w:val="auto"/>
              </w:rPr>
            </w:pPr>
          </w:p>
        </w:tc>
        <w:tc>
          <w:tcPr>
            <w:tcW w:w="2460" w:type="dxa"/>
            <w:vAlign w:val="bottom"/>
            <w:gridSpan w:val="2"/>
            <w:shd w:val="clear" w:color="auto" w:fill="0063A6"/>
          </w:tcPr>
          <w:p>
            <w:pPr>
              <w:jc w:val="right"/>
              <w:ind w:right="702"/>
              <w:spacing w:after="0"/>
              <w:rPr>
                <w:sz w:val="20"/>
                <w:szCs w:val="20"/>
                <w:color w:val="auto"/>
              </w:rPr>
            </w:pPr>
            <w:r>
              <w:rPr>
                <w:rFonts w:ascii="Arial" w:cs="Arial" w:eastAsia="Arial" w:hAnsi="Arial"/>
                <w:sz w:val="14"/>
                <w:szCs w:val="14"/>
                <w:b w:val="1"/>
                <w:bCs w:val="1"/>
                <w:color w:val="FFFFFF"/>
              </w:rPr>
              <w:t>Stock Awards</w:t>
            </w:r>
          </w:p>
        </w:tc>
      </w:tr>
      <w:tr>
        <w:trPr>
          <w:trHeight w:val="296"/>
        </w:trPr>
        <w:tc>
          <w:tcPr>
            <w:tcW w:w="1860" w:type="dxa"/>
            <w:vAlign w:val="bottom"/>
            <w:shd w:val="clear" w:color="auto" w:fill="0063A6"/>
          </w:tcPr>
          <w:p>
            <w:pPr>
              <w:spacing w:after="0"/>
              <w:rPr>
                <w:sz w:val="24"/>
                <w:szCs w:val="24"/>
                <w:color w:val="auto"/>
              </w:rPr>
            </w:pPr>
          </w:p>
        </w:tc>
        <w:tc>
          <w:tcPr>
            <w:tcW w:w="1280" w:type="dxa"/>
            <w:vAlign w:val="bottom"/>
            <w:shd w:val="clear" w:color="auto" w:fill="0063A6"/>
          </w:tcPr>
          <w:p>
            <w:pPr>
              <w:spacing w:after="0"/>
              <w:rPr>
                <w:sz w:val="24"/>
                <w:szCs w:val="2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63A6"/>
          </w:tcPr>
          <w:p>
            <w:pPr>
              <w:spacing w:after="0"/>
              <w:rPr>
                <w:sz w:val="24"/>
                <w:szCs w:val="24"/>
                <w:color w:val="auto"/>
              </w:rPr>
            </w:pPr>
          </w:p>
        </w:tc>
        <w:tc>
          <w:tcPr>
            <w:tcW w:w="940" w:type="dxa"/>
            <w:vAlign w:val="bottom"/>
            <w:shd w:val="clear" w:color="auto" w:fill="0063A6"/>
          </w:tcPr>
          <w:p>
            <w:pPr>
              <w:spacing w:after="0"/>
              <w:rPr>
                <w:sz w:val="24"/>
                <w:szCs w:val="24"/>
                <w:color w:val="auto"/>
              </w:rPr>
            </w:pPr>
          </w:p>
        </w:tc>
        <w:tc>
          <w:tcPr>
            <w:tcW w:w="1280" w:type="dxa"/>
            <w:vAlign w:val="bottom"/>
            <w:shd w:val="clear" w:color="auto" w:fill="0063A6"/>
          </w:tcPr>
          <w:p>
            <w:pPr>
              <w:spacing w:after="0"/>
              <w:rPr>
                <w:sz w:val="24"/>
                <w:szCs w:val="24"/>
                <w:color w:val="auto"/>
              </w:rPr>
            </w:pPr>
          </w:p>
        </w:tc>
        <w:tc>
          <w:tcPr>
            <w:tcW w:w="1180" w:type="dxa"/>
            <w:vAlign w:val="bottom"/>
            <w:shd w:val="clear" w:color="auto" w:fill="0063A6"/>
          </w:tcPr>
          <w:p>
            <w:pPr>
              <w:spacing w:after="0"/>
              <w:rPr>
                <w:sz w:val="24"/>
                <w:szCs w:val="24"/>
                <w:color w:val="auto"/>
              </w:rPr>
            </w:pPr>
          </w:p>
        </w:tc>
      </w:tr>
      <w:tr>
        <w:trPr>
          <w:trHeight w:val="162"/>
        </w:trPr>
        <w:tc>
          <w:tcPr>
            <w:tcW w:w="1860" w:type="dxa"/>
            <w:vAlign w:val="bottom"/>
            <w:shd w:val="clear" w:color="auto" w:fill="0063A6"/>
          </w:tcPr>
          <w:p>
            <w:pPr>
              <w:spacing w:after="0"/>
              <w:rPr>
                <w:sz w:val="14"/>
                <w:szCs w:val="14"/>
                <w:color w:val="auto"/>
              </w:rPr>
            </w:pPr>
          </w:p>
        </w:tc>
        <w:tc>
          <w:tcPr>
            <w:tcW w:w="128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280" w:type="dxa"/>
            <w:vAlign w:val="bottom"/>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1860" w:type="dxa"/>
            <w:vAlign w:val="bottom"/>
            <w:shd w:val="clear" w:color="auto" w:fill="0063A6"/>
          </w:tcPr>
          <w:p>
            <w:pPr>
              <w:spacing w:after="0"/>
              <w:rPr>
                <w:sz w:val="14"/>
                <w:szCs w:val="14"/>
                <w:color w:val="auto"/>
              </w:rPr>
            </w:pPr>
          </w:p>
        </w:tc>
        <w:tc>
          <w:tcPr>
            <w:tcW w:w="128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or</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1860" w:type="dxa"/>
            <w:vAlign w:val="bottom"/>
            <w:shd w:val="clear" w:color="auto" w:fill="0063A6"/>
          </w:tcPr>
          <w:p>
            <w:pPr>
              <w:spacing w:after="0"/>
              <w:rPr>
                <w:sz w:val="14"/>
                <w:szCs w:val="14"/>
                <w:color w:val="auto"/>
              </w:rPr>
            </w:pPr>
          </w:p>
        </w:tc>
        <w:tc>
          <w:tcPr>
            <w:tcW w:w="128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0063A6"/>
          </w:tcPr>
          <w:p>
            <w:pPr>
              <w:jc w:val="center"/>
              <w:ind w:right="1"/>
              <w:spacing w:after="0"/>
              <w:rPr>
                <w:sz w:val="20"/>
                <w:szCs w:val="20"/>
                <w:color w:val="auto"/>
              </w:rPr>
            </w:pPr>
            <w:r>
              <w:rPr>
                <w:rFonts w:ascii="Arial" w:cs="Arial" w:eastAsia="Arial" w:hAnsi="Arial"/>
                <w:sz w:val="14"/>
                <w:szCs w:val="14"/>
                <w:b w:val="1"/>
                <w:bCs w:val="1"/>
                <w:color w:val="FFFFFF"/>
              </w:rPr>
              <w:t>Option</w:t>
            </w: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r>
      <w:tr>
        <w:trPr>
          <w:trHeight w:val="148"/>
        </w:trPr>
        <w:tc>
          <w:tcPr>
            <w:tcW w:w="1860" w:type="dxa"/>
            <w:vAlign w:val="bottom"/>
            <w:shd w:val="clear" w:color="auto" w:fill="0063A6"/>
          </w:tcPr>
          <w:p>
            <w:pPr>
              <w:spacing w:after="0"/>
              <w:rPr>
                <w:sz w:val="12"/>
                <w:szCs w:val="12"/>
                <w:color w:val="auto"/>
              </w:rPr>
            </w:pPr>
          </w:p>
        </w:tc>
        <w:tc>
          <w:tcPr>
            <w:tcW w:w="1280" w:type="dxa"/>
            <w:vAlign w:val="bottom"/>
            <w:shd w:val="clear" w:color="auto" w:fill="0063A6"/>
          </w:tcPr>
          <w:p>
            <w:pPr>
              <w:spacing w:after="0"/>
              <w:rPr>
                <w:sz w:val="12"/>
                <w:szCs w:val="12"/>
                <w:color w:val="auto"/>
              </w:rPr>
            </w:pPr>
          </w:p>
        </w:tc>
        <w:tc>
          <w:tcPr>
            <w:tcW w:w="106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Options</w:t>
            </w:r>
          </w:p>
        </w:tc>
        <w:tc>
          <w:tcPr>
            <w:tcW w:w="116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Exercise</w:t>
            </w:r>
          </w:p>
        </w:tc>
        <w:tc>
          <w:tcPr>
            <w:tcW w:w="94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Expiration</w:t>
            </w:r>
          </w:p>
        </w:tc>
        <w:tc>
          <w:tcPr>
            <w:tcW w:w="12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that have not</w:t>
            </w:r>
          </w:p>
        </w:tc>
        <w:tc>
          <w:tcPr>
            <w:tcW w:w="11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that have not</w:t>
            </w:r>
          </w:p>
        </w:tc>
      </w:tr>
      <w:tr>
        <w:trPr>
          <w:trHeight w:val="270"/>
        </w:trPr>
        <w:tc>
          <w:tcPr>
            <w:tcW w:w="1860" w:type="dxa"/>
            <w:vAlign w:val="bottom"/>
            <w:shd w:val="clear" w:color="auto" w:fill="0063A6"/>
          </w:tcPr>
          <w:p>
            <w:pPr>
              <w:ind w:left="720"/>
              <w:spacing w:after="0"/>
              <w:rPr>
                <w:sz w:val="20"/>
                <w:szCs w:val="20"/>
                <w:color w:val="auto"/>
              </w:rPr>
            </w:pPr>
            <w:r>
              <w:rPr>
                <w:rFonts w:ascii="Arial" w:cs="Arial" w:eastAsia="Arial" w:hAnsi="Arial"/>
                <w:sz w:val="14"/>
                <w:szCs w:val="14"/>
                <w:b w:val="1"/>
                <w:bCs w:val="1"/>
                <w:color w:val="FFFFFF"/>
              </w:rPr>
              <w:t>Name</w:t>
            </w:r>
          </w:p>
        </w:tc>
        <w:tc>
          <w:tcPr>
            <w:tcW w:w="1280" w:type="dxa"/>
            <w:vAlign w:val="bottom"/>
            <w:shd w:val="clear" w:color="auto" w:fill="0063A6"/>
          </w:tcPr>
          <w:p>
            <w:pPr>
              <w:ind w:left="280"/>
              <w:spacing w:after="0"/>
              <w:rPr>
                <w:sz w:val="20"/>
                <w:szCs w:val="20"/>
                <w:color w:val="auto"/>
              </w:rPr>
            </w:pPr>
            <w:r>
              <w:rPr>
                <w:rFonts w:ascii="Arial" w:cs="Arial" w:eastAsia="Arial" w:hAnsi="Arial"/>
                <w:sz w:val="14"/>
                <w:szCs w:val="14"/>
                <w:b w:val="1"/>
                <w:bCs w:val="1"/>
                <w:color w:val="FFFFFF"/>
              </w:rPr>
              <w:t>Grant date</w:t>
            </w: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Unexercisable</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Price ($)</w:t>
            </w: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vested</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23"/>
                <w:szCs w:val="23"/>
                <w:b w:val="1"/>
                <w:bCs w:val="1"/>
                <w:color w:val="FFFFFF"/>
                <w:w w:val="97"/>
                <w:vertAlign w:val="superscript"/>
              </w:rPr>
              <w:t>(1)</w:t>
            </w:r>
          </w:p>
        </w:tc>
      </w:tr>
      <w:tr>
        <w:trPr>
          <w:trHeight w:val="338"/>
        </w:trPr>
        <w:tc>
          <w:tcPr>
            <w:tcW w:w="186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1280" w:type="dxa"/>
            <w:vAlign w:val="bottom"/>
            <w:shd w:val="clear" w:color="auto" w:fill="F2F2F2"/>
          </w:tcPr>
          <w:p>
            <w:pPr>
              <w:ind w:left="360"/>
              <w:spacing w:after="0"/>
              <w:rPr>
                <w:sz w:val="20"/>
                <w:szCs w:val="20"/>
                <w:color w:val="auto"/>
              </w:rPr>
            </w:pPr>
            <w:r>
              <w:rPr>
                <w:rFonts w:ascii="Arial" w:cs="Arial" w:eastAsia="Arial" w:hAnsi="Arial"/>
                <w:sz w:val="16"/>
                <w:szCs w:val="16"/>
                <w:color w:val="auto"/>
              </w:rPr>
              <w:t>12/12/17</w:t>
            </w:r>
            <w:r>
              <w:rPr>
                <w:rFonts w:ascii="Arial" w:cs="Arial" w:eastAsia="Arial" w:hAnsi="Arial"/>
                <w:sz w:val="26"/>
                <w:szCs w:val="26"/>
                <w:color w:val="auto"/>
                <w:vertAlign w:val="superscript"/>
              </w:rPr>
              <w:t>(2)</w:t>
            </w: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10,333,333</w:t>
            </w:r>
          </w:p>
        </w:tc>
        <w:tc>
          <w:tcPr>
            <w:tcW w:w="118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229,296,659</w:t>
            </w:r>
          </w:p>
        </w:tc>
      </w:tr>
      <w:tr>
        <w:trPr>
          <w:trHeight w:val="399"/>
        </w:trPr>
        <w:tc>
          <w:tcPr>
            <w:tcW w:w="1860" w:type="dxa"/>
            <w:vAlign w:val="bottom"/>
          </w:tcPr>
          <w:p>
            <w:pPr>
              <w:ind w:left="80"/>
              <w:spacing w:after="0"/>
              <w:rPr>
                <w:sz w:val="20"/>
                <w:szCs w:val="20"/>
                <w:color w:val="auto"/>
              </w:rPr>
            </w:pPr>
            <w:r>
              <w:rPr>
                <w:rFonts w:ascii="Arial" w:cs="Arial" w:eastAsia="Arial" w:hAnsi="Arial"/>
                <w:sz w:val="16"/>
                <w:szCs w:val="16"/>
                <w:color w:val="auto"/>
              </w:rPr>
              <w:t>Timothy Regan</w:t>
            </w:r>
          </w:p>
        </w:tc>
        <w:tc>
          <w:tcPr>
            <w:tcW w:w="1280" w:type="dxa"/>
            <w:vAlign w:val="bottom"/>
          </w:tcPr>
          <w:p>
            <w:pPr>
              <w:ind w:left="280"/>
              <w:spacing w:after="0"/>
              <w:rPr>
                <w:sz w:val="20"/>
                <w:szCs w:val="20"/>
                <w:color w:val="auto"/>
              </w:rPr>
            </w:pPr>
            <w:r>
              <w:rPr>
                <w:rFonts w:ascii="Arial" w:cs="Arial" w:eastAsia="Arial" w:hAnsi="Arial"/>
                <w:sz w:val="16"/>
                <w:szCs w:val="16"/>
                <w:color w:val="auto"/>
              </w:rPr>
              <w:t>2/22/2018</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15,738</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349,226</w:t>
            </w:r>
          </w:p>
        </w:tc>
      </w:tr>
      <w:tr>
        <w:trPr>
          <w:trHeight w:val="351"/>
        </w:trPr>
        <w:tc>
          <w:tcPr>
            <w:tcW w:w="186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27,592</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612,266</w:t>
            </w:r>
          </w:p>
        </w:tc>
      </w:tr>
      <w:tr>
        <w:trPr>
          <w:trHeight w:val="351"/>
        </w:trPr>
        <w:tc>
          <w:tcPr>
            <w:tcW w:w="186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45,313</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1,005,495</w:t>
            </w:r>
          </w:p>
        </w:tc>
      </w:tr>
      <w:tr>
        <w:trPr>
          <w:trHeight w:val="290"/>
        </w:trPr>
        <w:tc>
          <w:tcPr>
            <w:tcW w:w="1860" w:type="dxa"/>
            <w:vAlign w:val="bottom"/>
          </w:tcPr>
          <w:p>
            <w:pPr>
              <w:spacing w:after="0"/>
              <w:rPr>
                <w:sz w:val="24"/>
                <w:szCs w:val="24"/>
                <w:color w:val="auto"/>
              </w:rPr>
            </w:pPr>
          </w:p>
        </w:tc>
        <w:tc>
          <w:tcPr>
            <w:tcW w:w="1280" w:type="dxa"/>
            <w:vAlign w:val="bottom"/>
          </w:tcPr>
          <w:p>
            <w:pPr>
              <w:ind w:left="280"/>
              <w:spacing w:after="0" w:line="290" w:lineRule="exact"/>
              <w:rPr>
                <w:sz w:val="20"/>
                <w:szCs w:val="20"/>
                <w:color w:val="auto"/>
              </w:rPr>
            </w:pPr>
            <w:r>
              <w:rPr>
                <w:rFonts w:ascii="Arial" w:cs="Arial" w:eastAsia="Arial" w:hAnsi="Arial"/>
                <w:sz w:val="16"/>
                <w:szCs w:val="16"/>
                <w:color w:val="auto"/>
              </w:rPr>
              <w:t>10/1/2020</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189,161</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4,197,483</w:t>
            </w:r>
          </w:p>
        </w:tc>
      </w:tr>
      <w:tr>
        <w:trPr>
          <w:trHeight w:val="351"/>
        </w:trPr>
        <w:tc>
          <w:tcPr>
            <w:tcW w:w="1860" w:type="dxa"/>
            <w:vAlign w:val="bottom"/>
            <w:shd w:val="clear" w:color="auto" w:fill="F2F2F2"/>
          </w:tcPr>
          <w:p>
            <w:pPr>
              <w:ind w:left="80"/>
              <w:spacing w:after="0"/>
              <w:rPr>
                <w:sz w:val="20"/>
                <w:szCs w:val="20"/>
                <w:color w:val="auto"/>
              </w:rPr>
            </w:pPr>
            <w:r>
              <w:rPr>
                <w:rFonts w:ascii="Arial" w:cs="Arial" w:eastAsia="Arial" w:hAnsi="Arial"/>
                <w:sz w:val="16"/>
                <w:szCs w:val="16"/>
                <w:color w:val="auto"/>
              </w:rPr>
              <w:t>Timothy Young</w:t>
            </w:r>
          </w:p>
        </w:tc>
        <w:tc>
          <w:tcPr>
            <w:tcW w:w="1280" w:type="dxa"/>
            <w:vAlign w:val="bottom"/>
            <w:shd w:val="clear" w:color="auto" w:fill="F2F2F2"/>
          </w:tcPr>
          <w:p>
            <w:pPr>
              <w:ind w:left="280"/>
              <w:spacing w:after="0"/>
              <w:rPr>
                <w:sz w:val="20"/>
                <w:szCs w:val="20"/>
                <w:color w:val="auto"/>
              </w:rPr>
            </w:pPr>
            <w:r>
              <w:rPr>
                <w:rFonts w:ascii="Arial" w:cs="Arial" w:eastAsia="Arial" w:hAnsi="Arial"/>
                <w:sz w:val="16"/>
                <w:szCs w:val="16"/>
                <w:color w:val="auto"/>
              </w:rPr>
              <w:t>11/1/2019</w:t>
            </w:r>
            <w:r>
              <w:rPr>
                <w:rFonts w:ascii="Arial" w:cs="Arial" w:eastAsia="Arial" w:hAnsi="Arial"/>
                <w:sz w:val="26"/>
                <w:szCs w:val="26"/>
                <w:color w:val="auto"/>
                <w:vertAlign w:val="superscript"/>
              </w:rPr>
              <w:t>(4)</w:t>
            </w: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789,831</w:t>
            </w:r>
          </w:p>
        </w:tc>
        <w:tc>
          <w:tcPr>
            <w:tcW w:w="1180" w:type="dxa"/>
            <w:vAlign w:val="bottom"/>
            <w:shd w:val="clear" w:color="auto" w:fill="F2F2F2"/>
          </w:tcPr>
          <w:p>
            <w:pPr>
              <w:jc w:val="right"/>
              <w:ind w:right="102"/>
              <w:spacing w:after="0"/>
              <w:rPr>
                <w:sz w:val="20"/>
                <w:szCs w:val="20"/>
                <w:color w:val="auto"/>
              </w:rPr>
            </w:pPr>
            <w:r>
              <w:rPr>
                <w:rFonts w:ascii="Arial" w:cs="Arial" w:eastAsia="Arial" w:hAnsi="Arial"/>
                <w:sz w:val="16"/>
                <w:szCs w:val="16"/>
                <w:color w:val="auto"/>
              </w:rPr>
              <w:t>17,526,350</w:t>
            </w:r>
          </w:p>
        </w:tc>
      </w:tr>
      <w:tr>
        <w:trPr>
          <w:trHeight w:val="351"/>
        </w:trPr>
        <w:tc>
          <w:tcPr>
            <w:tcW w:w="1860" w:type="dxa"/>
            <w:vAlign w:val="bottom"/>
            <w:shd w:val="clear" w:color="auto" w:fill="F2F2F2"/>
          </w:tcPr>
          <w:p>
            <w:pPr>
              <w:spacing w:after="0"/>
              <w:rPr>
                <w:sz w:val="24"/>
                <w:szCs w:val="24"/>
                <w:color w:val="auto"/>
              </w:rPr>
            </w:pPr>
          </w:p>
        </w:tc>
        <w:tc>
          <w:tcPr>
            <w:tcW w:w="1280" w:type="dxa"/>
            <w:vAlign w:val="bottom"/>
            <w:shd w:val="clear" w:color="auto" w:fill="F2F2F2"/>
          </w:tcPr>
          <w:p>
            <w:pPr>
              <w:ind w:left="280"/>
              <w:spacing w:after="0"/>
              <w:rPr>
                <w:sz w:val="20"/>
                <w:szCs w:val="20"/>
                <w:color w:val="auto"/>
              </w:rPr>
            </w:pPr>
            <w:r>
              <w:rPr>
                <w:rFonts w:ascii="Arial" w:cs="Arial" w:eastAsia="Arial" w:hAnsi="Arial"/>
                <w:sz w:val="16"/>
                <w:szCs w:val="16"/>
                <w:color w:val="auto"/>
              </w:rPr>
              <w:t>12/1/2020</w:t>
            </w:r>
            <w:r>
              <w:rPr>
                <w:rFonts w:ascii="Arial" w:cs="Arial" w:eastAsia="Arial" w:hAnsi="Arial"/>
                <w:sz w:val="26"/>
                <w:szCs w:val="26"/>
                <w:color w:val="auto"/>
                <w:vertAlign w:val="superscript"/>
              </w:rPr>
              <w:t>(5)</w:t>
            </w: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right"/>
              <w:ind w:right="42"/>
              <w:spacing w:after="0"/>
              <w:rPr>
                <w:sz w:val="20"/>
                <w:szCs w:val="20"/>
                <w:color w:val="auto"/>
              </w:rPr>
            </w:pPr>
            <w:r>
              <w:rPr>
                <w:rFonts w:ascii="Arial" w:cs="Arial" w:eastAsia="Arial" w:hAnsi="Arial"/>
                <w:sz w:val="16"/>
                <w:szCs w:val="16"/>
                <w:color w:val="auto"/>
              </w:rPr>
              <w:t>132,393</w:t>
            </w:r>
            <w:r>
              <w:rPr>
                <w:rFonts w:ascii="Arial" w:cs="Arial" w:eastAsia="Arial" w:hAnsi="Arial"/>
                <w:sz w:val="26"/>
                <w:szCs w:val="26"/>
                <w:color w:val="auto"/>
                <w:vertAlign w:val="superscript"/>
              </w:rPr>
              <w:t>(6)</w:t>
            </w:r>
          </w:p>
        </w:tc>
        <w:tc>
          <w:tcPr>
            <w:tcW w:w="1180" w:type="dxa"/>
            <w:vAlign w:val="bottom"/>
            <w:shd w:val="clear" w:color="auto" w:fill="F2F2F2"/>
          </w:tcPr>
          <w:p>
            <w:pPr>
              <w:jc w:val="right"/>
              <w:ind w:right="102"/>
              <w:spacing w:after="0"/>
              <w:rPr>
                <w:sz w:val="20"/>
                <w:szCs w:val="20"/>
                <w:color w:val="auto"/>
              </w:rPr>
            </w:pPr>
            <w:r>
              <w:rPr>
                <w:rFonts w:ascii="Arial" w:cs="Arial" w:eastAsia="Arial" w:hAnsi="Arial"/>
                <w:sz w:val="16"/>
                <w:szCs w:val="16"/>
                <w:color w:val="auto"/>
              </w:rPr>
              <w:t>2,937,801</w:t>
            </w:r>
          </w:p>
        </w:tc>
      </w:tr>
      <w:tr>
        <w:trPr>
          <w:trHeight w:val="278"/>
        </w:trPr>
        <w:tc>
          <w:tcPr>
            <w:tcW w:w="1860" w:type="dxa"/>
            <w:vAlign w:val="bottom"/>
          </w:tcPr>
          <w:p>
            <w:pPr>
              <w:ind w:left="80"/>
              <w:spacing w:after="0"/>
              <w:rPr>
                <w:sz w:val="20"/>
                <w:szCs w:val="20"/>
                <w:color w:val="auto"/>
              </w:rPr>
            </w:pPr>
            <w:r>
              <w:rPr>
                <w:rFonts w:ascii="Arial" w:cs="Arial" w:eastAsia="Arial" w:hAnsi="Arial"/>
                <w:sz w:val="16"/>
                <w:szCs w:val="16"/>
                <w:color w:val="auto"/>
              </w:rPr>
              <w:t>Bart E. Volkmer</w:t>
            </w:r>
          </w:p>
        </w:tc>
        <w:tc>
          <w:tcPr>
            <w:tcW w:w="1280" w:type="dxa"/>
            <w:vAlign w:val="bottom"/>
          </w:tcPr>
          <w:p>
            <w:pPr>
              <w:ind w:left="280"/>
              <w:spacing w:after="0"/>
              <w:rPr>
                <w:sz w:val="20"/>
                <w:szCs w:val="20"/>
                <w:color w:val="auto"/>
              </w:rPr>
            </w:pPr>
            <w:r>
              <w:rPr>
                <w:rFonts w:ascii="Arial" w:cs="Arial" w:eastAsia="Arial" w:hAnsi="Arial"/>
                <w:sz w:val="16"/>
                <w:szCs w:val="16"/>
                <w:color w:val="auto"/>
              </w:rPr>
              <w:t>3/11/2013</w:t>
            </w:r>
          </w:p>
        </w:tc>
        <w:tc>
          <w:tcPr>
            <w:tcW w:w="1060" w:type="dxa"/>
            <w:vAlign w:val="bottom"/>
          </w:tcPr>
          <w:p>
            <w:pPr>
              <w:jc w:val="center"/>
              <w:spacing w:after="0"/>
              <w:rPr>
                <w:sz w:val="20"/>
                <w:szCs w:val="20"/>
                <w:color w:val="auto"/>
              </w:rPr>
            </w:pPr>
            <w:r>
              <w:rPr>
                <w:rFonts w:ascii="Arial" w:cs="Arial" w:eastAsia="Arial" w:hAnsi="Arial"/>
                <w:sz w:val="16"/>
                <w:szCs w:val="16"/>
                <w:color w:val="auto"/>
              </w:rPr>
              <w:t>90,133</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$4.28</w:t>
            </w:r>
          </w:p>
        </w:tc>
        <w:tc>
          <w:tcPr>
            <w:tcW w:w="940" w:type="dxa"/>
            <w:vAlign w:val="bottom"/>
          </w:tcPr>
          <w:p>
            <w:pPr>
              <w:jc w:val="center"/>
              <w:spacing w:after="0"/>
              <w:rPr>
                <w:sz w:val="20"/>
                <w:szCs w:val="20"/>
                <w:color w:val="auto"/>
              </w:rPr>
            </w:pPr>
            <w:r>
              <w:rPr>
                <w:rFonts w:ascii="Arial" w:cs="Arial" w:eastAsia="Arial" w:hAnsi="Arial"/>
                <w:sz w:val="16"/>
                <w:szCs w:val="16"/>
                <w:color w:val="auto"/>
              </w:rPr>
              <w:t>3/10/2023</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486"/>
        </w:trPr>
        <w:tc>
          <w:tcPr>
            <w:tcW w:w="1860" w:type="dxa"/>
            <w:vAlign w:val="bottom"/>
          </w:tcPr>
          <w:p>
            <w:pPr>
              <w:spacing w:after="0"/>
              <w:rPr>
                <w:sz w:val="24"/>
                <w:szCs w:val="24"/>
                <w:color w:val="auto"/>
              </w:rPr>
            </w:pPr>
          </w:p>
        </w:tc>
        <w:tc>
          <w:tcPr>
            <w:tcW w:w="1280" w:type="dxa"/>
            <w:vAlign w:val="bottom"/>
          </w:tcPr>
          <w:p>
            <w:pPr>
              <w:ind w:left="280"/>
              <w:spacing w:after="0"/>
              <w:rPr>
                <w:sz w:val="20"/>
                <w:szCs w:val="20"/>
                <w:color w:val="auto"/>
              </w:rPr>
            </w:pPr>
            <w:r>
              <w:rPr>
                <w:rFonts w:ascii="Arial" w:cs="Arial" w:eastAsia="Arial" w:hAnsi="Arial"/>
                <w:sz w:val="16"/>
                <w:szCs w:val="16"/>
                <w:color w:val="auto"/>
              </w:rPr>
              <w:t>2/22/2018</w:t>
            </w:r>
            <w:r>
              <w:rPr>
                <w:rFonts w:ascii="Arial" w:cs="Arial" w:eastAsia="Arial" w:hAnsi="Arial"/>
                <w:sz w:val="26"/>
                <w:szCs w:val="26"/>
                <w:color w:val="auto"/>
                <w:vertAlign w:val="superscript"/>
              </w:rPr>
              <w:t>(7)</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37,408</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830,084</w:t>
            </w:r>
          </w:p>
        </w:tc>
      </w:tr>
      <w:tr>
        <w:trPr>
          <w:trHeight w:val="351"/>
        </w:trPr>
        <w:tc>
          <w:tcPr>
            <w:tcW w:w="186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60,202</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1,335,882</w:t>
            </w:r>
          </w:p>
        </w:tc>
      </w:tr>
      <w:tr>
        <w:trPr>
          <w:trHeight w:val="290"/>
        </w:trPr>
        <w:tc>
          <w:tcPr>
            <w:tcW w:w="1860" w:type="dxa"/>
            <w:vAlign w:val="bottom"/>
          </w:tcPr>
          <w:p>
            <w:pPr>
              <w:spacing w:after="0"/>
              <w:rPr>
                <w:sz w:val="24"/>
                <w:szCs w:val="24"/>
                <w:color w:val="auto"/>
              </w:rPr>
            </w:pPr>
          </w:p>
        </w:tc>
        <w:tc>
          <w:tcPr>
            <w:tcW w:w="1280" w:type="dxa"/>
            <w:vAlign w:val="bottom"/>
          </w:tcPr>
          <w:p>
            <w:pPr>
              <w:ind w:left="360"/>
              <w:spacing w:after="0" w:line="290" w:lineRule="exact"/>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108,751</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2,413,185</w:t>
            </w:r>
          </w:p>
        </w:tc>
      </w:tr>
      <w:tr>
        <w:trPr>
          <w:trHeight w:val="351"/>
        </w:trPr>
        <w:tc>
          <w:tcPr>
            <w:tcW w:w="1860" w:type="dxa"/>
            <w:vAlign w:val="bottom"/>
            <w:shd w:val="clear" w:color="auto" w:fill="F2F2F2"/>
          </w:tcPr>
          <w:p>
            <w:pPr>
              <w:ind w:left="80"/>
              <w:spacing w:after="0"/>
              <w:rPr>
                <w:sz w:val="20"/>
                <w:szCs w:val="20"/>
                <w:color w:val="auto"/>
              </w:rPr>
            </w:pPr>
            <w:r>
              <w:rPr>
                <w:rFonts w:ascii="Arial" w:cs="Arial" w:eastAsia="Arial" w:hAnsi="Arial"/>
                <w:sz w:val="16"/>
                <w:szCs w:val="16"/>
                <w:color w:val="auto"/>
              </w:rPr>
              <w:t>Ajay V. Vashee</w:t>
            </w:r>
            <w:r>
              <w:rPr>
                <w:rFonts w:ascii="Arial" w:cs="Arial" w:eastAsia="Arial" w:hAnsi="Arial"/>
                <w:sz w:val="26"/>
                <w:szCs w:val="26"/>
                <w:color w:val="auto"/>
                <w:vertAlign w:val="superscript"/>
              </w:rPr>
              <w:t>(8)</w:t>
            </w:r>
          </w:p>
        </w:tc>
        <w:tc>
          <w:tcPr>
            <w:tcW w:w="1280" w:type="dxa"/>
            <w:vAlign w:val="bottom"/>
            <w:shd w:val="clear" w:color="auto" w:fill="F2F2F2"/>
          </w:tcPr>
          <w:p>
            <w:pPr>
              <w:ind w:left="5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375"/>
        </w:trPr>
        <w:tc>
          <w:tcPr>
            <w:tcW w:w="1860" w:type="dxa"/>
            <w:vAlign w:val="bottom"/>
          </w:tcPr>
          <w:p>
            <w:pPr>
              <w:ind w:left="80"/>
              <w:spacing w:after="0"/>
              <w:rPr>
                <w:sz w:val="20"/>
                <w:szCs w:val="20"/>
                <w:color w:val="auto"/>
              </w:rPr>
            </w:pPr>
            <w:r>
              <w:rPr>
                <w:rFonts w:ascii="Arial" w:cs="Arial" w:eastAsia="Arial" w:hAnsi="Arial"/>
                <w:sz w:val="16"/>
                <w:szCs w:val="16"/>
                <w:color w:val="auto"/>
              </w:rPr>
              <w:t>Olivia Nottebohm</w:t>
            </w:r>
          </w:p>
        </w:tc>
        <w:tc>
          <w:tcPr>
            <w:tcW w:w="1280" w:type="dxa"/>
            <w:vAlign w:val="bottom"/>
          </w:tcPr>
          <w:p>
            <w:pPr>
              <w:ind w:left="360"/>
              <w:spacing w:after="0"/>
              <w:rPr>
                <w:sz w:val="20"/>
                <w:szCs w:val="20"/>
                <w:color w:val="auto"/>
              </w:rPr>
            </w:pPr>
            <w:r>
              <w:rPr>
                <w:rFonts w:ascii="Arial" w:cs="Arial" w:eastAsia="Arial" w:hAnsi="Arial"/>
                <w:sz w:val="16"/>
                <w:szCs w:val="16"/>
                <w:color w:val="auto"/>
              </w:rPr>
              <w:t>3/1/2020</w:t>
            </w:r>
            <w:r>
              <w:rPr>
                <w:rFonts w:ascii="Arial" w:cs="Arial" w:eastAsia="Arial" w:hAnsi="Arial"/>
                <w:sz w:val="26"/>
                <w:szCs w:val="26"/>
                <w:color w:val="auto"/>
                <w:vertAlign w:val="superscript"/>
              </w:rPr>
              <w:t>(9)</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844,759</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18,745,202</w:t>
            </w:r>
          </w:p>
        </w:tc>
      </w:tr>
    </w:tbl>
    <w:p>
      <w:pPr>
        <w:ind w:left="244" w:hanging="244"/>
        <w:spacing w:after="0" w:line="235"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closing price of our Class A common stock on December 31, 2020 was $22.19.</w:t>
      </w:r>
    </w:p>
    <w:p>
      <w:pPr>
        <w:spacing w:after="0" w:line="3" w:lineRule="exact"/>
        <w:rPr>
          <w:rFonts w:ascii="Arial" w:cs="Arial" w:eastAsia="Arial" w:hAnsi="Arial"/>
          <w:sz w:val="22"/>
          <w:szCs w:val="22"/>
          <w:color w:val="auto"/>
          <w:vertAlign w:val="superscript"/>
        </w:rPr>
      </w:pPr>
    </w:p>
    <w:p>
      <w:pPr>
        <w:ind w:left="244" w:hanging="244"/>
        <w:spacing w:after="0" w:line="207"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Grants</w:t>
      </w:r>
      <w:r>
        <w:rPr>
          <w:rFonts w:ascii="Arial" w:cs="Arial" w:eastAsia="Arial" w:hAnsi="Arial"/>
          <w:sz w:val="14"/>
          <w:szCs w:val="14"/>
          <w:color w:val="auto"/>
        </w:rPr>
        <w:t>” below.</w:t>
      </w:r>
    </w:p>
    <w:p>
      <w:pPr>
        <w:spacing w:after="0" w:line="3" w:lineRule="exact"/>
        <w:rPr>
          <w:rFonts w:ascii="Arial" w:cs="Arial" w:eastAsia="Arial" w:hAnsi="Arial"/>
          <w:sz w:val="22"/>
          <w:szCs w:val="22"/>
          <w:color w:val="auto"/>
          <w:vertAlign w:val="superscript"/>
        </w:rPr>
      </w:pPr>
    </w:p>
    <w:p>
      <w:pPr>
        <w:ind w:left="244" w:right="400" w:hanging="244"/>
        <w:spacing w:after="0" w:line="193"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18" w:lineRule="exact"/>
        <w:rPr>
          <w:rFonts w:ascii="Arial" w:cs="Arial" w:eastAsia="Arial" w:hAnsi="Arial"/>
          <w:sz w:val="22"/>
          <w:szCs w:val="22"/>
          <w:color w:val="auto"/>
          <w:vertAlign w:val="superscript"/>
        </w:rPr>
      </w:pPr>
    </w:p>
    <w:p>
      <w:pPr>
        <w:ind w:left="244" w:right="20" w:hanging="244"/>
        <w:spacing w:after="0" w:line="207"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1/4th of the shares of our Class A common stock underlying the RSAs vests on November 15th, 2020, and an additional 1/16th of the total number of shares of our Class A common stock underlying the RSAs vests in equal quarterly installments on the Quarterly Vesting Dates, subject to continued service through each such vesting date.</w:t>
      </w:r>
    </w:p>
    <w:p>
      <w:pPr>
        <w:spacing w:after="0" w:line="3" w:lineRule="exact"/>
        <w:rPr>
          <w:rFonts w:ascii="Arial" w:cs="Arial" w:eastAsia="Arial" w:hAnsi="Arial"/>
          <w:sz w:val="22"/>
          <w:szCs w:val="22"/>
          <w:color w:val="auto"/>
          <w:vertAlign w:val="superscript"/>
        </w:rPr>
      </w:pPr>
    </w:p>
    <w:p>
      <w:pPr>
        <w:ind w:left="244" w:right="160" w:hanging="244"/>
        <w:spacing w:after="0" w:line="214"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award represents Mr. Young’s performance-based RSA. RSAs are eligible to vest over an approximately three-year performance period based on the achievement of certain stock price goals measured over a consecutive thirty-day trading period during twelve-month measurement periods. See “</w:t>
      </w:r>
      <w:r>
        <w:rPr>
          <w:rFonts w:ascii="Arial" w:cs="Arial" w:eastAsia="Arial" w:hAnsi="Arial"/>
          <w:sz w:val="14"/>
          <w:szCs w:val="14"/>
          <w:i w:val="1"/>
          <w:iCs w:val="1"/>
          <w:color w:val="auto"/>
        </w:rPr>
        <w:t>Compensation Elements—Long-Term Equity Incentive Compensation</w:t>
      </w:r>
      <w:r>
        <w:rPr>
          <w:rFonts w:ascii="Arial" w:cs="Arial" w:eastAsia="Arial" w:hAnsi="Arial"/>
          <w:sz w:val="14"/>
          <w:szCs w:val="14"/>
          <w:color w:val="auto"/>
        </w:rPr>
        <w:t>” above for additional information regarding Mr. Young’s performance-based RSA.</w:t>
      </w:r>
    </w:p>
    <w:p>
      <w:pPr>
        <w:spacing w:after="0" w:line="5" w:lineRule="exact"/>
        <w:rPr>
          <w:rFonts w:ascii="Arial" w:cs="Arial" w:eastAsia="Arial" w:hAnsi="Arial"/>
          <w:sz w:val="22"/>
          <w:szCs w:val="22"/>
          <w:color w:val="auto"/>
          <w:vertAlign w:val="superscript"/>
        </w:rPr>
      </w:pPr>
    </w:p>
    <w:p>
      <w:pPr>
        <w:ind w:left="244" w:right="440" w:hanging="244"/>
        <w:spacing w:after="0" w:line="193"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amount reported reflect the shares that would vest if minimum stock price goals in each measurement period are met and is 25% of the amount of shares that would vest at the target level of performance.</w:t>
      </w:r>
    </w:p>
    <w:p>
      <w:pPr>
        <w:spacing w:after="0" w:line="18" w:lineRule="exact"/>
        <w:rPr>
          <w:rFonts w:ascii="Arial" w:cs="Arial" w:eastAsia="Arial" w:hAnsi="Arial"/>
          <w:sz w:val="22"/>
          <w:szCs w:val="22"/>
          <w:color w:val="auto"/>
          <w:vertAlign w:val="superscript"/>
        </w:rPr>
      </w:pPr>
    </w:p>
    <w:p>
      <w:pPr>
        <w:ind w:left="244" w:right="40" w:hanging="244"/>
        <w:spacing w:after="0" w:line="214"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1/8th of the total number of shares of our Class A common stock underlying the RSUs vest in equal quarterly installments on the Quarterly Vesting Dates between February 15, 2019 and February 15, 2020, and an additional 1/16th of the total number of shares of our Class A common stock underlying the RSUs vests in equal quarterly installments on the Quarterly Vesting Dates thereafter, subject to continued service through each such vesting date.</w:t>
      </w:r>
    </w:p>
    <w:p>
      <w:pPr>
        <w:spacing w:after="0" w:line="2"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All unvested equity awards held by Mr. Vashee were forfeited upon his resignation from the company in October 2020.</w:t>
      </w:r>
    </w:p>
    <w:p>
      <w:pPr>
        <w:spacing w:after="0" w:line="3" w:lineRule="exact"/>
        <w:rPr>
          <w:rFonts w:ascii="Arial" w:cs="Arial" w:eastAsia="Arial" w:hAnsi="Arial"/>
          <w:sz w:val="20"/>
          <w:szCs w:val="20"/>
          <w:color w:val="auto"/>
          <w:vertAlign w:val="superscript"/>
        </w:rPr>
      </w:pPr>
    </w:p>
    <w:p>
      <w:pPr>
        <w:ind w:left="244" w:right="20" w:hanging="244"/>
        <w:spacing w:after="0" w:line="219" w:lineRule="auto"/>
        <w:tabs>
          <w:tab w:leader="none" w:pos="244"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25% of the shares of our Class A common stock underlying the RSAs vest on February 15th, 2021, and an additional 1/16th of the total number of shares of our Class A common stock underlying the RSAs vest in equal quarterly installments on the Quarterly Vesting Dates, subject to continued service through each such vesting date. In connection with Ms. Nottebohm’s separation agreement, the unvested RSAs that would have vested if she had remained employed through February 15, 2021 were accelerated to vest on February 5, 2021. See “</w:t>
      </w:r>
      <w:r>
        <w:rPr>
          <w:rFonts w:ascii="Arial" w:cs="Arial" w:eastAsia="Arial" w:hAnsi="Arial"/>
          <w:sz w:val="14"/>
          <w:szCs w:val="14"/>
          <w:i w:val="1"/>
          <w:iCs w:val="1"/>
          <w:color w:val="auto"/>
        </w:rPr>
        <w:t>Potential Payments 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Control—Ms. Nottebohm’s Separation</w:t>
      </w:r>
      <w:r>
        <w:rPr>
          <w:rFonts w:ascii="Arial" w:cs="Arial" w:eastAsia="Arial" w:hAnsi="Arial"/>
          <w:sz w:val="14"/>
          <w:szCs w:val="14"/>
          <w:color w:val="auto"/>
        </w:rPr>
        <w:t>” below.</w:t>
      </w:r>
    </w:p>
    <w:p>
      <w:pPr>
        <w:spacing w:after="0" w:line="190" w:lineRule="exact"/>
        <w:rPr>
          <w:sz w:val="20"/>
          <w:szCs w:val="20"/>
          <w:color w:val="auto"/>
        </w:rPr>
      </w:pPr>
    </w:p>
    <w:p>
      <w:pPr>
        <w:ind w:left="524" w:hanging="524"/>
        <w:spacing w:after="0"/>
        <w:tabs>
          <w:tab w:leader="none" w:pos="524"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4" w:name="page55"/>
    <w:bookmarkEnd w:id="5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Co-Founder Grants</w:t>
      </w:r>
    </w:p>
    <w:p>
      <w:pPr>
        <w:spacing w:after="0" w:line="169" w:lineRule="exact"/>
        <w:rPr>
          <w:sz w:val="20"/>
          <w:szCs w:val="20"/>
          <w:color w:val="auto"/>
        </w:rPr>
      </w:pPr>
    </w:p>
    <w:p>
      <w:pPr>
        <w:ind w:left="720" w:right="760"/>
        <w:spacing w:after="0" w:line="247" w:lineRule="auto"/>
        <w:rPr>
          <w:sz w:val="20"/>
          <w:szCs w:val="20"/>
          <w:color w:val="auto"/>
        </w:rPr>
      </w:pPr>
      <w:r>
        <w:rPr>
          <w:rFonts w:ascii="Arial" w:cs="Arial" w:eastAsia="Arial" w:hAnsi="Arial"/>
          <w:sz w:val="16"/>
          <w:szCs w:val="16"/>
          <w:color w:val="auto"/>
        </w:rPr>
        <w:t>In December 2017, our board of directors approved a grant to our co-founders of RSAs with respect to 14.7 million shares of Class A common stock in the aggregate (the “</w:t>
      </w:r>
      <w:r>
        <w:rPr>
          <w:rFonts w:ascii="Arial" w:cs="Arial" w:eastAsia="Arial" w:hAnsi="Arial"/>
          <w:sz w:val="16"/>
          <w:szCs w:val="16"/>
          <w:b w:val="1"/>
          <w:bCs w:val="1"/>
          <w:i w:val="1"/>
          <w:iCs w:val="1"/>
          <w:color w:val="auto"/>
        </w:rPr>
        <w:t>Co-Founder Grants</w:t>
      </w:r>
      <w:r>
        <w:rPr>
          <w:rFonts w:ascii="Arial" w:cs="Arial" w:eastAsia="Arial" w:hAnsi="Arial"/>
          <w:sz w:val="16"/>
          <w:szCs w:val="16"/>
          <w:color w:val="auto"/>
        </w:rPr>
        <w:t>”) of which 10.3 million RSAs were granted to Mr. Houston, our co-founder, chief executive officer and chairman of the board of directors, and 4.4 million RSAs were granted to Mr. Ferdowsi, our co-founder and a former director and officer. These Co-Founder Grants have service-based, market-based, and performance-based vesting conditions. These Co-Founder Grants have certain stockholder rights, such as the right to vote the shares immediately upon grant and prior to their vesting. The Co-Founder Grants are eligible to vest over the ten-year period following the closing of our initial public offering. In March 2020, Mr. Ferdowsi resigned as a member of the board and as an officer of the company. As a result, he ceased to satisfy the service-based vesting condition of his Co-Founder Grant as of the Expiration Date. None of the 4.4 million RSAs subject to Mr. Ferdowsi’s Co-Founder Grant had vested prior to the Expiration Date. Accordingly, all were forfeited by Mr. Ferdowsi and reacquired by the company as of that date. Mr. Houston’s Co-Founder Grant comprises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38735</wp:posOffset>
            </wp:positionV>
            <wp:extent cx="2880360" cy="2588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80360" cy="2588895"/>
                    </a:xfrm>
                    <a:prstGeom prst="rect">
                      <a:avLst/>
                    </a:prstGeom>
                    <a:noFill/>
                  </pic:spPr>
                </pic:pic>
              </a:graphicData>
            </a:graphic>
          </wp:anchor>
        </w:drawing>
      </w:r>
    </w:p>
    <w:p>
      <w:pPr>
        <w:spacing w:after="0" w:line="41" w:lineRule="exact"/>
        <w:rPr>
          <w:sz w:val="20"/>
          <w:szCs w:val="20"/>
          <w:color w:val="auto"/>
        </w:rPr>
      </w:pPr>
    </w:p>
    <w:tbl>
      <w:tblPr>
        <w:tblLayout w:type="fixed"/>
        <w:tblInd w:w="3240" w:type="dxa"/>
        <w:tblCellMar>
          <w:top w:w="0" w:type="dxa"/>
          <w:left w:w="0" w:type="dxa"/>
          <w:bottom w:w="0" w:type="dxa"/>
          <w:right w:w="0" w:type="dxa"/>
        </w:tblCellMar>
      </w:tblPr>
      <w:tr>
        <w:trPr>
          <w:trHeight w:val="257"/>
        </w:trPr>
        <w:tc>
          <w:tcPr>
            <w:tcW w:w="2660" w:type="dxa"/>
            <w:vAlign w:val="bottom"/>
            <w:shd w:val="clear" w:color="auto" w:fill="0063A6"/>
          </w:tcPr>
          <w:p>
            <w:pPr>
              <w:spacing w:after="0"/>
              <w:rPr>
                <w:sz w:val="22"/>
                <w:szCs w:val="22"/>
                <w:color w:val="auto"/>
              </w:rPr>
            </w:pP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2660" w:type="dxa"/>
            <w:vAlign w:val="bottom"/>
            <w:shd w:val="clear" w:color="auto" w:fill="0063A6"/>
          </w:tcPr>
          <w:p>
            <w:pPr>
              <w:spacing w:after="0"/>
              <w:rPr>
                <w:sz w:val="14"/>
                <w:szCs w:val="14"/>
                <w:color w:val="auto"/>
              </w:rPr>
            </w:pP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190"/>
        </w:trPr>
        <w:tc>
          <w:tcPr>
            <w:tcW w:w="26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80"/>
        </w:trPr>
        <w:tc>
          <w:tcPr>
            <w:tcW w:w="2660" w:type="dxa"/>
            <w:vAlign w:val="bottom"/>
            <w:shd w:val="clear" w:color="auto" w:fill="0063A6"/>
          </w:tcPr>
          <w:p>
            <w:pPr>
              <w:spacing w:after="0"/>
              <w:rPr>
                <w:sz w:val="6"/>
                <w:szCs w:val="6"/>
                <w:color w:val="auto"/>
              </w:rPr>
            </w:pPr>
          </w:p>
        </w:tc>
        <w:tc>
          <w:tcPr>
            <w:tcW w:w="1880" w:type="dxa"/>
            <w:vAlign w:val="bottom"/>
            <w:shd w:val="clear" w:color="auto" w:fill="0063A6"/>
          </w:tcPr>
          <w:p>
            <w:pPr>
              <w:spacing w:after="0"/>
              <w:rPr>
                <w:sz w:val="6"/>
                <w:szCs w:val="6"/>
                <w:color w:val="auto"/>
              </w:rPr>
            </w:pPr>
          </w:p>
        </w:tc>
      </w:tr>
      <w:tr>
        <w:trPr>
          <w:trHeight w:val="291"/>
        </w:trPr>
        <w:tc>
          <w:tcPr>
            <w:tcW w:w="26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$30.00</w:t>
            </w:r>
          </w:p>
        </w:tc>
        <w:tc>
          <w:tcPr>
            <w:tcW w:w="1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2,066,667</w:t>
            </w:r>
          </w:p>
        </w:tc>
      </w:tr>
      <w:tr>
        <w:trPr>
          <w:trHeight w:val="87"/>
        </w:trPr>
        <w:tc>
          <w:tcPr>
            <w:tcW w:w="266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r>
      <w:tr>
        <w:trPr>
          <w:trHeight w:val="291"/>
        </w:trPr>
        <w:tc>
          <w:tcPr>
            <w:tcW w:w="2660" w:type="dxa"/>
            <w:vAlign w:val="bottom"/>
          </w:tcPr>
          <w:p>
            <w:pPr>
              <w:jc w:val="center"/>
              <w:spacing w:after="0"/>
              <w:rPr>
                <w:sz w:val="20"/>
                <w:szCs w:val="20"/>
                <w:color w:val="auto"/>
              </w:rPr>
            </w:pPr>
            <w:r>
              <w:rPr>
                <w:rFonts w:ascii="Arial" w:cs="Arial" w:eastAsia="Arial" w:hAnsi="Arial"/>
                <w:sz w:val="16"/>
                <w:szCs w:val="16"/>
                <w:color w:val="auto"/>
                <w:w w:val="98"/>
              </w:rPr>
              <w:t>$37.50</w:t>
            </w:r>
          </w:p>
        </w:tc>
        <w:tc>
          <w:tcPr>
            <w:tcW w:w="1880" w:type="dxa"/>
            <w:vAlign w:val="bottom"/>
          </w:tcPr>
          <w:p>
            <w:pPr>
              <w:jc w:val="center"/>
              <w:spacing w:after="0"/>
              <w:rPr>
                <w:sz w:val="20"/>
                <w:szCs w:val="20"/>
                <w:color w:val="auto"/>
              </w:rPr>
            </w:pPr>
            <w:r>
              <w:rPr>
                <w:rFonts w:ascii="Arial" w:cs="Arial" w:eastAsia="Arial" w:hAnsi="Arial"/>
                <w:sz w:val="16"/>
                <w:szCs w:val="16"/>
                <w:color w:val="auto"/>
              </w:rPr>
              <w:t>1,033,334</w:t>
            </w:r>
          </w:p>
        </w:tc>
      </w:tr>
      <w:tr>
        <w:trPr>
          <w:trHeight w:val="87"/>
        </w:trPr>
        <w:tc>
          <w:tcPr>
            <w:tcW w:w="2660" w:type="dxa"/>
            <w:vAlign w:val="bottom"/>
          </w:tcPr>
          <w:p>
            <w:pPr>
              <w:spacing w:after="0"/>
              <w:rPr>
                <w:sz w:val="7"/>
                <w:szCs w:val="7"/>
                <w:color w:val="auto"/>
              </w:rPr>
            </w:pPr>
          </w:p>
        </w:tc>
        <w:tc>
          <w:tcPr>
            <w:tcW w:w="1880" w:type="dxa"/>
            <w:vAlign w:val="bottom"/>
          </w:tcPr>
          <w:p>
            <w:pPr>
              <w:spacing w:after="0"/>
              <w:rPr>
                <w:sz w:val="7"/>
                <w:szCs w:val="7"/>
                <w:color w:val="auto"/>
              </w:rPr>
            </w:pPr>
          </w:p>
        </w:tc>
      </w:tr>
      <w:tr>
        <w:trPr>
          <w:trHeight w:val="291"/>
        </w:trPr>
        <w:tc>
          <w:tcPr>
            <w:tcW w:w="26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$45.00</w:t>
            </w:r>
          </w:p>
        </w:tc>
        <w:tc>
          <w:tcPr>
            <w:tcW w:w="1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1,033,334</w:t>
            </w:r>
          </w:p>
        </w:tc>
      </w:tr>
      <w:tr>
        <w:trPr>
          <w:trHeight w:val="87"/>
        </w:trPr>
        <w:tc>
          <w:tcPr>
            <w:tcW w:w="266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r>
      <w:tr>
        <w:trPr>
          <w:trHeight w:val="291"/>
        </w:trPr>
        <w:tc>
          <w:tcPr>
            <w:tcW w:w="2660" w:type="dxa"/>
            <w:vAlign w:val="bottom"/>
          </w:tcPr>
          <w:p>
            <w:pPr>
              <w:jc w:val="center"/>
              <w:spacing w:after="0"/>
              <w:rPr>
                <w:sz w:val="20"/>
                <w:szCs w:val="20"/>
                <w:color w:val="auto"/>
              </w:rPr>
            </w:pPr>
            <w:r>
              <w:rPr>
                <w:rFonts w:ascii="Arial" w:cs="Arial" w:eastAsia="Arial" w:hAnsi="Arial"/>
                <w:sz w:val="16"/>
                <w:szCs w:val="16"/>
                <w:color w:val="auto"/>
                <w:w w:val="98"/>
              </w:rPr>
              <w:t>$52.50</w:t>
            </w:r>
          </w:p>
        </w:tc>
        <w:tc>
          <w:tcPr>
            <w:tcW w:w="188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7"/>
        </w:trPr>
        <w:tc>
          <w:tcPr>
            <w:tcW w:w="2660" w:type="dxa"/>
            <w:vAlign w:val="bottom"/>
          </w:tcPr>
          <w:p>
            <w:pPr>
              <w:spacing w:after="0"/>
              <w:rPr>
                <w:sz w:val="7"/>
                <w:szCs w:val="7"/>
                <w:color w:val="auto"/>
              </w:rPr>
            </w:pPr>
          </w:p>
        </w:tc>
        <w:tc>
          <w:tcPr>
            <w:tcW w:w="1880" w:type="dxa"/>
            <w:vAlign w:val="bottom"/>
          </w:tcPr>
          <w:p>
            <w:pPr>
              <w:spacing w:after="0"/>
              <w:rPr>
                <w:sz w:val="7"/>
                <w:szCs w:val="7"/>
                <w:color w:val="auto"/>
              </w:rPr>
            </w:pPr>
          </w:p>
        </w:tc>
      </w:tr>
      <w:tr>
        <w:trPr>
          <w:trHeight w:val="291"/>
        </w:trPr>
        <w:tc>
          <w:tcPr>
            <w:tcW w:w="26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$60.00</w:t>
            </w:r>
          </w:p>
        </w:tc>
        <w:tc>
          <w:tcPr>
            <w:tcW w:w="1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87"/>
        </w:trPr>
        <w:tc>
          <w:tcPr>
            <w:tcW w:w="266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r>
      <w:tr>
        <w:trPr>
          <w:trHeight w:val="291"/>
        </w:trPr>
        <w:tc>
          <w:tcPr>
            <w:tcW w:w="2660" w:type="dxa"/>
            <w:vAlign w:val="bottom"/>
          </w:tcPr>
          <w:p>
            <w:pPr>
              <w:jc w:val="center"/>
              <w:spacing w:after="0"/>
              <w:rPr>
                <w:sz w:val="20"/>
                <w:szCs w:val="20"/>
                <w:color w:val="auto"/>
              </w:rPr>
            </w:pPr>
            <w:r>
              <w:rPr>
                <w:rFonts w:ascii="Arial" w:cs="Arial" w:eastAsia="Arial" w:hAnsi="Arial"/>
                <w:sz w:val="16"/>
                <w:szCs w:val="16"/>
                <w:color w:val="auto"/>
                <w:w w:val="98"/>
              </w:rPr>
              <w:t>$67.50</w:t>
            </w:r>
          </w:p>
        </w:tc>
        <w:tc>
          <w:tcPr>
            <w:tcW w:w="188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7"/>
        </w:trPr>
        <w:tc>
          <w:tcPr>
            <w:tcW w:w="2660" w:type="dxa"/>
            <w:vAlign w:val="bottom"/>
          </w:tcPr>
          <w:p>
            <w:pPr>
              <w:spacing w:after="0"/>
              <w:rPr>
                <w:sz w:val="7"/>
                <w:szCs w:val="7"/>
                <w:color w:val="auto"/>
              </w:rPr>
            </w:pPr>
          </w:p>
        </w:tc>
        <w:tc>
          <w:tcPr>
            <w:tcW w:w="1880" w:type="dxa"/>
            <w:vAlign w:val="bottom"/>
          </w:tcPr>
          <w:p>
            <w:pPr>
              <w:spacing w:after="0"/>
              <w:rPr>
                <w:sz w:val="7"/>
                <w:szCs w:val="7"/>
                <w:color w:val="auto"/>
              </w:rPr>
            </w:pPr>
          </w:p>
        </w:tc>
      </w:tr>
      <w:tr>
        <w:trPr>
          <w:trHeight w:val="291"/>
        </w:trPr>
        <w:tc>
          <w:tcPr>
            <w:tcW w:w="26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$75.00</w:t>
            </w:r>
          </w:p>
        </w:tc>
        <w:tc>
          <w:tcPr>
            <w:tcW w:w="1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87"/>
        </w:trPr>
        <w:tc>
          <w:tcPr>
            <w:tcW w:w="266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r>
      <w:tr>
        <w:trPr>
          <w:trHeight w:val="291"/>
        </w:trPr>
        <w:tc>
          <w:tcPr>
            <w:tcW w:w="2660" w:type="dxa"/>
            <w:vAlign w:val="bottom"/>
          </w:tcPr>
          <w:p>
            <w:pPr>
              <w:jc w:val="center"/>
              <w:spacing w:after="0"/>
              <w:rPr>
                <w:sz w:val="20"/>
                <w:szCs w:val="20"/>
                <w:color w:val="auto"/>
              </w:rPr>
            </w:pPr>
            <w:r>
              <w:rPr>
                <w:rFonts w:ascii="Arial" w:cs="Arial" w:eastAsia="Arial" w:hAnsi="Arial"/>
                <w:sz w:val="16"/>
                <w:szCs w:val="16"/>
                <w:color w:val="auto"/>
                <w:w w:val="98"/>
              </w:rPr>
              <w:t>$82.50</w:t>
            </w:r>
          </w:p>
        </w:tc>
        <w:tc>
          <w:tcPr>
            <w:tcW w:w="188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7"/>
        </w:trPr>
        <w:tc>
          <w:tcPr>
            <w:tcW w:w="2660" w:type="dxa"/>
            <w:vAlign w:val="bottom"/>
          </w:tcPr>
          <w:p>
            <w:pPr>
              <w:spacing w:after="0"/>
              <w:rPr>
                <w:sz w:val="7"/>
                <w:szCs w:val="7"/>
                <w:color w:val="auto"/>
              </w:rPr>
            </w:pPr>
          </w:p>
        </w:tc>
        <w:tc>
          <w:tcPr>
            <w:tcW w:w="1880" w:type="dxa"/>
            <w:vAlign w:val="bottom"/>
          </w:tcPr>
          <w:p>
            <w:pPr>
              <w:spacing w:after="0"/>
              <w:rPr>
                <w:sz w:val="7"/>
                <w:szCs w:val="7"/>
                <w:color w:val="auto"/>
              </w:rPr>
            </w:pPr>
          </w:p>
        </w:tc>
      </w:tr>
      <w:tr>
        <w:trPr>
          <w:trHeight w:val="291"/>
        </w:trPr>
        <w:tc>
          <w:tcPr>
            <w:tcW w:w="26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$90.00</w:t>
            </w:r>
          </w:p>
        </w:tc>
        <w:tc>
          <w:tcPr>
            <w:tcW w:w="1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60"/>
        </w:trPr>
        <w:tc>
          <w:tcPr>
            <w:tcW w:w="2660" w:type="dxa"/>
            <w:vAlign w:val="bottom"/>
            <w:shd w:val="clear" w:color="auto" w:fill="F2F2F2"/>
          </w:tcPr>
          <w:p>
            <w:pPr>
              <w:spacing w:after="0"/>
              <w:rPr>
                <w:sz w:val="5"/>
                <w:szCs w:val="5"/>
                <w:color w:val="auto"/>
              </w:rPr>
            </w:pPr>
          </w:p>
        </w:tc>
        <w:tc>
          <w:tcPr>
            <w:tcW w:w="1880" w:type="dxa"/>
            <w:vAlign w:val="bottom"/>
            <w:shd w:val="clear" w:color="auto" w:fill="F2F2F2"/>
          </w:tcPr>
          <w:p>
            <w:pPr>
              <w:spacing w:after="0"/>
              <w:rPr>
                <w:sz w:val="5"/>
                <w:szCs w:val="5"/>
                <w:color w:val="auto"/>
              </w:rPr>
            </w:pPr>
          </w:p>
        </w:tc>
      </w:tr>
    </w:tbl>
    <w:p>
      <w:pPr>
        <w:spacing w:after="0" w:line="177" w:lineRule="exact"/>
        <w:rPr>
          <w:sz w:val="20"/>
          <w:szCs w:val="20"/>
          <w:color w:val="auto"/>
        </w:rPr>
      </w:pPr>
    </w:p>
    <w:p>
      <w:pPr>
        <w:ind w:left="720" w:right="960"/>
        <w:spacing w:after="0" w:line="253"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Grants vest, (ii) the date the applicable co-founder ceases to satisfy the service-based vesting condition, and (iii) March 23, 2028.</w:t>
      </w:r>
    </w:p>
    <w:p>
      <w:pPr>
        <w:spacing w:after="0" w:line="147" w:lineRule="exact"/>
        <w:rPr>
          <w:sz w:val="20"/>
          <w:szCs w:val="20"/>
          <w:color w:val="auto"/>
        </w:rPr>
      </w:pPr>
    </w:p>
    <w:p>
      <w:pPr>
        <w:ind w:left="720" w:right="840"/>
        <w:spacing w:after="0" w:line="253" w:lineRule="auto"/>
        <w:rPr>
          <w:sz w:val="20"/>
          <w:szCs w:val="20"/>
          <w:color w:val="auto"/>
        </w:rPr>
      </w:pPr>
      <w:r>
        <w:rPr>
          <w:rFonts w:ascii="Arial" w:cs="Arial" w:eastAsia="Arial" w:hAnsi="Arial"/>
          <w:sz w:val="16"/>
          <w:szCs w:val="16"/>
          <w:color w:val="auto"/>
        </w:rPr>
        <w:t>During the first four years of the Performance Period, no more than 20% of the shares subject to each Co-Founder Grant are eligible to vest in any calendar year. After the first four years, all shares are eligible to vest based on the achievement of the Stock Price Targets.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51</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5" w:name="page56"/>
    <w:bookmarkEnd w:id="5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Option Exercises and Stock Vested in 2020</w:t>
      </w:r>
    </w:p>
    <w:p>
      <w:pPr>
        <w:spacing w:after="0" w:line="169"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2020. No named executive officer exercised stock options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1868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7585" cy="186880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620" w:type="dxa"/>
            <w:vAlign w:val="bottom"/>
            <w:shd w:val="clear" w:color="auto" w:fill="0063A6"/>
          </w:tcPr>
          <w:p>
            <w:pPr>
              <w:spacing w:after="0"/>
              <w:rPr>
                <w:sz w:val="22"/>
                <w:szCs w:val="22"/>
                <w:color w:val="auto"/>
              </w:rPr>
            </w:pPr>
          </w:p>
        </w:tc>
        <w:tc>
          <w:tcPr>
            <w:tcW w:w="3840" w:type="dxa"/>
            <w:vAlign w:val="bottom"/>
            <w:shd w:val="clear" w:color="auto" w:fill="0063A6"/>
          </w:tcPr>
          <w:p>
            <w:pPr>
              <w:jc w:val="center"/>
              <w:ind w:left="1562"/>
              <w:spacing w:after="0"/>
              <w:rPr>
                <w:sz w:val="20"/>
                <w:szCs w:val="20"/>
                <w:color w:val="auto"/>
              </w:rPr>
            </w:pPr>
            <w:r>
              <w:rPr>
                <w:rFonts w:ascii="Arial" w:cs="Arial" w:eastAsia="Arial" w:hAnsi="Arial"/>
                <w:sz w:val="14"/>
                <w:szCs w:val="14"/>
                <w:b w:val="1"/>
                <w:bCs w:val="1"/>
                <w:color w:val="FFFFFF"/>
              </w:rPr>
              <w:t>Number of Shares</w:t>
            </w:r>
          </w:p>
        </w:tc>
        <w:tc>
          <w:tcPr>
            <w:tcW w:w="2100" w:type="dxa"/>
            <w:vAlign w:val="bottom"/>
            <w:shd w:val="clear" w:color="auto" w:fill="0063A6"/>
          </w:tcPr>
          <w:p>
            <w:pPr>
              <w:spacing w:after="0"/>
              <w:rPr>
                <w:sz w:val="22"/>
                <w:szCs w:val="22"/>
                <w:color w:val="auto"/>
              </w:rPr>
            </w:pPr>
          </w:p>
        </w:tc>
      </w:tr>
      <w:tr>
        <w:trPr>
          <w:trHeight w:val="148"/>
        </w:trPr>
        <w:tc>
          <w:tcPr>
            <w:tcW w:w="3620" w:type="dxa"/>
            <w:vAlign w:val="bottom"/>
            <w:shd w:val="clear" w:color="auto" w:fill="0063A6"/>
          </w:tcPr>
          <w:p>
            <w:pPr>
              <w:spacing w:after="0"/>
              <w:rPr>
                <w:sz w:val="12"/>
                <w:szCs w:val="12"/>
                <w:color w:val="auto"/>
              </w:rPr>
            </w:pPr>
          </w:p>
        </w:tc>
        <w:tc>
          <w:tcPr>
            <w:tcW w:w="3840" w:type="dxa"/>
            <w:vAlign w:val="bottom"/>
            <w:shd w:val="clear" w:color="auto" w:fill="0063A6"/>
          </w:tcPr>
          <w:p>
            <w:pPr>
              <w:jc w:val="center"/>
              <w:ind w:left="1562"/>
              <w:spacing w:after="0" w:line="148" w:lineRule="exact"/>
              <w:rPr>
                <w:sz w:val="20"/>
                <w:szCs w:val="20"/>
                <w:color w:val="auto"/>
              </w:rPr>
            </w:pPr>
            <w:r>
              <w:rPr>
                <w:rFonts w:ascii="Arial" w:cs="Arial" w:eastAsia="Arial" w:hAnsi="Arial"/>
                <w:sz w:val="14"/>
                <w:szCs w:val="14"/>
                <w:b w:val="1"/>
                <w:bCs w:val="1"/>
                <w:color w:val="FFFFFF"/>
              </w:rPr>
              <w:t>Acquired on</w:t>
            </w:r>
          </w:p>
        </w:tc>
        <w:tc>
          <w:tcPr>
            <w:tcW w:w="2100" w:type="dxa"/>
            <w:vAlign w:val="bottom"/>
            <w:shd w:val="clear" w:color="auto" w:fill="0063A6"/>
          </w:tcPr>
          <w:p>
            <w:pPr>
              <w:ind w:left="500"/>
              <w:spacing w:after="0" w:line="148" w:lineRule="exact"/>
              <w:rPr>
                <w:sz w:val="20"/>
                <w:szCs w:val="20"/>
                <w:color w:val="auto"/>
              </w:rPr>
            </w:pPr>
            <w:r>
              <w:rPr>
                <w:rFonts w:ascii="Arial" w:cs="Arial" w:eastAsia="Arial" w:hAnsi="Arial"/>
                <w:sz w:val="14"/>
                <w:szCs w:val="14"/>
                <w:b w:val="1"/>
                <w:bCs w:val="1"/>
                <w:color w:val="FFFFFF"/>
              </w:rPr>
              <w:t>Value Realized</w:t>
            </w:r>
          </w:p>
        </w:tc>
      </w:tr>
      <w:tr>
        <w:trPr>
          <w:trHeight w:val="283"/>
        </w:trPr>
        <w:tc>
          <w:tcPr>
            <w:tcW w:w="362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3840" w:type="dxa"/>
            <w:vAlign w:val="bottom"/>
            <w:shd w:val="clear" w:color="auto" w:fill="0063A6"/>
          </w:tcPr>
          <w:p>
            <w:pPr>
              <w:jc w:val="center"/>
              <w:ind w:left="1602"/>
              <w:spacing w:after="0"/>
              <w:rPr>
                <w:sz w:val="20"/>
                <w:szCs w:val="20"/>
                <w:color w:val="auto"/>
              </w:rPr>
            </w:pPr>
            <w:r>
              <w:rPr>
                <w:rFonts w:ascii="Arial" w:cs="Arial" w:eastAsia="Arial" w:hAnsi="Arial"/>
                <w:sz w:val="14"/>
                <w:szCs w:val="14"/>
                <w:b w:val="1"/>
                <w:bCs w:val="1"/>
                <w:color w:val="FFFFFF"/>
              </w:rPr>
              <w:t>Vesting</w:t>
            </w:r>
          </w:p>
        </w:tc>
        <w:tc>
          <w:tcPr>
            <w:tcW w:w="21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on Vesting ($)</w:t>
            </w:r>
            <w:r>
              <w:rPr>
                <w:rFonts w:ascii="Arial" w:cs="Arial" w:eastAsia="Arial" w:hAnsi="Arial"/>
                <w:sz w:val="23"/>
                <w:szCs w:val="23"/>
                <w:b w:val="1"/>
                <w:bCs w:val="1"/>
                <w:color w:val="FFFFFF"/>
                <w:w w:val="98"/>
                <w:vertAlign w:val="superscript"/>
              </w:rPr>
              <w:t>(1)</w:t>
            </w:r>
          </w:p>
        </w:tc>
      </w:tr>
      <w:tr>
        <w:trPr>
          <w:trHeight w:val="291"/>
        </w:trPr>
        <w:tc>
          <w:tcPr>
            <w:tcW w:w="362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3840" w:type="dxa"/>
            <w:vAlign w:val="bottom"/>
            <w:shd w:val="clear" w:color="auto" w:fill="F2F2F2"/>
          </w:tcPr>
          <w:p>
            <w:pPr>
              <w:jc w:val="center"/>
              <w:ind w:left="1602"/>
              <w:spacing w:after="0"/>
              <w:rPr>
                <w:sz w:val="20"/>
                <w:szCs w:val="20"/>
                <w:color w:val="auto"/>
              </w:rPr>
            </w:pPr>
            <w:r>
              <w:rPr>
                <w:rFonts w:ascii="Arial" w:cs="Arial" w:eastAsia="Arial" w:hAnsi="Arial"/>
                <w:sz w:val="16"/>
                <w:szCs w:val="16"/>
                <w:color w:val="auto"/>
                <w:w w:val="99"/>
              </w:rPr>
              <w:t>—</w:t>
            </w:r>
          </w:p>
        </w:tc>
        <w:tc>
          <w:tcPr>
            <w:tcW w:w="21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r>
      <w:tr>
        <w:trPr>
          <w:trHeight w:val="87"/>
        </w:trPr>
        <w:tc>
          <w:tcPr>
            <w:tcW w:w="3620" w:type="dxa"/>
            <w:vAlign w:val="bottom"/>
            <w:shd w:val="clear" w:color="auto" w:fill="F2F2F2"/>
          </w:tcPr>
          <w:p>
            <w:pPr>
              <w:spacing w:after="0"/>
              <w:rPr>
                <w:sz w:val="7"/>
                <w:szCs w:val="7"/>
                <w:color w:val="auto"/>
              </w:rPr>
            </w:pPr>
          </w:p>
        </w:tc>
        <w:tc>
          <w:tcPr>
            <w:tcW w:w="3840" w:type="dxa"/>
            <w:vAlign w:val="bottom"/>
            <w:shd w:val="clear" w:color="auto" w:fill="F2F2F2"/>
          </w:tcPr>
          <w:p>
            <w:pPr>
              <w:spacing w:after="0"/>
              <w:rPr>
                <w:sz w:val="7"/>
                <w:szCs w:val="7"/>
                <w:color w:val="auto"/>
              </w:rPr>
            </w:pPr>
          </w:p>
        </w:tc>
        <w:tc>
          <w:tcPr>
            <w:tcW w:w="2100" w:type="dxa"/>
            <w:vAlign w:val="bottom"/>
            <w:shd w:val="clear" w:color="auto" w:fill="F2F2F2"/>
          </w:tcPr>
          <w:p>
            <w:pPr>
              <w:spacing w:after="0"/>
              <w:rPr>
                <w:sz w:val="7"/>
                <w:szCs w:val="7"/>
                <w:color w:val="auto"/>
              </w:rPr>
            </w:pPr>
          </w:p>
        </w:tc>
      </w:tr>
      <w:tr>
        <w:trPr>
          <w:trHeight w:val="291"/>
        </w:trPr>
        <w:tc>
          <w:tcPr>
            <w:tcW w:w="3620" w:type="dxa"/>
            <w:vAlign w:val="bottom"/>
          </w:tcPr>
          <w:p>
            <w:pPr>
              <w:ind w:left="80"/>
              <w:spacing w:after="0"/>
              <w:rPr>
                <w:sz w:val="20"/>
                <w:szCs w:val="20"/>
                <w:color w:val="auto"/>
              </w:rPr>
            </w:pPr>
            <w:r>
              <w:rPr>
                <w:rFonts w:ascii="Arial" w:cs="Arial" w:eastAsia="Arial" w:hAnsi="Arial"/>
                <w:sz w:val="16"/>
                <w:szCs w:val="16"/>
                <w:color w:val="auto"/>
              </w:rPr>
              <w:t>Timothy Regan</w:t>
            </w:r>
          </w:p>
        </w:tc>
        <w:tc>
          <w:tcPr>
            <w:tcW w:w="3840" w:type="dxa"/>
            <w:vAlign w:val="bottom"/>
          </w:tcPr>
          <w:p>
            <w:pPr>
              <w:jc w:val="right"/>
              <w:ind w:right="702"/>
              <w:spacing w:after="0"/>
              <w:rPr>
                <w:sz w:val="20"/>
                <w:szCs w:val="20"/>
                <w:color w:val="auto"/>
              </w:rPr>
            </w:pPr>
            <w:r>
              <w:rPr>
                <w:rFonts w:ascii="Arial" w:cs="Arial" w:eastAsia="Arial" w:hAnsi="Arial"/>
                <w:sz w:val="16"/>
                <w:szCs w:val="16"/>
                <w:color w:val="auto"/>
              </w:rPr>
              <w:t>72,923</w:t>
            </w:r>
          </w:p>
        </w:tc>
        <w:tc>
          <w:tcPr>
            <w:tcW w:w="2100" w:type="dxa"/>
            <w:vAlign w:val="bottom"/>
          </w:tcPr>
          <w:p>
            <w:pPr>
              <w:jc w:val="center"/>
              <w:spacing w:after="0"/>
              <w:rPr>
                <w:sz w:val="20"/>
                <w:szCs w:val="20"/>
                <w:color w:val="auto"/>
              </w:rPr>
            </w:pPr>
            <w:r>
              <w:rPr>
                <w:rFonts w:ascii="Arial" w:cs="Arial" w:eastAsia="Arial" w:hAnsi="Arial"/>
                <w:sz w:val="16"/>
                <w:szCs w:val="16"/>
                <w:color w:val="auto"/>
              </w:rPr>
              <w:t>1,443,118</w:t>
            </w:r>
          </w:p>
        </w:tc>
      </w:tr>
      <w:tr>
        <w:trPr>
          <w:trHeight w:val="87"/>
        </w:trPr>
        <w:tc>
          <w:tcPr>
            <w:tcW w:w="36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291"/>
        </w:trPr>
        <w:tc>
          <w:tcPr>
            <w:tcW w:w="3620" w:type="dxa"/>
            <w:vAlign w:val="bottom"/>
            <w:shd w:val="clear" w:color="auto" w:fill="F2F2F2"/>
          </w:tcPr>
          <w:p>
            <w:pPr>
              <w:ind w:left="80"/>
              <w:spacing w:after="0"/>
              <w:rPr>
                <w:sz w:val="20"/>
                <w:szCs w:val="20"/>
                <w:color w:val="auto"/>
              </w:rPr>
            </w:pPr>
            <w:r>
              <w:rPr>
                <w:rFonts w:ascii="Arial" w:cs="Arial" w:eastAsia="Arial" w:hAnsi="Arial"/>
                <w:sz w:val="16"/>
                <w:szCs w:val="16"/>
                <w:color w:val="auto"/>
              </w:rPr>
              <w:t>Timothy Young</w:t>
            </w:r>
          </w:p>
        </w:tc>
        <w:tc>
          <w:tcPr>
            <w:tcW w:w="3840" w:type="dxa"/>
            <w:vAlign w:val="bottom"/>
            <w:shd w:val="clear" w:color="auto" w:fill="F2F2F2"/>
          </w:tcPr>
          <w:p>
            <w:pPr>
              <w:jc w:val="center"/>
              <w:ind w:left="1622"/>
              <w:spacing w:after="0"/>
              <w:rPr>
                <w:sz w:val="20"/>
                <w:szCs w:val="20"/>
                <w:color w:val="auto"/>
              </w:rPr>
            </w:pPr>
            <w:r>
              <w:rPr>
                <w:rFonts w:ascii="Arial" w:cs="Arial" w:eastAsia="Arial" w:hAnsi="Arial"/>
                <w:sz w:val="16"/>
                <w:szCs w:val="16"/>
                <w:color w:val="auto"/>
              </w:rPr>
              <w:t>263,277</w:t>
            </w:r>
          </w:p>
        </w:tc>
        <w:tc>
          <w:tcPr>
            <w:tcW w:w="21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5,018,060</w:t>
            </w:r>
          </w:p>
        </w:tc>
      </w:tr>
      <w:tr>
        <w:trPr>
          <w:trHeight w:val="87"/>
        </w:trPr>
        <w:tc>
          <w:tcPr>
            <w:tcW w:w="3620" w:type="dxa"/>
            <w:vAlign w:val="bottom"/>
            <w:shd w:val="clear" w:color="auto" w:fill="F2F2F2"/>
          </w:tcPr>
          <w:p>
            <w:pPr>
              <w:spacing w:after="0"/>
              <w:rPr>
                <w:sz w:val="7"/>
                <w:szCs w:val="7"/>
                <w:color w:val="auto"/>
              </w:rPr>
            </w:pPr>
          </w:p>
        </w:tc>
        <w:tc>
          <w:tcPr>
            <w:tcW w:w="3840" w:type="dxa"/>
            <w:vAlign w:val="bottom"/>
            <w:shd w:val="clear" w:color="auto" w:fill="F2F2F2"/>
          </w:tcPr>
          <w:p>
            <w:pPr>
              <w:spacing w:after="0"/>
              <w:rPr>
                <w:sz w:val="7"/>
                <w:szCs w:val="7"/>
                <w:color w:val="auto"/>
              </w:rPr>
            </w:pPr>
          </w:p>
        </w:tc>
        <w:tc>
          <w:tcPr>
            <w:tcW w:w="2100" w:type="dxa"/>
            <w:vAlign w:val="bottom"/>
            <w:shd w:val="clear" w:color="auto" w:fill="F2F2F2"/>
          </w:tcPr>
          <w:p>
            <w:pPr>
              <w:spacing w:after="0"/>
              <w:rPr>
                <w:sz w:val="7"/>
                <w:szCs w:val="7"/>
                <w:color w:val="auto"/>
              </w:rPr>
            </w:pPr>
          </w:p>
        </w:tc>
      </w:tr>
      <w:tr>
        <w:trPr>
          <w:trHeight w:val="291"/>
        </w:trPr>
        <w:tc>
          <w:tcPr>
            <w:tcW w:w="3620" w:type="dxa"/>
            <w:vAlign w:val="bottom"/>
          </w:tcPr>
          <w:p>
            <w:pPr>
              <w:ind w:left="80"/>
              <w:spacing w:after="0"/>
              <w:rPr>
                <w:sz w:val="20"/>
                <w:szCs w:val="20"/>
                <w:color w:val="auto"/>
              </w:rPr>
            </w:pPr>
            <w:r>
              <w:rPr>
                <w:rFonts w:ascii="Arial" w:cs="Arial" w:eastAsia="Arial" w:hAnsi="Arial"/>
                <w:sz w:val="16"/>
                <w:szCs w:val="16"/>
                <w:color w:val="auto"/>
              </w:rPr>
              <w:t>Bart E. Volkmer</w:t>
            </w:r>
          </w:p>
        </w:tc>
        <w:tc>
          <w:tcPr>
            <w:tcW w:w="3840" w:type="dxa"/>
            <w:vAlign w:val="bottom"/>
          </w:tcPr>
          <w:p>
            <w:pPr>
              <w:jc w:val="center"/>
              <w:ind w:left="1622"/>
              <w:spacing w:after="0"/>
              <w:rPr>
                <w:sz w:val="20"/>
                <w:szCs w:val="20"/>
                <w:color w:val="auto"/>
              </w:rPr>
            </w:pPr>
            <w:r>
              <w:rPr>
                <w:rFonts w:ascii="Arial" w:cs="Arial" w:eastAsia="Arial" w:hAnsi="Arial"/>
                <w:sz w:val="16"/>
                <w:szCs w:val="16"/>
                <w:color w:val="auto"/>
              </w:rPr>
              <w:t>105,926</w:t>
            </w:r>
          </w:p>
        </w:tc>
        <w:tc>
          <w:tcPr>
            <w:tcW w:w="2100" w:type="dxa"/>
            <w:vAlign w:val="bottom"/>
          </w:tcPr>
          <w:p>
            <w:pPr>
              <w:jc w:val="center"/>
              <w:spacing w:after="0"/>
              <w:rPr>
                <w:sz w:val="20"/>
                <w:szCs w:val="20"/>
                <w:color w:val="auto"/>
              </w:rPr>
            </w:pPr>
            <w:r>
              <w:rPr>
                <w:rFonts w:ascii="Arial" w:cs="Arial" w:eastAsia="Arial" w:hAnsi="Arial"/>
                <w:sz w:val="16"/>
                <w:szCs w:val="16"/>
                <w:color w:val="auto"/>
              </w:rPr>
              <w:t>2,115,388</w:t>
            </w:r>
          </w:p>
        </w:tc>
      </w:tr>
      <w:tr>
        <w:trPr>
          <w:trHeight w:val="87"/>
        </w:trPr>
        <w:tc>
          <w:tcPr>
            <w:tcW w:w="36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291"/>
        </w:trPr>
        <w:tc>
          <w:tcPr>
            <w:tcW w:w="3620" w:type="dxa"/>
            <w:vAlign w:val="bottom"/>
            <w:shd w:val="clear" w:color="auto" w:fill="F2F2F2"/>
          </w:tcPr>
          <w:p>
            <w:pPr>
              <w:ind w:left="80"/>
              <w:spacing w:after="0"/>
              <w:rPr>
                <w:sz w:val="20"/>
                <w:szCs w:val="20"/>
                <w:color w:val="auto"/>
              </w:rPr>
            </w:pPr>
            <w:r>
              <w:rPr>
                <w:rFonts w:ascii="Arial" w:cs="Arial" w:eastAsia="Arial" w:hAnsi="Arial"/>
                <w:sz w:val="16"/>
                <w:szCs w:val="16"/>
                <w:color w:val="auto"/>
              </w:rPr>
              <w:t>Ajay V. Vashee</w:t>
            </w:r>
          </w:p>
        </w:tc>
        <w:tc>
          <w:tcPr>
            <w:tcW w:w="3840" w:type="dxa"/>
            <w:vAlign w:val="bottom"/>
            <w:shd w:val="clear" w:color="auto" w:fill="F2F2F2"/>
          </w:tcPr>
          <w:p>
            <w:pPr>
              <w:jc w:val="center"/>
              <w:ind w:left="1622"/>
              <w:spacing w:after="0"/>
              <w:rPr>
                <w:sz w:val="20"/>
                <w:szCs w:val="20"/>
                <w:color w:val="auto"/>
              </w:rPr>
            </w:pPr>
            <w:r>
              <w:rPr>
                <w:rFonts w:ascii="Arial" w:cs="Arial" w:eastAsia="Arial" w:hAnsi="Arial"/>
                <w:sz w:val="16"/>
                <w:szCs w:val="16"/>
                <w:color w:val="auto"/>
              </w:rPr>
              <w:t>139,630</w:t>
            </w:r>
          </w:p>
        </w:tc>
        <w:tc>
          <w:tcPr>
            <w:tcW w:w="21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2,834,133</w:t>
            </w:r>
          </w:p>
        </w:tc>
      </w:tr>
      <w:tr>
        <w:trPr>
          <w:trHeight w:val="87"/>
        </w:trPr>
        <w:tc>
          <w:tcPr>
            <w:tcW w:w="3620" w:type="dxa"/>
            <w:vAlign w:val="bottom"/>
            <w:shd w:val="clear" w:color="auto" w:fill="F2F2F2"/>
          </w:tcPr>
          <w:p>
            <w:pPr>
              <w:spacing w:after="0"/>
              <w:rPr>
                <w:sz w:val="7"/>
                <w:szCs w:val="7"/>
                <w:color w:val="auto"/>
              </w:rPr>
            </w:pPr>
          </w:p>
        </w:tc>
        <w:tc>
          <w:tcPr>
            <w:tcW w:w="3840" w:type="dxa"/>
            <w:vAlign w:val="bottom"/>
            <w:shd w:val="clear" w:color="auto" w:fill="F2F2F2"/>
          </w:tcPr>
          <w:p>
            <w:pPr>
              <w:spacing w:after="0"/>
              <w:rPr>
                <w:sz w:val="7"/>
                <w:szCs w:val="7"/>
                <w:color w:val="auto"/>
              </w:rPr>
            </w:pPr>
          </w:p>
        </w:tc>
        <w:tc>
          <w:tcPr>
            <w:tcW w:w="2100" w:type="dxa"/>
            <w:vAlign w:val="bottom"/>
            <w:shd w:val="clear" w:color="auto" w:fill="F2F2F2"/>
          </w:tcPr>
          <w:p>
            <w:pPr>
              <w:spacing w:after="0"/>
              <w:rPr>
                <w:sz w:val="7"/>
                <w:szCs w:val="7"/>
                <w:color w:val="auto"/>
              </w:rPr>
            </w:pPr>
          </w:p>
        </w:tc>
      </w:tr>
      <w:tr>
        <w:trPr>
          <w:trHeight w:val="291"/>
        </w:trPr>
        <w:tc>
          <w:tcPr>
            <w:tcW w:w="3620" w:type="dxa"/>
            <w:vAlign w:val="bottom"/>
          </w:tcPr>
          <w:p>
            <w:pPr>
              <w:ind w:left="80"/>
              <w:spacing w:after="0"/>
              <w:rPr>
                <w:sz w:val="20"/>
                <w:szCs w:val="20"/>
                <w:color w:val="auto"/>
              </w:rPr>
            </w:pPr>
            <w:r>
              <w:rPr>
                <w:rFonts w:ascii="Arial" w:cs="Arial" w:eastAsia="Arial" w:hAnsi="Arial"/>
                <w:sz w:val="16"/>
                <w:szCs w:val="16"/>
                <w:color w:val="auto"/>
              </w:rPr>
              <w:t>Olivia Nottebohm</w:t>
            </w:r>
          </w:p>
        </w:tc>
        <w:tc>
          <w:tcPr>
            <w:tcW w:w="3840" w:type="dxa"/>
            <w:vAlign w:val="bottom"/>
          </w:tcPr>
          <w:p>
            <w:pPr>
              <w:jc w:val="center"/>
              <w:ind w:left="1602"/>
              <w:spacing w:after="0"/>
              <w:rPr>
                <w:sz w:val="20"/>
                <w:szCs w:val="20"/>
                <w:color w:val="auto"/>
              </w:rPr>
            </w:pPr>
            <w:r>
              <w:rPr>
                <w:rFonts w:ascii="Arial" w:cs="Arial" w:eastAsia="Arial" w:hAnsi="Arial"/>
                <w:sz w:val="16"/>
                <w:szCs w:val="16"/>
                <w:color w:val="auto"/>
                <w:w w:val="99"/>
              </w:rPr>
              <w:t>—</w:t>
            </w:r>
          </w:p>
        </w:tc>
        <w:tc>
          <w:tcPr>
            <w:tcW w:w="2100" w:type="dxa"/>
            <w:vAlign w:val="bottom"/>
          </w:tcPr>
          <w:p>
            <w:pPr>
              <w:jc w:val="center"/>
              <w:spacing w:after="0"/>
              <w:rPr>
                <w:sz w:val="20"/>
                <w:szCs w:val="20"/>
                <w:color w:val="auto"/>
              </w:rPr>
            </w:pPr>
            <w:r>
              <w:rPr>
                <w:rFonts w:ascii="Arial" w:cs="Arial" w:eastAsia="Arial" w:hAnsi="Arial"/>
                <w:sz w:val="16"/>
                <w:szCs w:val="16"/>
                <w:color w:val="auto"/>
              </w:rPr>
              <w:t>—</w:t>
            </w:r>
          </w:p>
        </w:tc>
      </w:tr>
    </w:tbl>
    <w:p>
      <w:pPr>
        <w:spacing w:after="0" w:line="173" w:lineRule="exact"/>
        <w:rPr>
          <w:sz w:val="20"/>
          <w:szCs w:val="20"/>
          <w:color w:val="auto"/>
        </w:rPr>
      </w:pPr>
    </w:p>
    <w:p>
      <w:pPr>
        <w:ind w:left="244" w:right="140" w:hanging="244"/>
        <w:spacing w:after="0" w:line="207" w:lineRule="auto"/>
        <w:tabs>
          <w:tab w:leader="none" w:pos="244"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of Dropbox’s Class A common stock on the vest date (or, in the event the vest date occurs on a holiday or weekend, the closing price of Dropbox’s Class A common stock on the immediately preceding trading day).</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Potential Payments on Termination or Change in Control</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52"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In order to recruit and maintain a stable and effective management team, the compensation committee believes it is appropriate and necessary to provide assurance of certain severance and change in control benefits approved by the compensation committee, in consultation with Compensia. We entered into change in control and severance agreements with each of our named executive officers that provide for the severance and change in control benefits described below.</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Basic Severance</w:t>
      </w:r>
    </w:p>
    <w:p>
      <w:pPr>
        <w:spacing w:after="0" w:line="66" w:lineRule="exact"/>
        <w:rPr>
          <w:sz w:val="20"/>
          <w:szCs w:val="20"/>
          <w:color w:val="auto"/>
        </w:rPr>
      </w:pPr>
    </w:p>
    <w:p>
      <w:pPr>
        <w:ind w:left="4" w:right="320"/>
        <w:spacing w:after="0" w:line="253"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47" w:lineRule="exact"/>
        <w:rPr>
          <w:sz w:val="20"/>
          <w:szCs w:val="20"/>
          <w:color w:val="auto"/>
        </w:rPr>
      </w:pPr>
    </w:p>
    <w:p>
      <w:pPr>
        <w:ind w:left="284" w:hanging="284"/>
        <w:spacing w:after="0" w:line="260" w:lineRule="auto"/>
        <w:tabs>
          <w:tab w:leader="none" w:pos="284"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41" w:lineRule="exact"/>
        <w:rPr>
          <w:rFonts w:ascii="Arial" w:cs="Arial" w:eastAsia="Arial" w:hAnsi="Arial"/>
          <w:sz w:val="16"/>
          <w:szCs w:val="16"/>
          <w:color w:val="0063A6"/>
        </w:rPr>
      </w:pPr>
    </w:p>
    <w:p>
      <w:pPr>
        <w:jc w:val="both"/>
        <w:ind w:left="284" w:right="220" w:hanging="284"/>
        <w:spacing w:after="0" w:line="253" w:lineRule="auto"/>
        <w:tabs>
          <w:tab w:leader="none" w:pos="284"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47" w:lineRule="exact"/>
        <w:rPr>
          <w:rFonts w:ascii="Arial" w:cs="Arial" w:eastAsia="Arial" w:hAnsi="Arial"/>
          <w:sz w:val="16"/>
          <w:szCs w:val="16"/>
          <w:color w:val="0063A6"/>
        </w:rPr>
      </w:pPr>
    </w:p>
    <w:p>
      <w:pPr>
        <w:ind w:left="284" w:right="120" w:hanging="284"/>
        <w:spacing w:after="0" w:line="253" w:lineRule="auto"/>
        <w:tabs>
          <w:tab w:leader="none" w:pos="284"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 and</w:t>
      </w:r>
    </w:p>
    <w:p>
      <w:pPr>
        <w:spacing w:after="0" w:line="147" w:lineRule="exact"/>
        <w:rPr>
          <w:rFonts w:ascii="Arial" w:cs="Arial" w:eastAsia="Arial" w:hAnsi="Arial"/>
          <w:sz w:val="16"/>
          <w:szCs w:val="16"/>
          <w:color w:val="0063A6"/>
        </w:rPr>
      </w:pPr>
    </w:p>
    <w:p>
      <w:pPr>
        <w:ind w:left="284" w:right="260" w:hanging="284"/>
        <w:spacing w:after="0" w:line="260" w:lineRule="auto"/>
        <w:tabs>
          <w:tab w:leader="none" w:pos="284"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in the case of Mr. Regan, Mr. Young and Ms. Nottebohm, 3 months’ accelerated vesting of the unvested portion of outstanding time-based equity awards.</w:t>
      </w:r>
    </w:p>
    <w:p>
      <w:pPr>
        <w:spacing w:after="0" w:line="141"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80" w:lineRule="exact"/>
        <w:rPr>
          <w:sz w:val="20"/>
          <w:szCs w:val="20"/>
          <w:color w:val="auto"/>
        </w:rPr>
      </w:pPr>
    </w:p>
    <w:p>
      <w:pPr>
        <w:ind w:left="524" w:hanging="524"/>
        <w:spacing w:after="0"/>
        <w:tabs>
          <w:tab w:leader="none" w:pos="524"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6" w:name="page57"/>
    <w:bookmarkEnd w:id="5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Change in Control Severance</w:t>
      </w:r>
    </w:p>
    <w:p>
      <w:pPr>
        <w:spacing w:after="0" w:line="52" w:lineRule="exact"/>
        <w:rPr>
          <w:sz w:val="20"/>
          <w:szCs w:val="20"/>
          <w:color w:val="auto"/>
        </w:rPr>
      </w:pPr>
    </w:p>
    <w:p>
      <w:pPr>
        <w:ind w:left="720" w:right="820"/>
        <w:spacing w:after="0" w:line="251"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 Control Period</w:t>
      </w:r>
      <w:r>
        <w:rPr>
          <w:rFonts w:ascii="Arial" w:cs="Arial" w:eastAsia="Arial" w:hAnsi="Arial"/>
          <w:sz w:val="16"/>
          <w:szCs w:val="16"/>
          <w:color w:val="auto"/>
        </w:rPr>
        <w:t>”), a named executive officer’s employment is terminated by us other than for cause, death, or disability or they resign for “good reason” (as defined in their change in control and severance agreement), they will be entitled to the following benefits:</w:t>
      </w:r>
    </w:p>
    <w:p>
      <w:pPr>
        <w:spacing w:after="0" w:line="148" w:lineRule="exact"/>
        <w:rPr>
          <w:sz w:val="20"/>
          <w:szCs w:val="20"/>
          <w:color w:val="auto"/>
        </w:rPr>
      </w:pPr>
    </w:p>
    <w:p>
      <w:pPr>
        <w:jc w:val="both"/>
        <w:ind w:left="1000" w:right="820" w:hanging="284"/>
        <w:spacing w:after="0" w:line="253" w:lineRule="auto"/>
        <w:tabs>
          <w:tab w:leader="none" w:pos="100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47" w:lineRule="exact"/>
        <w:rPr>
          <w:rFonts w:ascii="Arial" w:cs="Arial" w:eastAsia="Arial" w:hAnsi="Arial"/>
          <w:sz w:val="16"/>
          <w:szCs w:val="16"/>
          <w:color w:val="0063A6"/>
        </w:rPr>
      </w:pPr>
    </w:p>
    <w:p>
      <w:pPr>
        <w:ind w:left="1000" w:hanging="284"/>
        <w:spacing w:after="0"/>
        <w:tabs>
          <w:tab w:leader="none" w:pos="100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bonus (for the year of their termination);</w:t>
      </w:r>
    </w:p>
    <w:p>
      <w:pPr>
        <w:spacing w:after="0" w:line="167" w:lineRule="exact"/>
        <w:rPr>
          <w:rFonts w:ascii="Arial" w:cs="Arial" w:eastAsia="Arial" w:hAnsi="Arial"/>
          <w:sz w:val="16"/>
          <w:szCs w:val="16"/>
          <w:color w:val="0063A6"/>
        </w:rPr>
      </w:pPr>
    </w:p>
    <w:p>
      <w:pPr>
        <w:jc w:val="both"/>
        <w:ind w:left="1000" w:right="900" w:hanging="284"/>
        <w:spacing w:after="0" w:line="253" w:lineRule="auto"/>
        <w:tabs>
          <w:tab w:leader="none" w:pos="100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47" w:lineRule="exact"/>
        <w:rPr>
          <w:rFonts w:ascii="Arial" w:cs="Arial" w:eastAsia="Arial" w:hAnsi="Arial"/>
          <w:sz w:val="16"/>
          <w:szCs w:val="16"/>
          <w:color w:val="0063A6"/>
        </w:rPr>
      </w:pPr>
    </w:p>
    <w:p>
      <w:pPr>
        <w:ind w:left="1000" w:right="780" w:hanging="284"/>
        <w:spacing w:after="0" w:line="253" w:lineRule="auto"/>
        <w:tabs>
          <w:tab w:leader="none" w:pos="100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47" w:lineRule="exact"/>
        <w:rPr>
          <w:sz w:val="20"/>
          <w:szCs w:val="20"/>
          <w:color w:val="auto"/>
        </w:rPr>
      </w:pPr>
    </w:p>
    <w:p>
      <w:pPr>
        <w:ind w:left="720" w:right="92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1" w:lineRule="exact"/>
        <w:rPr>
          <w:sz w:val="20"/>
          <w:szCs w:val="20"/>
          <w:color w:val="auto"/>
        </w:rPr>
      </w:pPr>
    </w:p>
    <w:p>
      <w:pPr>
        <w:ind w:left="720" w:right="840"/>
        <w:spacing w:after="0" w:line="249"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Certain Equity Awards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Andrew Houston Co-Founder Grant</w:t>
      </w:r>
    </w:p>
    <w:p>
      <w:pPr>
        <w:spacing w:after="0" w:line="66" w:lineRule="exact"/>
        <w:rPr>
          <w:sz w:val="20"/>
          <w:szCs w:val="20"/>
          <w:color w:val="auto"/>
        </w:rPr>
      </w:pPr>
    </w:p>
    <w:p>
      <w:pPr>
        <w:ind w:left="720" w:right="820"/>
        <w:spacing w:after="0" w:line="250"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Timothy Young 2020 Performance-Based Restricted Stock Award</w:t>
      </w:r>
    </w:p>
    <w:p>
      <w:pPr>
        <w:spacing w:after="0" w:line="52" w:lineRule="exact"/>
        <w:rPr>
          <w:sz w:val="20"/>
          <w:szCs w:val="20"/>
          <w:color w:val="auto"/>
        </w:rPr>
      </w:pPr>
    </w:p>
    <w:p>
      <w:pPr>
        <w:ind w:left="720" w:right="1000"/>
        <w:spacing w:after="0" w:line="251" w:lineRule="auto"/>
        <w:rPr>
          <w:sz w:val="20"/>
          <w:szCs w:val="20"/>
          <w:color w:val="auto"/>
        </w:rPr>
      </w:pPr>
      <w:r>
        <w:rPr>
          <w:rFonts w:ascii="Arial" w:cs="Arial" w:eastAsia="Arial" w:hAnsi="Arial"/>
          <w:sz w:val="16"/>
          <w:szCs w:val="16"/>
          <w:color w:val="auto"/>
        </w:rPr>
        <w:t>The vesting acceleration provisions under Mr. Young’s control and severance agreement described above will not apply to the performance-based RSA granted to Mr. Young in November 2020, and instead, the shares subject to the performance-based RSA may vest in connection with certain terminations of Mr. Young’s employment and/or a “change in control” (as defined in our 2018 Equity Incentive Plan), as described below.</w:t>
      </w:r>
    </w:p>
    <w:p>
      <w:pPr>
        <w:spacing w:after="0" w:line="148"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In the event of a change in control prior to the completion of the performance period of the performance-based RSA, Mr. Young will be eligible to vest in additional shares subject to the tranche for any uncompleted measurement period(s) if the per share deal price in the change in control (which will be treated as the stock price) causes a stock price goal that has not previously been achieved to be satisfied, in which case the shares that become eligible to vest due to the achievement of that stock price goal will vest immediately prior to the change in control, subject to Mr. Young’s continued service through the date of the change in control. Additionally, if the per share deal price in the change in control is greater than the stock price goal corresponding to a 150% multiplier and falls between a stock price goal that has been achieved and one that has not, then a portion of the shares that would have vested upon achievement of the higher stock price goal for any uncompleted measurement period(s) will vest based on a linear interpolation between each of these stock price goals. In addition, if a change in control occurs after the completion of a measurement period but before the vesting date of the shares subject to the tranche for that measurement period, the shares subject to that tranche that became eligible to vest will vest immediately prior to the change in control, subject to Mr. Young’s continued service through the date of the change in control.</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53</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7" w:name="page58"/>
    <w:bookmarkEnd w:id="5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If Mr. Young experiences a termination of his employment with us that qualifies him to receive the severance and change in control benefits described above in “</w:t>
      </w:r>
      <w:r>
        <w:rPr>
          <w:rFonts w:ascii="Arial" w:cs="Arial" w:eastAsia="Arial" w:hAnsi="Arial"/>
          <w:sz w:val="16"/>
          <w:szCs w:val="16"/>
          <w:i w:val="1"/>
          <w:iCs w:val="1"/>
          <w:color w:val="auto"/>
        </w:rPr>
        <w:t>Change in Control Severance</w:t>
      </w:r>
      <w:r>
        <w:rPr>
          <w:rFonts w:ascii="Arial" w:cs="Arial" w:eastAsia="Arial" w:hAnsi="Arial"/>
          <w:sz w:val="16"/>
          <w:szCs w:val="16"/>
          <w:color w:val="auto"/>
        </w:rPr>
        <w:t>” and such termination occurs before the vesting date of a tranche, then the number of shares allocated to such tranche that will vest as of immediately before the change in control will be determined as described in the previous paragraph as if Mr. Young had remained employed by us through the date of the change in control, subject to Mr. Young satisfying the conditions to receive such severance and change in control benefits under his change in control and severance agreement.</w:t>
      </w:r>
    </w:p>
    <w:p>
      <w:pPr>
        <w:spacing w:after="0" w:line="151"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If Mr. Young experiences a termination of his employment with us that qualifies him to receive the severance and change in control benefits described above in the “</w:t>
      </w:r>
      <w:r>
        <w:rPr>
          <w:rFonts w:ascii="Arial" w:cs="Arial" w:eastAsia="Arial" w:hAnsi="Arial"/>
          <w:sz w:val="16"/>
          <w:szCs w:val="16"/>
          <w:i w:val="1"/>
          <w:iCs w:val="1"/>
          <w:color w:val="auto"/>
        </w:rPr>
        <w:t>Basic Severance</w:t>
      </w:r>
      <w:r>
        <w:rPr>
          <w:rFonts w:ascii="Arial" w:cs="Arial" w:eastAsia="Arial" w:hAnsi="Arial"/>
          <w:sz w:val="16"/>
          <w:szCs w:val="16"/>
          <w:color w:val="auto"/>
        </w:rPr>
        <w:t>” described above and such termination occurs after the commencement of a measurement period but before the vesting date of the tranche relating to such measurement period, then 25% of the number of shares allocated to that tranche that became eligible to vest (or otherwise would have become eligible to vest had Mr. Young remained employed through the end of the measurement period or the date of a change in control, as applicable) based on the actual achievement of the stock price goals for such measurement period will vest on the earlier of the vesting date for the measurement period or a change in control, subject to Mr. Young satisfying the conditions to receive such severance and change in control benefits under his control and severance agreement.</w:t>
      </w:r>
    </w:p>
    <w:p>
      <w:pPr>
        <w:spacing w:after="0" w:line="34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Ms. Nottebohm’s Separation</w:t>
      </w:r>
    </w:p>
    <w:p>
      <w:pPr>
        <w:spacing w:after="0" w:line="66" w:lineRule="exact"/>
        <w:rPr>
          <w:sz w:val="20"/>
          <w:szCs w:val="20"/>
          <w:color w:val="auto"/>
        </w:rPr>
      </w:pPr>
    </w:p>
    <w:p>
      <w:pPr>
        <w:ind w:left="4" w:right="240"/>
        <w:spacing w:after="0" w:line="260" w:lineRule="auto"/>
        <w:rPr>
          <w:sz w:val="20"/>
          <w:szCs w:val="20"/>
          <w:color w:val="auto"/>
        </w:rPr>
      </w:pPr>
      <w:r>
        <w:rPr>
          <w:rFonts w:ascii="Arial" w:cs="Arial" w:eastAsia="Arial" w:hAnsi="Arial"/>
          <w:sz w:val="16"/>
          <w:szCs w:val="16"/>
          <w:color w:val="auto"/>
        </w:rPr>
        <w:t>In connection with Ms. Nottebohm’s resignation as our chief operating officer, we entered into a separation and release agreement (the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with her in January 2021. Under the Separation Agreement, Ms. Nottebohm received:</w:t>
      </w:r>
    </w:p>
    <w:p>
      <w:pPr>
        <w:spacing w:after="0" w:line="141" w:lineRule="exact"/>
        <w:rPr>
          <w:sz w:val="20"/>
          <w:szCs w:val="20"/>
          <w:color w:val="auto"/>
        </w:rPr>
      </w:pPr>
    </w:p>
    <w:p>
      <w:pPr>
        <w:ind w:left="284" w:hanging="284"/>
        <w:spacing w:after="0"/>
        <w:tabs>
          <w:tab w:leader="none" w:pos="284"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a lump-sum transition payment of $500,000; and</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accelerated vesting of her outstanding and unvested equity awards as if she had remained employed through February 15, 2021.</w:t>
      </w:r>
    </w:p>
    <w:p>
      <w:pPr>
        <w:spacing w:after="0" w:line="167"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In exchange for these payments, Ms. Nottebohm executed a general release of claims in favor of Dropbox and its affiliates and, as set forth in the Separation Agreement, confirmed her confidentiality obligations to us. The Separation Agreement also contained customary non-disparagement covenants.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the payments Ms. Nottebohm was entitled to receive in connection with her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668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7585" cy="66865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360" w:type="dxa"/>
            <w:vAlign w:val="bottom"/>
            <w:shd w:val="clear" w:color="auto" w:fill="0063A6"/>
          </w:tcPr>
          <w:p>
            <w:pPr>
              <w:spacing w:after="0"/>
              <w:rPr>
                <w:sz w:val="22"/>
                <w:szCs w:val="22"/>
                <w:color w:val="auto"/>
              </w:rPr>
            </w:pPr>
          </w:p>
        </w:tc>
        <w:tc>
          <w:tcPr>
            <w:tcW w:w="3700" w:type="dxa"/>
            <w:vAlign w:val="bottom"/>
            <w:shd w:val="clear" w:color="auto" w:fill="0063A6"/>
          </w:tcPr>
          <w:p>
            <w:pPr>
              <w:spacing w:after="0"/>
              <w:rPr>
                <w:sz w:val="22"/>
                <w:szCs w:val="22"/>
                <w:color w:val="auto"/>
              </w:rPr>
            </w:pPr>
          </w:p>
        </w:tc>
        <w:tc>
          <w:tcPr>
            <w:tcW w:w="15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940" w:type="dxa"/>
            <w:vAlign w:val="bottom"/>
            <w:shd w:val="clear" w:color="auto" w:fill="0063A6"/>
          </w:tcPr>
          <w:p>
            <w:pPr>
              <w:spacing w:after="0"/>
              <w:rPr>
                <w:sz w:val="22"/>
                <w:szCs w:val="22"/>
                <w:color w:val="auto"/>
              </w:rPr>
            </w:pPr>
          </w:p>
        </w:tc>
      </w:tr>
      <w:tr>
        <w:trPr>
          <w:trHeight w:val="148"/>
        </w:trPr>
        <w:tc>
          <w:tcPr>
            <w:tcW w:w="3360" w:type="dxa"/>
            <w:vAlign w:val="bottom"/>
            <w:shd w:val="clear" w:color="auto" w:fill="0063A6"/>
          </w:tcPr>
          <w:p>
            <w:pPr>
              <w:spacing w:after="0"/>
              <w:rPr>
                <w:sz w:val="12"/>
                <w:szCs w:val="12"/>
                <w:color w:val="auto"/>
              </w:rPr>
            </w:pPr>
          </w:p>
        </w:tc>
        <w:tc>
          <w:tcPr>
            <w:tcW w:w="3700" w:type="dxa"/>
            <w:vAlign w:val="bottom"/>
            <w:shd w:val="clear" w:color="auto" w:fill="0063A6"/>
          </w:tcPr>
          <w:p>
            <w:pPr>
              <w:spacing w:after="0"/>
              <w:rPr>
                <w:sz w:val="12"/>
                <w:szCs w:val="12"/>
                <w:color w:val="auto"/>
              </w:rPr>
            </w:pPr>
          </w:p>
        </w:tc>
        <w:tc>
          <w:tcPr>
            <w:tcW w:w="156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Accelerated</w:t>
            </w:r>
          </w:p>
        </w:tc>
        <w:tc>
          <w:tcPr>
            <w:tcW w:w="940" w:type="dxa"/>
            <w:vAlign w:val="bottom"/>
            <w:shd w:val="clear" w:color="auto" w:fill="0063A6"/>
          </w:tcPr>
          <w:p>
            <w:pPr>
              <w:spacing w:after="0"/>
              <w:rPr>
                <w:sz w:val="12"/>
                <w:szCs w:val="12"/>
                <w:color w:val="auto"/>
              </w:rPr>
            </w:pPr>
          </w:p>
        </w:tc>
      </w:tr>
      <w:tr>
        <w:trPr>
          <w:trHeight w:val="283"/>
        </w:trPr>
        <w:tc>
          <w:tcPr>
            <w:tcW w:w="336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3700" w:type="dxa"/>
            <w:vAlign w:val="bottom"/>
            <w:shd w:val="clear" w:color="auto" w:fill="0063A6"/>
          </w:tcPr>
          <w:p>
            <w:pPr>
              <w:jc w:val="center"/>
              <w:ind w:left="1884"/>
              <w:spacing w:after="0"/>
              <w:rPr>
                <w:sz w:val="20"/>
                <w:szCs w:val="20"/>
                <w:color w:val="auto"/>
              </w:rPr>
            </w:pPr>
            <w:r>
              <w:rPr>
                <w:rFonts w:ascii="Arial" w:cs="Arial" w:eastAsia="Arial" w:hAnsi="Arial"/>
                <w:sz w:val="14"/>
                <w:szCs w:val="14"/>
                <w:b w:val="1"/>
                <w:bCs w:val="1"/>
                <w:color w:val="FFFFFF"/>
              </w:rPr>
              <w:t>Transition Payment ($)</w:t>
            </w:r>
          </w:p>
        </w:tc>
        <w:tc>
          <w:tcPr>
            <w:tcW w:w="15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Equity Awards ($)</w:t>
            </w:r>
            <w:r>
              <w:rPr>
                <w:rFonts w:ascii="Arial" w:cs="Arial" w:eastAsia="Arial" w:hAnsi="Arial"/>
                <w:sz w:val="23"/>
                <w:szCs w:val="23"/>
                <w:b w:val="1"/>
                <w:bCs w:val="1"/>
                <w:color w:val="FFFFFF"/>
                <w:w w:val="99"/>
                <w:vertAlign w:val="superscript"/>
              </w:rPr>
              <w:t>(1)</w:t>
            </w: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Total ($)</w:t>
            </w:r>
          </w:p>
        </w:tc>
      </w:tr>
      <w:tr>
        <w:trPr>
          <w:trHeight w:val="291"/>
        </w:trPr>
        <w:tc>
          <w:tcPr>
            <w:tcW w:w="3360" w:type="dxa"/>
            <w:vAlign w:val="bottom"/>
            <w:shd w:val="clear" w:color="auto" w:fill="F2F2F2"/>
          </w:tcPr>
          <w:p>
            <w:pPr>
              <w:ind w:left="60"/>
              <w:spacing w:after="0"/>
              <w:rPr>
                <w:sz w:val="20"/>
                <w:szCs w:val="20"/>
                <w:color w:val="auto"/>
              </w:rPr>
            </w:pPr>
            <w:r>
              <w:rPr>
                <w:rFonts w:ascii="Arial" w:cs="Arial" w:eastAsia="Arial" w:hAnsi="Arial"/>
                <w:sz w:val="16"/>
                <w:szCs w:val="16"/>
                <w:color w:val="auto"/>
              </w:rPr>
              <w:t>Olivia Nottebohm</w:t>
            </w:r>
          </w:p>
        </w:tc>
        <w:tc>
          <w:tcPr>
            <w:tcW w:w="3700" w:type="dxa"/>
            <w:vAlign w:val="bottom"/>
            <w:shd w:val="clear" w:color="auto" w:fill="F2F2F2"/>
          </w:tcPr>
          <w:p>
            <w:pPr>
              <w:jc w:val="right"/>
              <w:ind w:right="504"/>
              <w:spacing w:after="0"/>
              <w:rPr>
                <w:sz w:val="20"/>
                <w:szCs w:val="20"/>
                <w:color w:val="auto"/>
              </w:rPr>
            </w:pPr>
            <w:r>
              <w:rPr>
                <w:rFonts w:ascii="Arial" w:cs="Arial" w:eastAsia="Arial" w:hAnsi="Arial"/>
                <w:sz w:val="16"/>
                <w:szCs w:val="16"/>
                <w:color w:val="auto"/>
              </w:rPr>
              <w:t>500,000</w:t>
            </w:r>
          </w:p>
        </w:tc>
        <w:tc>
          <w:tcPr>
            <w:tcW w:w="15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5,245,960</w:t>
            </w:r>
          </w:p>
        </w:tc>
        <w:tc>
          <w:tcPr>
            <w:tcW w:w="940" w:type="dxa"/>
            <w:vAlign w:val="bottom"/>
            <w:shd w:val="clear" w:color="auto" w:fill="F2F2F2"/>
          </w:tcPr>
          <w:p>
            <w:pPr>
              <w:jc w:val="right"/>
              <w:ind w:right="44"/>
              <w:spacing w:after="0"/>
              <w:rPr>
                <w:sz w:val="20"/>
                <w:szCs w:val="20"/>
                <w:color w:val="auto"/>
              </w:rPr>
            </w:pPr>
            <w:r>
              <w:rPr>
                <w:rFonts w:ascii="Arial" w:cs="Arial" w:eastAsia="Arial" w:hAnsi="Arial"/>
                <w:sz w:val="16"/>
                <w:szCs w:val="16"/>
                <w:color w:val="auto"/>
              </w:rPr>
              <w:t>5,745,960</w:t>
            </w:r>
          </w:p>
        </w:tc>
      </w:tr>
      <w:tr>
        <w:trPr>
          <w:trHeight w:val="60"/>
        </w:trPr>
        <w:tc>
          <w:tcPr>
            <w:tcW w:w="3360" w:type="dxa"/>
            <w:vAlign w:val="bottom"/>
            <w:shd w:val="clear" w:color="auto" w:fill="F2F2F2"/>
          </w:tcPr>
          <w:p>
            <w:pPr>
              <w:spacing w:after="0"/>
              <w:rPr>
                <w:sz w:val="5"/>
                <w:szCs w:val="5"/>
                <w:color w:val="auto"/>
              </w:rPr>
            </w:pPr>
          </w:p>
        </w:tc>
        <w:tc>
          <w:tcPr>
            <w:tcW w:w="3700" w:type="dxa"/>
            <w:vAlign w:val="bottom"/>
            <w:shd w:val="clear" w:color="auto" w:fill="F2F2F2"/>
          </w:tcPr>
          <w:p>
            <w:pPr>
              <w:spacing w:after="0"/>
              <w:rPr>
                <w:sz w:val="5"/>
                <w:szCs w:val="5"/>
                <w:color w:val="auto"/>
              </w:rPr>
            </w:pPr>
          </w:p>
        </w:tc>
        <w:tc>
          <w:tcPr>
            <w:tcW w:w="156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r>
    </w:tbl>
    <w:p>
      <w:pPr>
        <w:spacing w:after="0" w:line="32" w:lineRule="exact"/>
        <w:rPr>
          <w:sz w:val="20"/>
          <w:szCs w:val="20"/>
          <w:color w:val="auto"/>
        </w:rPr>
      </w:pPr>
    </w:p>
    <w:p>
      <w:pPr>
        <w:ind w:left="244" w:hanging="244"/>
        <w:spacing w:after="0"/>
        <w:tabs>
          <w:tab w:leader="none" w:pos="244"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Value based on a per share price of $24.84, which was the closing price as reported on February 5, 2021, the date of acceleration.</w:t>
      </w:r>
    </w:p>
    <w:p>
      <w:pPr>
        <w:spacing w:after="0" w:line="31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Amount of Payments Upon Termination at 2020 Year-End</w:t>
      </w:r>
    </w:p>
    <w:p>
      <w:pPr>
        <w:spacing w:after="0" w:line="52"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6077585" cy="13544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7585" cy="1354455"/>
                    </a:xfrm>
                    <a:prstGeom prst="rect">
                      <a:avLst/>
                    </a:prstGeom>
                    <a:noFill/>
                  </pic:spPr>
                </pic:pic>
              </a:graphicData>
            </a:graphic>
          </wp:anchor>
        </w:drawing>
      </w:r>
    </w:p>
    <w:p>
      <w:pPr>
        <w:spacing w:after="0" w:line="44"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360" w:type="dxa"/>
            <w:vAlign w:val="bottom"/>
            <w:shd w:val="clear" w:color="auto" w:fill="0063A6"/>
          </w:tcPr>
          <w:p>
            <w:pPr>
              <w:spacing w:after="0"/>
              <w:rPr>
                <w:sz w:val="22"/>
                <w:szCs w:val="22"/>
                <w:color w:val="auto"/>
              </w:rPr>
            </w:pPr>
          </w:p>
        </w:tc>
        <w:tc>
          <w:tcPr>
            <w:tcW w:w="1960" w:type="dxa"/>
            <w:vAlign w:val="bottom"/>
            <w:shd w:val="clear" w:color="auto" w:fill="0063A6"/>
          </w:tcPr>
          <w:p>
            <w:pPr>
              <w:spacing w:after="0"/>
              <w:rPr>
                <w:sz w:val="22"/>
                <w:szCs w:val="2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Cash</w:t>
            </w: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60" w:type="dxa"/>
            <w:vAlign w:val="bottom"/>
            <w:shd w:val="clear" w:color="auto" w:fill="0063A6"/>
          </w:tcPr>
          <w:p>
            <w:pPr>
              <w:spacing w:after="0"/>
              <w:rPr>
                <w:sz w:val="22"/>
                <w:szCs w:val="22"/>
                <w:color w:val="auto"/>
              </w:rPr>
            </w:pPr>
          </w:p>
        </w:tc>
        <w:tc>
          <w:tcPr>
            <w:tcW w:w="1120" w:type="dxa"/>
            <w:vAlign w:val="bottom"/>
            <w:shd w:val="clear" w:color="auto" w:fill="0063A6"/>
          </w:tcPr>
          <w:p>
            <w:pPr>
              <w:spacing w:after="0"/>
              <w:rPr>
                <w:sz w:val="22"/>
                <w:szCs w:val="22"/>
                <w:color w:val="auto"/>
              </w:rPr>
            </w:pPr>
          </w:p>
        </w:tc>
      </w:tr>
      <w:tr>
        <w:trPr>
          <w:trHeight w:val="162"/>
        </w:trPr>
        <w:tc>
          <w:tcPr>
            <w:tcW w:w="2360" w:type="dxa"/>
            <w:vAlign w:val="bottom"/>
            <w:shd w:val="clear" w:color="auto" w:fill="0063A6"/>
          </w:tcPr>
          <w:p>
            <w:pPr>
              <w:spacing w:after="0"/>
              <w:rPr>
                <w:sz w:val="14"/>
                <w:szCs w:val="14"/>
                <w:color w:val="auto"/>
              </w:rPr>
            </w:pPr>
          </w:p>
        </w:tc>
        <w:tc>
          <w:tcPr>
            <w:tcW w:w="1960" w:type="dxa"/>
            <w:vAlign w:val="bottom"/>
            <w:shd w:val="clear" w:color="auto" w:fill="0063A6"/>
          </w:tcPr>
          <w:p>
            <w:pPr>
              <w:jc w:val="center"/>
              <w:ind w:left="503"/>
              <w:spacing w:after="0"/>
              <w:rPr>
                <w:sz w:val="20"/>
                <w:szCs w:val="20"/>
                <w:color w:val="auto"/>
              </w:rPr>
            </w:pPr>
            <w:r>
              <w:rPr>
                <w:rFonts w:ascii="Arial" w:cs="Arial" w:eastAsia="Arial" w:hAnsi="Arial"/>
                <w:sz w:val="14"/>
                <w:szCs w:val="14"/>
                <w:b w:val="1"/>
                <w:bCs w:val="1"/>
                <w:color w:val="FFFFFF"/>
              </w:rPr>
              <w:t>Base Salary</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Bonus</w:t>
            </w: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Accelerated</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120" w:type="dxa"/>
            <w:vAlign w:val="bottom"/>
            <w:shd w:val="clear" w:color="auto" w:fill="0063A6"/>
          </w:tcPr>
          <w:p>
            <w:pPr>
              <w:spacing w:after="0"/>
              <w:rPr>
                <w:sz w:val="14"/>
                <w:szCs w:val="14"/>
                <w:color w:val="auto"/>
              </w:rPr>
            </w:pPr>
          </w:p>
        </w:tc>
      </w:tr>
      <w:tr>
        <w:trPr>
          <w:trHeight w:val="148"/>
        </w:trPr>
        <w:tc>
          <w:tcPr>
            <w:tcW w:w="2360" w:type="dxa"/>
            <w:vAlign w:val="bottom"/>
            <w:shd w:val="clear" w:color="auto" w:fill="0063A6"/>
          </w:tcPr>
          <w:p>
            <w:pPr>
              <w:spacing w:after="0"/>
              <w:rPr>
                <w:sz w:val="12"/>
                <w:szCs w:val="12"/>
                <w:color w:val="auto"/>
              </w:rPr>
            </w:pPr>
          </w:p>
        </w:tc>
        <w:tc>
          <w:tcPr>
            <w:tcW w:w="1960" w:type="dxa"/>
            <w:vAlign w:val="bottom"/>
            <w:shd w:val="clear" w:color="auto" w:fill="0063A6"/>
          </w:tcPr>
          <w:p>
            <w:pPr>
              <w:jc w:val="center"/>
              <w:ind w:left="523"/>
              <w:spacing w:after="0" w:line="148" w:lineRule="exact"/>
              <w:rPr>
                <w:sz w:val="20"/>
                <w:szCs w:val="20"/>
                <w:color w:val="auto"/>
              </w:rPr>
            </w:pPr>
            <w:r>
              <w:rPr>
                <w:rFonts w:ascii="Arial" w:cs="Arial" w:eastAsia="Arial" w:hAnsi="Arial"/>
                <w:sz w:val="14"/>
                <w:szCs w:val="14"/>
                <w:b w:val="1"/>
                <w:bCs w:val="1"/>
                <w:color w:val="FFFFFF"/>
              </w:rPr>
              <w:t>Component</w:t>
            </w:r>
          </w:p>
        </w:tc>
        <w:tc>
          <w:tcPr>
            <w:tcW w:w="13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Component</w:t>
            </w:r>
          </w:p>
        </w:tc>
        <w:tc>
          <w:tcPr>
            <w:tcW w:w="15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Equity Awards</w:t>
            </w:r>
          </w:p>
        </w:tc>
        <w:tc>
          <w:tcPr>
            <w:tcW w:w="116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Benefits</w:t>
            </w:r>
          </w:p>
        </w:tc>
        <w:tc>
          <w:tcPr>
            <w:tcW w:w="1120" w:type="dxa"/>
            <w:vAlign w:val="bottom"/>
            <w:shd w:val="clear" w:color="auto" w:fill="0063A6"/>
          </w:tcPr>
          <w:p>
            <w:pPr>
              <w:spacing w:after="0"/>
              <w:rPr>
                <w:sz w:val="12"/>
                <w:szCs w:val="12"/>
                <w:color w:val="auto"/>
              </w:rPr>
            </w:pPr>
          </w:p>
        </w:tc>
      </w:tr>
      <w:tr>
        <w:trPr>
          <w:trHeight w:val="257"/>
        </w:trPr>
        <w:tc>
          <w:tcPr>
            <w:tcW w:w="236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960" w:type="dxa"/>
            <w:vAlign w:val="bottom"/>
            <w:shd w:val="clear" w:color="auto" w:fill="0063A6"/>
          </w:tcPr>
          <w:p>
            <w:pPr>
              <w:jc w:val="center"/>
              <w:ind w:left="543"/>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63A6"/>
          </w:tcPr>
          <w:p>
            <w:pPr>
              <w:jc w:val="center"/>
              <w:ind w:right="504"/>
              <w:spacing w:after="0" w:line="256"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Total ($)</w:t>
            </w:r>
          </w:p>
        </w:tc>
      </w:tr>
      <w:tr>
        <w:trPr>
          <w:trHeight w:val="304"/>
        </w:trPr>
        <w:tc>
          <w:tcPr>
            <w:tcW w:w="23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960" w:type="dxa"/>
            <w:vAlign w:val="bottom"/>
            <w:tcBorders>
              <w:bottom w:val="single" w:sz="8" w:color="F2F2F2"/>
            </w:tcBorders>
            <w:shd w:val="clear" w:color="auto" w:fill="F2F2F2"/>
          </w:tcPr>
          <w:p>
            <w:pPr>
              <w:jc w:val="center"/>
              <w:ind w:left="503"/>
              <w:spacing w:after="0"/>
              <w:rPr>
                <w:sz w:val="20"/>
                <w:szCs w:val="20"/>
                <w:color w:val="auto"/>
              </w:rPr>
            </w:pPr>
            <w:r>
              <w:rPr>
                <w:rFonts w:ascii="Arial" w:cs="Arial" w:eastAsia="Arial" w:hAnsi="Arial"/>
                <w:sz w:val="16"/>
                <w:szCs w:val="16"/>
                <w:color w:val="auto"/>
              </w:rPr>
              <w:t>275,000</w:t>
            </w:r>
          </w:p>
        </w:tc>
        <w:tc>
          <w:tcPr>
            <w:tcW w:w="13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right"/>
              <w:ind w:right="263"/>
              <w:spacing w:after="0"/>
              <w:rPr>
                <w:sz w:val="20"/>
                <w:szCs w:val="20"/>
                <w:color w:val="auto"/>
              </w:rPr>
            </w:pPr>
            <w:r>
              <w:rPr>
                <w:rFonts w:ascii="Arial" w:cs="Arial" w:eastAsia="Arial" w:hAnsi="Arial"/>
                <w:sz w:val="16"/>
                <w:szCs w:val="16"/>
                <w:color w:val="auto"/>
              </w:rPr>
              <w:t>4,797</w:t>
            </w:r>
          </w:p>
        </w:tc>
        <w:tc>
          <w:tcPr>
            <w:tcW w:w="1120" w:type="dxa"/>
            <w:vAlign w:val="bottom"/>
            <w:tcBorders>
              <w:bottom w:val="single" w:sz="8" w:color="F2F2F2"/>
            </w:tcBorders>
            <w:shd w:val="clear" w:color="auto" w:fill="F2F2F2"/>
          </w:tcPr>
          <w:p>
            <w:pPr>
              <w:jc w:val="right"/>
              <w:ind w:right="21"/>
              <w:spacing w:after="0"/>
              <w:rPr>
                <w:sz w:val="20"/>
                <w:szCs w:val="20"/>
                <w:color w:val="auto"/>
              </w:rPr>
            </w:pPr>
            <w:r>
              <w:rPr>
                <w:rFonts w:ascii="Arial" w:cs="Arial" w:eastAsia="Arial" w:hAnsi="Arial"/>
                <w:sz w:val="16"/>
                <w:szCs w:val="16"/>
                <w:color w:val="auto"/>
              </w:rPr>
              <w:t>279,797</w:t>
            </w:r>
          </w:p>
        </w:tc>
      </w:tr>
      <w:tr>
        <w:trPr>
          <w:trHeight w:val="264"/>
        </w:trPr>
        <w:tc>
          <w:tcPr>
            <w:tcW w:w="23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960" w:type="dxa"/>
            <w:vAlign w:val="bottom"/>
          </w:tcPr>
          <w:p>
            <w:pPr>
              <w:jc w:val="center"/>
              <w:ind w:left="503"/>
              <w:spacing w:after="0"/>
              <w:rPr>
                <w:sz w:val="20"/>
                <w:szCs w:val="20"/>
                <w:color w:val="auto"/>
              </w:rPr>
            </w:pPr>
            <w:r>
              <w:rPr>
                <w:rFonts w:ascii="Arial" w:cs="Arial" w:eastAsia="Arial" w:hAnsi="Arial"/>
                <w:sz w:val="16"/>
                <w:szCs w:val="16"/>
                <w:color w:val="auto"/>
              </w:rPr>
              <w:t>225,000</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Pr>
          <w:p>
            <w:pPr>
              <w:jc w:val="right"/>
              <w:ind w:right="364"/>
              <w:spacing w:after="0"/>
              <w:rPr>
                <w:sz w:val="20"/>
                <w:szCs w:val="20"/>
                <w:color w:val="auto"/>
              </w:rPr>
            </w:pPr>
            <w:r>
              <w:rPr>
                <w:rFonts w:ascii="Arial" w:cs="Arial" w:eastAsia="Arial" w:hAnsi="Arial"/>
                <w:sz w:val="16"/>
                <w:szCs w:val="16"/>
                <w:color w:val="auto"/>
              </w:rPr>
              <w:t>495,059</w:t>
            </w:r>
          </w:p>
        </w:tc>
        <w:tc>
          <w:tcPr>
            <w:tcW w:w="1160" w:type="dxa"/>
            <w:vAlign w:val="bottom"/>
          </w:tcPr>
          <w:p>
            <w:pPr>
              <w:jc w:val="center"/>
              <w:spacing w:after="0"/>
              <w:rPr>
                <w:sz w:val="20"/>
                <w:szCs w:val="20"/>
                <w:color w:val="auto"/>
              </w:rPr>
            </w:pPr>
            <w:r>
              <w:rPr>
                <w:rFonts w:ascii="Arial" w:cs="Arial" w:eastAsia="Arial" w:hAnsi="Arial"/>
                <w:sz w:val="16"/>
                <w:szCs w:val="16"/>
                <w:color w:val="auto"/>
              </w:rPr>
              <w:t>14,767</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734,826</w:t>
            </w:r>
          </w:p>
        </w:tc>
      </w:tr>
      <w:tr>
        <w:trPr>
          <w:trHeight w:val="60"/>
        </w:trPr>
        <w:tc>
          <w:tcPr>
            <w:tcW w:w="23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304"/>
        </w:trPr>
        <w:tc>
          <w:tcPr>
            <w:tcW w:w="23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960" w:type="dxa"/>
            <w:vAlign w:val="bottom"/>
            <w:tcBorders>
              <w:bottom w:val="single" w:sz="8" w:color="F2F2F2"/>
            </w:tcBorders>
            <w:shd w:val="clear" w:color="auto" w:fill="F2F2F2"/>
          </w:tcPr>
          <w:p>
            <w:pPr>
              <w:jc w:val="center"/>
              <w:ind w:left="503"/>
              <w:spacing w:after="0"/>
              <w:rPr>
                <w:sz w:val="20"/>
                <w:szCs w:val="20"/>
                <w:color w:val="auto"/>
              </w:rPr>
            </w:pPr>
            <w:r>
              <w:rPr>
                <w:rFonts w:ascii="Arial" w:cs="Arial" w:eastAsia="Arial" w:hAnsi="Arial"/>
                <w:sz w:val="16"/>
                <w:szCs w:val="16"/>
                <w:color w:val="auto"/>
              </w:rPr>
              <w:t>300,000</w:t>
            </w:r>
          </w:p>
        </w:tc>
        <w:tc>
          <w:tcPr>
            <w:tcW w:w="13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F2F2F2"/>
            </w:tcBorders>
            <w:shd w:val="clear" w:color="auto" w:fill="F2F2F2"/>
          </w:tcPr>
          <w:p>
            <w:pPr>
              <w:jc w:val="right"/>
              <w:ind w:right="364"/>
              <w:spacing w:after="0"/>
              <w:rPr>
                <w:sz w:val="20"/>
                <w:szCs w:val="20"/>
                <w:color w:val="auto"/>
              </w:rPr>
            </w:pPr>
            <w:r>
              <w:rPr>
                <w:rFonts w:ascii="Arial" w:cs="Arial" w:eastAsia="Arial" w:hAnsi="Arial"/>
                <w:sz w:val="16"/>
                <w:szCs w:val="16"/>
                <w:color w:val="auto"/>
              </w:rPr>
              <w:t>1,460,524</w:t>
            </w:r>
          </w:p>
        </w:tc>
        <w:tc>
          <w:tcPr>
            <w:tcW w:w="1160" w:type="dxa"/>
            <w:vAlign w:val="bottom"/>
            <w:tcBorders>
              <w:bottom w:val="single" w:sz="8" w:color="F2F2F2"/>
            </w:tcBorders>
            <w:shd w:val="clear" w:color="auto" w:fill="F2F2F2"/>
          </w:tcPr>
          <w:p>
            <w:pPr>
              <w:jc w:val="right"/>
              <w:ind w:right="263"/>
              <w:spacing w:after="0"/>
              <w:rPr>
                <w:sz w:val="20"/>
                <w:szCs w:val="20"/>
                <w:color w:val="auto"/>
              </w:rPr>
            </w:pPr>
            <w:r>
              <w:rPr>
                <w:rFonts w:ascii="Arial" w:cs="Arial" w:eastAsia="Arial" w:hAnsi="Arial"/>
                <w:sz w:val="16"/>
                <w:szCs w:val="16"/>
                <w:color w:val="auto"/>
              </w:rPr>
              <w:t>8,658</w:t>
            </w:r>
          </w:p>
        </w:tc>
        <w:tc>
          <w:tcPr>
            <w:tcW w:w="1120" w:type="dxa"/>
            <w:vAlign w:val="bottom"/>
            <w:tcBorders>
              <w:bottom w:val="single" w:sz="8" w:color="F2F2F2"/>
            </w:tcBorders>
            <w:shd w:val="clear" w:color="auto" w:fill="F2F2F2"/>
          </w:tcPr>
          <w:p>
            <w:pPr>
              <w:jc w:val="right"/>
              <w:ind w:right="21"/>
              <w:spacing w:after="0"/>
              <w:rPr>
                <w:sz w:val="20"/>
                <w:szCs w:val="20"/>
                <w:color w:val="auto"/>
              </w:rPr>
            </w:pPr>
            <w:r>
              <w:rPr>
                <w:rFonts w:ascii="Arial" w:cs="Arial" w:eastAsia="Arial" w:hAnsi="Arial"/>
                <w:sz w:val="16"/>
                <w:szCs w:val="16"/>
                <w:color w:val="auto"/>
              </w:rPr>
              <w:t>1,769,182</w:t>
            </w:r>
          </w:p>
        </w:tc>
      </w:tr>
      <w:tr>
        <w:trPr>
          <w:trHeight w:val="264"/>
        </w:trPr>
        <w:tc>
          <w:tcPr>
            <w:tcW w:w="23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960" w:type="dxa"/>
            <w:vAlign w:val="bottom"/>
          </w:tcPr>
          <w:p>
            <w:pPr>
              <w:jc w:val="center"/>
              <w:ind w:left="503"/>
              <w:spacing w:after="0"/>
              <w:rPr>
                <w:sz w:val="20"/>
                <w:szCs w:val="20"/>
                <w:color w:val="auto"/>
              </w:rPr>
            </w:pPr>
            <w:r>
              <w:rPr>
                <w:rFonts w:ascii="Arial" w:cs="Arial" w:eastAsia="Arial" w:hAnsi="Arial"/>
                <w:sz w:val="16"/>
                <w:szCs w:val="16"/>
                <w:color w:val="auto"/>
              </w:rPr>
              <w:t>237,500</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Pr>
          <w:p>
            <w:pPr>
              <w:jc w:val="right"/>
              <w:ind w:right="364"/>
              <w:spacing w:after="0"/>
              <w:rPr>
                <w:sz w:val="20"/>
                <w:szCs w:val="20"/>
                <w:color w:val="auto"/>
              </w:rPr>
            </w:pPr>
            <w:r>
              <w:rPr>
                <w:rFonts w:ascii="Arial" w:cs="Arial" w:eastAsia="Arial" w:hAnsi="Arial"/>
                <w:sz w:val="16"/>
                <w:szCs w:val="16"/>
                <w:color w:val="auto"/>
              </w:rPr>
              <w:t>1,144,788</w:t>
            </w:r>
          </w:p>
        </w:tc>
        <w:tc>
          <w:tcPr>
            <w:tcW w:w="1160" w:type="dxa"/>
            <w:vAlign w:val="bottom"/>
          </w:tcPr>
          <w:p>
            <w:pPr>
              <w:jc w:val="center"/>
              <w:spacing w:after="0"/>
              <w:rPr>
                <w:sz w:val="20"/>
                <w:szCs w:val="20"/>
                <w:color w:val="auto"/>
              </w:rPr>
            </w:pPr>
            <w:r>
              <w:rPr>
                <w:rFonts w:ascii="Arial" w:cs="Arial" w:eastAsia="Arial" w:hAnsi="Arial"/>
                <w:sz w:val="16"/>
                <w:szCs w:val="16"/>
                <w:color w:val="auto"/>
              </w:rPr>
              <w:t>14,767</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1,397,055</w:t>
            </w:r>
          </w:p>
        </w:tc>
      </w:tr>
    </w:tbl>
    <w:p>
      <w:pPr>
        <w:spacing w:after="0" w:line="79" w:lineRule="exact"/>
        <w:rPr>
          <w:sz w:val="20"/>
          <w:szCs w:val="20"/>
          <w:color w:val="auto"/>
        </w:rPr>
      </w:pPr>
    </w:p>
    <w:p>
      <w:pPr>
        <w:ind w:left="244" w:hanging="244"/>
        <w:spacing w:after="0"/>
        <w:tabs>
          <w:tab w:leader="none" w:pos="244"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Value based on a per share price of $22.19, which was the closing price as reported on December 31, 2020.</w:t>
      </w:r>
    </w:p>
    <w:p>
      <w:pPr>
        <w:spacing w:after="0" w:line="188" w:lineRule="exact"/>
        <w:rPr>
          <w:sz w:val="20"/>
          <w:szCs w:val="20"/>
          <w:color w:val="auto"/>
        </w:rPr>
      </w:pPr>
    </w:p>
    <w:p>
      <w:pPr>
        <w:ind w:left="524" w:hanging="524"/>
        <w:spacing w:after="0"/>
        <w:tabs>
          <w:tab w:leader="none" w:pos="524"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8" w:name="page59"/>
    <w:bookmarkEnd w:id="5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6"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The following table describes the payments that would have been provided for each of our named executive officers upon termination of employment in connection with a change in control of Dropbox as described above, assuming such termination had occurred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32385</wp:posOffset>
            </wp:positionV>
            <wp:extent cx="6077585" cy="1354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7585" cy="1354455"/>
                    </a:xfrm>
                    <a:prstGeom prst="rect">
                      <a:avLst/>
                    </a:prstGeom>
                    <a:noFill/>
                  </pic:spPr>
                </pic:pic>
              </a:graphicData>
            </a:graphic>
          </wp:anchor>
        </w:drawing>
      </w:r>
    </w:p>
    <w:p>
      <w:pPr>
        <w:spacing w:after="0" w:line="31"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2160" w:type="dxa"/>
            <w:vAlign w:val="bottom"/>
            <w:shd w:val="clear" w:color="auto" w:fill="0063A6"/>
          </w:tcPr>
          <w:p>
            <w:pPr>
              <w:spacing w:after="0"/>
              <w:rPr>
                <w:sz w:val="22"/>
                <w:szCs w:val="22"/>
                <w:color w:val="auto"/>
              </w:rPr>
            </w:pPr>
          </w:p>
        </w:tc>
        <w:tc>
          <w:tcPr>
            <w:tcW w:w="1660" w:type="dxa"/>
            <w:vAlign w:val="bottom"/>
            <w:shd w:val="clear" w:color="auto" w:fill="0063A6"/>
          </w:tcPr>
          <w:p>
            <w:pPr>
              <w:spacing w:after="0"/>
              <w:rPr>
                <w:sz w:val="22"/>
                <w:szCs w:val="22"/>
                <w:color w:val="auto"/>
              </w:rPr>
            </w:pPr>
          </w:p>
        </w:tc>
        <w:tc>
          <w:tcPr>
            <w:tcW w:w="1200" w:type="dxa"/>
            <w:vAlign w:val="bottom"/>
            <w:shd w:val="clear" w:color="auto" w:fill="0063A6"/>
          </w:tcPr>
          <w:p>
            <w:pPr>
              <w:spacing w:after="0"/>
              <w:rPr>
                <w:sz w:val="22"/>
                <w:szCs w:val="2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180" w:type="dxa"/>
            <w:vAlign w:val="bottom"/>
            <w:shd w:val="clear" w:color="auto" w:fill="0063A6"/>
          </w:tcPr>
          <w:p>
            <w:pPr>
              <w:spacing w:after="0"/>
              <w:rPr>
                <w:sz w:val="22"/>
                <w:szCs w:val="22"/>
                <w:color w:val="auto"/>
              </w:rPr>
            </w:pPr>
          </w:p>
        </w:tc>
        <w:tc>
          <w:tcPr>
            <w:tcW w:w="880" w:type="dxa"/>
            <w:vAlign w:val="bottom"/>
            <w:shd w:val="clear" w:color="auto" w:fill="0063A6"/>
          </w:tcPr>
          <w:p>
            <w:pPr>
              <w:spacing w:after="0"/>
              <w:rPr>
                <w:sz w:val="22"/>
                <w:szCs w:val="22"/>
                <w:color w:val="auto"/>
              </w:rPr>
            </w:pPr>
          </w:p>
        </w:tc>
        <w:tc>
          <w:tcPr>
            <w:tcW w:w="110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63A6"/>
          </w:tcPr>
          <w:p>
            <w:pPr>
              <w:spacing w:after="0"/>
              <w:rPr>
                <w:sz w:val="14"/>
                <w:szCs w:val="14"/>
                <w:color w:val="auto"/>
              </w:rPr>
            </w:pPr>
          </w:p>
        </w:tc>
        <w:tc>
          <w:tcPr>
            <w:tcW w:w="1660" w:type="dxa"/>
            <w:vAlign w:val="bottom"/>
            <w:shd w:val="clear" w:color="auto" w:fill="0063A6"/>
          </w:tcPr>
          <w:p>
            <w:pPr>
              <w:jc w:val="center"/>
              <w:ind w:left="443"/>
              <w:spacing w:after="0"/>
              <w:rPr>
                <w:sz w:val="20"/>
                <w:szCs w:val="20"/>
                <w:color w:val="auto"/>
              </w:rPr>
            </w:pPr>
            <w:r>
              <w:rPr>
                <w:rFonts w:ascii="Arial" w:cs="Arial" w:eastAsia="Arial" w:hAnsi="Arial"/>
                <w:sz w:val="14"/>
                <w:szCs w:val="14"/>
                <w:b w:val="1"/>
                <w:bCs w:val="1"/>
                <w:color w:val="FFFFFF"/>
              </w:rPr>
              <w:t>Base Salary</w:t>
            </w:r>
          </w:p>
        </w:tc>
        <w:tc>
          <w:tcPr>
            <w:tcW w:w="12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Accelerated</w:t>
            </w:r>
          </w:p>
        </w:tc>
        <w:tc>
          <w:tcPr>
            <w:tcW w:w="1180" w:type="dxa"/>
            <w:vAlign w:val="bottom"/>
            <w:shd w:val="clear" w:color="auto" w:fill="0063A6"/>
          </w:tcPr>
          <w:p>
            <w:pPr>
              <w:spacing w:after="0"/>
              <w:rPr>
                <w:sz w:val="14"/>
                <w:szCs w:val="14"/>
                <w:color w:val="auto"/>
              </w:rPr>
            </w:pPr>
          </w:p>
        </w:tc>
        <w:tc>
          <w:tcPr>
            <w:tcW w:w="88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Value of</w:t>
            </w:r>
          </w:p>
        </w:tc>
        <w:tc>
          <w:tcPr>
            <w:tcW w:w="11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660" w:type="dxa"/>
            <w:vAlign w:val="bottom"/>
            <w:shd w:val="clear" w:color="auto" w:fill="0063A6"/>
          </w:tcPr>
          <w:p>
            <w:pPr>
              <w:jc w:val="center"/>
              <w:ind w:left="423"/>
              <w:spacing w:after="0" w:line="148" w:lineRule="exact"/>
              <w:rPr>
                <w:sz w:val="20"/>
                <w:szCs w:val="20"/>
                <w:color w:val="auto"/>
              </w:rPr>
            </w:pPr>
            <w:r>
              <w:rPr>
                <w:rFonts w:ascii="Arial" w:cs="Arial" w:eastAsia="Arial" w:hAnsi="Arial"/>
                <w:sz w:val="14"/>
                <w:szCs w:val="14"/>
                <w:b w:val="1"/>
                <w:bCs w:val="1"/>
                <w:color w:val="FFFFFF"/>
              </w:rPr>
              <w:t>Component</w:t>
            </w:r>
          </w:p>
        </w:tc>
        <w:tc>
          <w:tcPr>
            <w:tcW w:w="120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Component</w:t>
            </w:r>
          </w:p>
        </w:tc>
        <w:tc>
          <w:tcPr>
            <w:tcW w:w="13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Equity Awards</w:t>
            </w:r>
          </w:p>
        </w:tc>
        <w:tc>
          <w:tcPr>
            <w:tcW w:w="118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w w:val="99"/>
              </w:rPr>
              <w:t>280G</w:t>
            </w:r>
          </w:p>
        </w:tc>
        <w:tc>
          <w:tcPr>
            <w:tcW w:w="880" w:type="dxa"/>
            <w:vAlign w:val="bottom"/>
            <w:shd w:val="clear" w:color="auto" w:fill="0063A6"/>
          </w:tcPr>
          <w:p>
            <w:pPr>
              <w:ind w:left="140"/>
              <w:spacing w:after="0" w:line="148" w:lineRule="exact"/>
              <w:rPr>
                <w:sz w:val="20"/>
                <w:szCs w:val="20"/>
                <w:color w:val="auto"/>
              </w:rPr>
            </w:pPr>
            <w:r>
              <w:rPr>
                <w:rFonts w:ascii="Arial" w:cs="Arial" w:eastAsia="Arial" w:hAnsi="Arial"/>
                <w:sz w:val="14"/>
                <w:szCs w:val="14"/>
                <w:b w:val="1"/>
                <w:bCs w:val="1"/>
                <w:color w:val="FFFFFF"/>
              </w:rPr>
              <w:t>Benefits</w:t>
            </w:r>
          </w:p>
        </w:tc>
        <w:tc>
          <w:tcPr>
            <w:tcW w:w="1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60" w:type="dxa"/>
            <w:vAlign w:val="bottom"/>
            <w:vMerge w:val="continue"/>
            <w:shd w:val="clear" w:color="auto" w:fill="0063A6"/>
          </w:tcPr>
          <w:p>
            <w:pPr>
              <w:spacing w:after="0"/>
              <w:rPr>
                <w:sz w:val="22"/>
                <w:szCs w:val="22"/>
                <w:color w:val="auto"/>
              </w:rPr>
            </w:pPr>
          </w:p>
        </w:tc>
        <w:tc>
          <w:tcPr>
            <w:tcW w:w="1660" w:type="dxa"/>
            <w:vAlign w:val="bottom"/>
            <w:shd w:val="clear" w:color="auto" w:fill="0063A6"/>
          </w:tcPr>
          <w:p>
            <w:pPr>
              <w:jc w:val="center"/>
              <w:ind w:left="483"/>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0063A6"/>
          </w:tcPr>
          <w:p>
            <w:pPr>
              <w:jc w:val="center"/>
              <w:spacing w:after="0" w:line="25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Gross-up ($)</w:t>
            </w:r>
          </w:p>
        </w:tc>
        <w:tc>
          <w:tcPr>
            <w:tcW w:w="880" w:type="dxa"/>
            <w:vAlign w:val="bottom"/>
            <w:shd w:val="clear" w:color="auto" w:fill="0063A6"/>
          </w:tcPr>
          <w:p>
            <w:pPr>
              <w:ind w:left="360"/>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3A6"/>
          </w:tcPr>
          <w:p>
            <w:pPr>
              <w:jc w:val="right"/>
              <w:ind w:right="16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324"/>
        </w:trPr>
        <w:tc>
          <w:tcPr>
            <w:tcW w:w="21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660" w:type="dxa"/>
            <w:vAlign w:val="bottom"/>
            <w:shd w:val="clear" w:color="auto" w:fill="F2F2F2"/>
          </w:tcPr>
          <w:p>
            <w:pPr>
              <w:jc w:val="center"/>
              <w:ind w:left="423"/>
              <w:spacing w:after="0"/>
              <w:rPr>
                <w:sz w:val="20"/>
                <w:szCs w:val="20"/>
                <w:color w:val="auto"/>
              </w:rPr>
            </w:pPr>
            <w:r>
              <w:rPr>
                <w:rFonts w:ascii="Arial" w:cs="Arial" w:eastAsia="Arial" w:hAnsi="Arial"/>
                <w:sz w:val="16"/>
                <w:szCs w:val="16"/>
                <w:color w:val="auto"/>
              </w:rPr>
              <w:t>550,000</w:t>
            </w:r>
          </w:p>
        </w:tc>
        <w:tc>
          <w:tcPr>
            <w:tcW w:w="12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587,295</w:t>
            </w:r>
          </w:p>
        </w:tc>
        <w:tc>
          <w:tcPr>
            <w:tcW w:w="1380" w:type="dxa"/>
            <w:vAlign w:val="bottom"/>
            <w:shd w:val="clear" w:color="auto" w:fill="F2F2F2"/>
          </w:tcPr>
          <w:p>
            <w:pPr>
              <w:jc w:val="right"/>
              <w:ind w:right="87"/>
              <w:spacing w:after="0" w:line="324" w:lineRule="exact"/>
              <w:rPr>
                <w:sz w:val="20"/>
                <w:szCs w:val="20"/>
                <w:color w:val="auto"/>
              </w:rPr>
            </w:pPr>
            <w:r>
              <w:rPr>
                <w:rFonts w:ascii="Arial" w:cs="Arial" w:eastAsia="Arial" w:hAnsi="Arial"/>
                <w:sz w:val="32"/>
                <w:szCs w:val="32"/>
                <w:color w:val="auto"/>
                <w:vertAlign w:val="subscript"/>
              </w:rPr>
              <w:t>0</w:t>
            </w:r>
            <w:r>
              <w:rPr>
                <w:rFonts w:ascii="Arial" w:cs="Arial" w:eastAsia="Arial" w:hAnsi="Arial"/>
                <w:sz w:val="13"/>
                <w:szCs w:val="13"/>
                <w:color w:val="auto"/>
              </w:rPr>
              <w:t>(3)</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9,595</w:t>
            </w:r>
          </w:p>
        </w:tc>
        <w:tc>
          <w:tcPr>
            <w:tcW w:w="110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1,146,890</w:t>
            </w:r>
          </w:p>
        </w:tc>
        <w:tc>
          <w:tcPr>
            <w:tcW w:w="0" w:type="dxa"/>
            <w:vAlign w:val="bottom"/>
          </w:tcPr>
          <w:p>
            <w:pPr>
              <w:spacing w:after="0"/>
              <w:rPr>
                <w:sz w:val="1"/>
                <w:szCs w:val="1"/>
                <w:color w:val="auto"/>
              </w:rPr>
            </w:pPr>
          </w:p>
        </w:tc>
      </w:tr>
      <w:tr>
        <w:trPr>
          <w:trHeight w:val="264"/>
        </w:trPr>
        <w:tc>
          <w:tcPr>
            <w:tcW w:w="21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660" w:type="dxa"/>
            <w:vAlign w:val="bottom"/>
          </w:tcPr>
          <w:p>
            <w:pPr>
              <w:jc w:val="center"/>
              <w:ind w:left="423"/>
              <w:spacing w:after="0"/>
              <w:rPr>
                <w:sz w:val="20"/>
                <w:szCs w:val="20"/>
                <w:color w:val="auto"/>
              </w:rPr>
            </w:pPr>
            <w:r>
              <w:rPr>
                <w:rFonts w:ascii="Arial" w:cs="Arial" w:eastAsia="Arial" w:hAnsi="Arial"/>
                <w:sz w:val="16"/>
                <w:szCs w:val="16"/>
                <w:color w:val="auto"/>
              </w:rPr>
              <w:t>450,000</w:t>
            </w:r>
          </w:p>
        </w:tc>
        <w:tc>
          <w:tcPr>
            <w:tcW w:w="1200" w:type="dxa"/>
            <w:vAlign w:val="bottom"/>
          </w:tcPr>
          <w:p>
            <w:pPr>
              <w:jc w:val="center"/>
              <w:spacing w:after="0"/>
              <w:rPr>
                <w:sz w:val="20"/>
                <w:szCs w:val="20"/>
                <w:color w:val="auto"/>
              </w:rPr>
            </w:pPr>
            <w:r>
              <w:rPr>
                <w:rFonts w:ascii="Arial" w:cs="Arial" w:eastAsia="Arial" w:hAnsi="Arial"/>
                <w:sz w:val="16"/>
                <w:szCs w:val="16"/>
                <w:color w:val="auto"/>
              </w:rPr>
              <w:t>216,557</w:t>
            </w:r>
          </w:p>
        </w:tc>
        <w:tc>
          <w:tcPr>
            <w:tcW w:w="1380" w:type="dxa"/>
            <w:vAlign w:val="bottom"/>
          </w:tcPr>
          <w:p>
            <w:pPr>
              <w:jc w:val="right"/>
              <w:ind w:right="247"/>
              <w:spacing w:after="0"/>
              <w:rPr>
                <w:sz w:val="20"/>
                <w:szCs w:val="20"/>
                <w:color w:val="auto"/>
              </w:rPr>
            </w:pPr>
            <w:r>
              <w:rPr>
                <w:rFonts w:ascii="Arial" w:cs="Arial" w:eastAsia="Arial" w:hAnsi="Arial"/>
                <w:sz w:val="16"/>
                <w:szCs w:val="16"/>
                <w:color w:val="auto"/>
              </w:rPr>
              <w:t>6,164,471</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29,533</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6,860,561</w:t>
            </w: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660" w:type="dxa"/>
            <w:vAlign w:val="bottom"/>
            <w:shd w:val="clear" w:color="auto" w:fill="F2F2F2"/>
          </w:tcPr>
          <w:p>
            <w:pPr>
              <w:jc w:val="center"/>
              <w:ind w:left="423"/>
              <w:spacing w:after="0"/>
              <w:rPr>
                <w:sz w:val="20"/>
                <w:szCs w:val="20"/>
                <w:color w:val="auto"/>
              </w:rPr>
            </w:pPr>
            <w:r>
              <w:rPr>
                <w:rFonts w:ascii="Arial" w:cs="Arial" w:eastAsia="Arial" w:hAnsi="Arial"/>
                <w:sz w:val="16"/>
                <w:szCs w:val="16"/>
                <w:color w:val="auto"/>
              </w:rPr>
              <w:t>600,000</w:t>
            </w:r>
          </w:p>
        </w:tc>
        <w:tc>
          <w:tcPr>
            <w:tcW w:w="12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516,393</w:t>
            </w:r>
          </w:p>
        </w:tc>
        <w:tc>
          <w:tcPr>
            <w:tcW w:w="1380" w:type="dxa"/>
            <w:vAlign w:val="bottom"/>
            <w:shd w:val="clear" w:color="auto" w:fill="F2F2F2"/>
          </w:tcPr>
          <w:p>
            <w:pPr>
              <w:jc w:val="right"/>
              <w:ind w:right="87"/>
              <w:spacing w:after="0"/>
              <w:rPr>
                <w:sz w:val="20"/>
                <w:szCs w:val="20"/>
                <w:color w:val="auto"/>
              </w:rPr>
            </w:pPr>
            <w:r>
              <w:rPr>
                <w:rFonts w:ascii="Arial" w:cs="Arial" w:eastAsia="Arial" w:hAnsi="Arial"/>
                <w:sz w:val="16"/>
                <w:szCs w:val="16"/>
                <w:color w:val="auto"/>
              </w:rPr>
              <w:t>27,318,941</w:t>
            </w:r>
            <w:r>
              <w:rPr>
                <w:rFonts w:ascii="Arial" w:cs="Arial" w:eastAsia="Arial" w:hAnsi="Arial"/>
                <w:sz w:val="26"/>
                <w:szCs w:val="26"/>
                <w:color w:val="auto"/>
                <w:vertAlign w:val="superscript"/>
              </w:rPr>
              <w:t>(4)</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F2F2F2"/>
          </w:tcPr>
          <w:p>
            <w:pPr>
              <w:ind w:left="180"/>
              <w:spacing w:after="0"/>
              <w:rPr>
                <w:sz w:val="20"/>
                <w:szCs w:val="20"/>
                <w:color w:val="auto"/>
              </w:rPr>
            </w:pPr>
            <w:r>
              <w:rPr>
                <w:rFonts w:ascii="Arial" w:cs="Arial" w:eastAsia="Arial" w:hAnsi="Arial"/>
                <w:sz w:val="16"/>
                <w:szCs w:val="16"/>
                <w:color w:val="auto"/>
              </w:rPr>
              <w:t>17,515</w:t>
            </w:r>
          </w:p>
        </w:tc>
        <w:tc>
          <w:tcPr>
            <w:tcW w:w="110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28,452,849</w:t>
            </w:r>
          </w:p>
        </w:tc>
        <w:tc>
          <w:tcPr>
            <w:tcW w:w="0" w:type="dxa"/>
            <w:vAlign w:val="bottom"/>
          </w:tcPr>
          <w:p>
            <w:pPr>
              <w:spacing w:after="0"/>
              <w:rPr>
                <w:sz w:val="1"/>
                <w:szCs w:val="1"/>
                <w:color w:val="auto"/>
              </w:rPr>
            </w:pPr>
          </w:p>
        </w:tc>
      </w:tr>
      <w:tr>
        <w:trPr>
          <w:trHeight w:val="264"/>
        </w:trPr>
        <w:tc>
          <w:tcPr>
            <w:tcW w:w="21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660" w:type="dxa"/>
            <w:vAlign w:val="bottom"/>
          </w:tcPr>
          <w:p>
            <w:pPr>
              <w:jc w:val="center"/>
              <w:ind w:left="423"/>
              <w:spacing w:after="0"/>
              <w:rPr>
                <w:sz w:val="20"/>
                <w:szCs w:val="20"/>
                <w:color w:val="auto"/>
              </w:rPr>
            </w:pPr>
            <w:r>
              <w:rPr>
                <w:rFonts w:ascii="Arial" w:cs="Arial" w:eastAsia="Arial" w:hAnsi="Arial"/>
                <w:sz w:val="16"/>
                <w:szCs w:val="16"/>
                <w:color w:val="auto"/>
              </w:rPr>
              <w:t>475,000</w:t>
            </w:r>
          </w:p>
        </w:tc>
        <w:tc>
          <w:tcPr>
            <w:tcW w:w="1200" w:type="dxa"/>
            <w:vAlign w:val="bottom"/>
          </w:tcPr>
          <w:p>
            <w:pPr>
              <w:jc w:val="center"/>
              <w:spacing w:after="0"/>
              <w:rPr>
                <w:sz w:val="20"/>
                <w:szCs w:val="20"/>
                <w:color w:val="auto"/>
              </w:rPr>
            </w:pPr>
            <w:r>
              <w:rPr>
                <w:rFonts w:ascii="Arial" w:cs="Arial" w:eastAsia="Arial" w:hAnsi="Arial"/>
                <w:sz w:val="16"/>
                <w:szCs w:val="16"/>
                <w:color w:val="auto"/>
              </w:rPr>
              <w:t>308,750</w:t>
            </w:r>
          </w:p>
        </w:tc>
        <w:tc>
          <w:tcPr>
            <w:tcW w:w="1380" w:type="dxa"/>
            <w:vAlign w:val="bottom"/>
          </w:tcPr>
          <w:p>
            <w:pPr>
              <w:jc w:val="right"/>
              <w:ind w:right="247"/>
              <w:spacing w:after="0"/>
              <w:rPr>
                <w:sz w:val="20"/>
                <w:szCs w:val="20"/>
                <w:color w:val="auto"/>
              </w:rPr>
            </w:pPr>
            <w:r>
              <w:rPr>
                <w:rFonts w:ascii="Arial" w:cs="Arial" w:eastAsia="Arial" w:hAnsi="Arial"/>
                <w:sz w:val="16"/>
                <w:szCs w:val="16"/>
                <w:color w:val="auto"/>
              </w:rPr>
              <w:t>4,579,151</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29,533</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5,392,434</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960" w:right="740" w:hanging="244"/>
        <w:spacing w:after="0" w:line="207"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spacing w:after="0" w:line="3" w:lineRule="exact"/>
        <w:rPr>
          <w:rFonts w:ascii="Arial" w:cs="Arial" w:eastAsia="Arial" w:hAnsi="Arial"/>
          <w:sz w:val="22"/>
          <w:szCs w:val="22"/>
          <w:color w:val="auto"/>
          <w:vertAlign w:val="superscript"/>
        </w:rPr>
      </w:pPr>
    </w:p>
    <w:p>
      <w:pPr>
        <w:ind w:left="960" w:right="780" w:hanging="244"/>
        <w:spacing w:after="0" w:line="193"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Unless otherwise noted, the value is based on a per share price of $22.19, which was the closing price of a share of our Class A common stock as reported on December 31, 2020.</w:t>
      </w:r>
    </w:p>
    <w:p>
      <w:pPr>
        <w:spacing w:after="0" w:line="1" w:lineRule="exact"/>
        <w:rPr>
          <w:rFonts w:ascii="Arial" w:cs="Arial" w:eastAsia="Arial" w:hAnsi="Arial"/>
          <w:sz w:val="22"/>
          <w:szCs w:val="22"/>
          <w:color w:val="auto"/>
          <w:vertAlign w:val="superscript"/>
        </w:rPr>
      </w:pPr>
    </w:p>
    <w:p>
      <w:pPr>
        <w:ind w:left="960" w:right="840" w:hanging="244"/>
        <w:spacing w:after="0" w:line="208"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Excludes 10,333,333 shares of Class A common stock underlying RSAs subject to Mr. Houston’s Co-Founder Grant. See “</w:t>
      </w:r>
      <w:r>
        <w:rPr>
          <w:rFonts w:ascii="Arial" w:cs="Arial" w:eastAsia="Arial" w:hAnsi="Arial"/>
          <w:sz w:val="14"/>
          <w:szCs w:val="14"/>
          <w:i w:val="1"/>
          <w:iCs w:val="1"/>
          <w:color w:val="auto"/>
        </w:rPr>
        <w:t>Potential Payments on</w:t>
      </w:r>
      <w:r>
        <w:rPr>
          <w:rFonts w:ascii="Arial" w:cs="Arial" w:eastAsia="Arial" w:hAnsi="Arial"/>
          <w:sz w:val="14"/>
          <w:szCs w:val="14"/>
          <w:color w:val="auto"/>
        </w:rPr>
        <w:t xml:space="preserve"> </w:t>
      </w:r>
      <w:r>
        <w:rPr>
          <w:rFonts w:ascii="Arial" w:cs="Arial" w:eastAsia="Arial" w:hAnsi="Arial"/>
          <w:sz w:val="14"/>
          <w:szCs w:val="14"/>
          <w:i w:val="1"/>
          <w:iCs w:val="1"/>
          <w:color w:val="auto"/>
        </w:rPr>
        <w:t>Termination or Change in Control—Certain Equity Awards</w:t>
      </w:r>
      <w:r>
        <w:rPr>
          <w:rFonts w:ascii="Arial" w:cs="Arial" w:eastAsia="Arial" w:hAnsi="Arial"/>
          <w:sz w:val="14"/>
          <w:szCs w:val="14"/>
          <w:color w:val="auto"/>
        </w:rPr>
        <w:t>” above for additional information regarding the terms of Mr. Houston’s Co-Founder</w:t>
      </w:r>
      <w:r>
        <w:rPr>
          <w:rFonts w:ascii="Arial" w:cs="Arial" w:eastAsia="Arial" w:hAnsi="Arial"/>
          <w:sz w:val="14"/>
          <w:szCs w:val="14"/>
          <w:i w:val="1"/>
          <w:iCs w:val="1"/>
          <w:color w:val="auto"/>
        </w:rPr>
        <w:t xml:space="preserve"> </w:t>
      </w:r>
      <w:r>
        <w:rPr>
          <w:rFonts w:ascii="Arial" w:cs="Arial" w:eastAsia="Arial" w:hAnsi="Arial"/>
          <w:sz w:val="14"/>
          <w:szCs w:val="14"/>
          <w:color w:val="auto"/>
        </w:rPr>
        <w:t>Grant in connection with a change in control.</w:t>
      </w:r>
    </w:p>
    <w:p>
      <w:pPr>
        <w:spacing w:after="0" w:line="17" w:lineRule="exact"/>
        <w:rPr>
          <w:rFonts w:ascii="Arial" w:cs="Arial" w:eastAsia="Arial" w:hAnsi="Arial"/>
          <w:sz w:val="22"/>
          <w:szCs w:val="22"/>
          <w:color w:val="auto"/>
          <w:vertAlign w:val="superscript"/>
        </w:rPr>
      </w:pPr>
    </w:p>
    <w:p>
      <w:pPr>
        <w:ind w:left="960" w:right="800" w:hanging="244"/>
        <w:spacing w:after="0" w:line="214"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value of (i) the shares of Class A common stock subject to Mr. Young’s time-based RSA that are accelerated, plus (ii) the shares of Class A common stock subject to Mr. Young’s performance-based RSA that would have vested if a change in control occurred on December 31, 2020 with a per share consideration of $22.19, which was the closing price of a share of our Class A common stock as reported on December 31, 2020.</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CEO Pay Ratio</w:t>
      </w:r>
    </w:p>
    <w:p>
      <w:pPr>
        <w:spacing w:after="0" w:line="149" w:lineRule="exact"/>
        <w:rPr>
          <w:sz w:val="20"/>
          <w:szCs w:val="20"/>
          <w:color w:val="auto"/>
        </w:rPr>
      </w:pPr>
    </w:p>
    <w:p>
      <w:pPr>
        <w:ind w:left="720" w:right="940"/>
        <w:spacing w:after="0" w:line="28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76200</wp:posOffset>
            </wp:positionV>
            <wp:extent cx="4937760" cy="788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377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In order to identify our median employee, we examined the total compensation in 2020 of all employees globally, including those employed on a full-time, part-time, seasonal or temporary basis by the company as of December 31, 2020, and then such compensation is converted into U.S. dollars. We did not annualize compensation for employees who were not employed for the entire 2020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2020 through December 31, 2020.</w:t>
      </w:r>
    </w:p>
    <w:p>
      <w:pPr>
        <w:spacing w:after="0" w:line="151" w:lineRule="exact"/>
        <w:rPr>
          <w:sz w:val="20"/>
          <w:szCs w:val="20"/>
          <w:color w:val="auto"/>
        </w:rPr>
      </w:pPr>
    </w:p>
    <w:p>
      <w:pPr>
        <w:ind w:left="720" w:right="900"/>
        <w:spacing w:after="0" w:line="249" w:lineRule="auto"/>
        <w:rPr>
          <w:sz w:val="20"/>
          <w:szCs w:val="20"/>
          <w:color w:val="auto"/>
        </w:rPr>
      </w:pPr>
      <w:r>
        <w:rPr>
          <w:rFonts w:ascii="Arial" w:cs="Arial" w:eastAsia="Arial" w:hAnsi="Arial"/>
          <w:sz w:val="16"/>
          <w:szCs w:val="16"/>
          <w:color w:val="auto"/>
        </w:rPr>
        <w:t>Our CEO had annual total compensation for 2020, calculated using the requirements of Item 402 for purposes of the Pay Ratio Disclosure, of $1,268,889. The annual total compensation of the median employee of the company for 2020, calculated using the same requirements under Item 402 for purposes of the Pay Ratio Disclosure, which included base pay, incentive compensation, the grant date fair value of equity grants and the company’s matching contribution to that employee’s 401(k) plan, was $269,214. Accordingly, the ratio of the annual total compensation of the CEO to the annual total compensation of the median employee of the company was 5 to 1.</w:t>
      </w:r>
    </w:p>
    <w:p>
      <w:pPr>
        <w:spacing w:after="0" w:line="151" w:lineRule="exact"/>
        <w:rPr>
          <w:sz w:val="20"/>
          <w:szCs w:val="20"/>
          <w:color w:val="auto"/>
        </w:rPr>
      </w:pPr>
    </w:p>
    <w:p>
      <w:pPr>
        <w:ind w:left="720" w:right="900"/>
        <w:spacing w:after="0" w:line="251"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55</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9" w:name="page60"/>
    <w:bookmarkEnd w:id="5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EQUITY COMPENSATION PLAN INFORMATION</w:t>
      </w:r>
    </w:p>
    <w:p>
      <w:pPr>
        <w:spacing w:after="0" w:line="170"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The following table summarizes our equity compensation plan information as of December 31, 2020.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As of December 31, 2020, 497,443 shares of Class A common stock were issuable upon exercise of outstanding options assumed in connection with acquisitions. The weighted average exercise price of such outstanding options was $6.15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077585" cy="977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7585" cy="977265"/>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260" w:type="dxa"/>
            <w:vAlign w:val="bottom"/>
            <w:shd w:val="clear" w:color="auto" w:fill="0063A6"/>
          </w:tcPr>
          <w:p>
            <w:pPr>
              <w:spacing w:after="0"/>
              <w:rPr>
                <w:sz w:val="22"/>
                <w:szCs w:val="22"/>
                <w:color w:val="auto"/>
              </w:rPr>
            </w:pPr>
          </w:p>
        </w:tc>
        <w:tc>
          <w:tcPr>
            <w:tcW w:w="2900" w:type="dxa"/>
            <w:vAlign w:val="bottom"/>
            <w:shd w:val="clear" w:color="auto" w:fill="0063A6"/>
          </w:tcPr>
          <w:p>
            <w:pPr>
              <w:jc w:val="center"/>
              <w:ind w:left="948"/>
              <w:spacing w:after="0"/>
              <w:rPr>
                <w:sz w:val="20"/>
                <w:szCs w:val="20"/>
                <w:color w:val="auto"/>
              </w:rPr>
            </w:pPr>
            <w:r>
              <w:rPr>
                <w:rFonts w:ascii="Arial" w:cs="Arial" w:eastAsia="Arial" w:hAnsi="Arial"/>
                <w:sz w:val="14"/>
                <w:szCs w:val="14"/>
                <w:b w:val="1"/>
                <w:bCs w:val="1"/>
                <w:color w:val="FFFFFF"/>
              </w:rPr>
              <w:t>Number of Securities</w:t>
            </w:r>
          </w:p>
        </w:tc>
        <w:tc>
          <w:tcPr>
            <w:tcW w:w="1880" w:type="dxa"/>
            <w:vAlign w:val="bottom"/>
            <w:shd w:val="clear" w:color="auto" w:fill="0063A6"/>
          </w:tcPr>
          <w:p>
            <w:pPr>
              <w:spacing w:after="0"/>
              <w:rPr>
                <w:sz w:val="22"/>
                <w:szCs w:val="22"/>
                <w:color w:val="auto"/>
              </w:rPr>
            </w:pPr>
          </w:p>
        </w:tc>
        <w:tc>
          <w:tcPr>
            <w:tcW w:w="252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2260" w:type="dxa"/>
            <w:vAlign w:val="bottom"/>
            <w:shd w:val="clear" w:color="auto" w:fill="0063A6"/>
          </w:tcPr>
          <w:p>
            <w:pPr>
              <w:spacing w:after="0"/>
              <w:rPr>
                <w:sz w:val="14"/>
                <w:szCs w:val="14"/>
                <w:color w:val="auto"/>
              </w:rPr>
            </w:pPr>
          </w:p>
        </w:tc>
        <w:tc>
          <w:tcPr>
            <w:tcW w:w="2900" w:type="dxa"/>
            <w:vAlign w:val="bottom"/>
            <w:shd w:val="clear" w:color="auto" w:fill="0063A6"/>
          </w:tcPr>
          <w:p>
            <w:pPr>
              <w:jc w:val="center"/>
              <w:ind w:left="948"/>
              <w:spacing w:after="0"/>
              <w:rPr>
                <w:sz w:val="20"/>
                <w:szCs w:val="20"/>
                <w:color w:val="auto"/>
              </w:rPr>
            </w:pPr>
            <w:r>
              <w:rPr>
                <w:rFonts w:ascii="Arial" w:cs="Arial" w:eastAsia="Arial" w:hAnsi="Arial"/>
                <w:sz w:val="14"/>
                <w:szCs w:val="14"/>
                <w:b w:val="1"/>
                <w:bCs w:val="1"/>
                <w:color w:val="FFFFFF"/>
              </w:rPr>
              <w:t>to be Issued Upon</w:t>
            </w: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52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2260" w:type="dxa"/>
            <w:vAlign w:val="bottom"/>
            <w:shd w:val="clear" w:color="auto" w:fill="0063A6"/>
          </w:tcPr>
          <w:p>
            <w:pPr>
              <w:spacing w:after="0"/>
              <w:rPr>
                <w:sz w:val="14"/>
                <w:szCs w:val="14"/>
                <w:color w:val="auto"/>
              </w:rPr>
            </w:pPr>
          </w:p>
        </w:tc>
        <w:tc>
          <w:tcPr>
            <w:tcW w:w="2900" w:type="dxa"/>
            <w:vAlign w:val="bottom"/>
            <w:shd w:val="clear" w:color="auto" w:fill="0063A6"/>
          </w:tcPr>
          <w:p>
            <w:pPr>
              <w:jc w:val="center"/>
              <w:ind w:left="908"/>
              <w:spacing w:after="0"/>
              <w:rPr>
                <w:sz w:val="20"/>
                <w:szCs w:val="20"/>
                <w:color w:val="auto"/>
              </w:rPr>
            </w:pPr>
            <w:r>
              <w:rPr>
                <w:rFonts w:ascii="Arial" w:cs="Arial" w:eastAsia="Arial" w:hAnsi="Arial"/>
                <w:sz w:val="14"/>
                <w:szCs w:val="14"/>
                <w:b w:val="1"/>
                <w:bCs w:val="1"/>
                <w:color w:val="FFFFFF"/>
              </w:rPr>
              <w:t>Exercise of</w:t>
            </w: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52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2260" w:type="dxa"/>
            <w:vAlign w:val="bottom"/>
            <w:shd w:val="clear" w:color="auto" w:fill="0063A6"/>
          </w:tcPr>
          <w:p>
            <w:pPr>
              <w:spacing w:after="0"/>
              <w:rPr>
                <w:sz w:val="14"/>
                <w:szCs w:val="14"/>
                <w:color w:val="auto"/>
              </w:rPr>
            </w:pPr>
          </w:p>
        </w:tc>
        <w:tc>
          <w:tcPr>
            <w:tcW w:w="2900" w:type="dxa"/>
            <w:vAlign w:val="bottom"/>
            <w:shd w:val="clear" w:color="auto" w:fill="0063A6"/>
          </w:tcPr>
          <w:p>
            <w:pPr>
              <w:jc w:val="center"/>
              <w:ind w:left="948"/>
              <w:spacing w:after="0"/>
              <w:rPr>
                <w:sz w:val="20"/>
                <w:szCs w:val="20"/>
                <w:color w:val="auto"/>
              </w:rPr>
            </w:pPr>
            <w:r>
              <w:rPr>
                <w:rFonts w:ascii="Arial" w:cs="Arial" w:eastAsia="Arial" w:hAnsi="Arial"/>
                <w:sz w:val="14"/>
                <w:szCs w:val="14"/>
                <w:b w:val="1"/>
                <w:bCs w:val="1"/>
                <w:color w:val="FFFFFF"/>
              </w:rPr>
              <w:t>Outstanding Options,</w:t>
            </w: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52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Plans (Excluding Securities</w:t>
            </w:r>
          </w:p>
        </w:tc>
      </w:tr>
      <w:tr>
        <w:trPr>
          <w:trHeight w:val="190"/>
        </w:trPr>
        <w:tc>
          <w:tcPr>
            <w:tcW w:w="226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Plan Category</w:t>
            </w:r>
          </w:p>
        </w:tc>
        <w:tc>
          <w:tcPr>
            <w:tcW w:w="2900" w:type="dxa"/>
            <w:vAlign w:val="bottom"/>
            <w:shd w:val="clear" w:color="auto" w:fill="0063A6"/>
          </w:tcPr>
          <w:p>
            <w:pPr>
              <w:jc w:val="center"/>
              <w:ind w:left="948"/>
              <w:spacing w:after="0"/>
              <w:rPr>
                <w:sz w:val="20"/>
                <w:szCs w:val="20"/>
                <w:color w:val="auto"/>
              </w:rPr>
            </w:pPr>
            <w:r>
              <w:rPr>
                <w:rFonts w:ascii="Arial" w:cs="Arial" w:eastAsia="Arial" w:hAnsi="Arial"/>
                <w:sz w:val="14"/>
                <w:szCs w:val="14"/>
                <w:b w:val="1"/>
                <w:bCs w:val="1"/>
                <w:color w:val="FFFFFF"/>
              </w:rPr>
              <w:t>Warrants, and Rights</w:t>
            </w:r>
          </w:p>
        </w:tc>
        <w:tc>
          <w:tcPr>
            <w:tcW w:w="1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52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Reflected in the First Column)</w:t>
            </w:r>
          </w:p>
        </w:tc>
      </w:tr>
      <w:tr>
        <w:trPr>
          <w:trHeight w:val="80"/>
        </w:trPr>
        <w:tc>
          <w:tcPr>
            <w:tcW w:w="2260" w:type="dxa"/>
            <w:vAlign w:val="bottom"/>
            <w:shd w:val="clear" w:color="auto" w:fill="0063A6"/>
          </w:tcPr>
          <w:p>
            <w:pPr>
              <w:spacing w:after="0"/>
              <w:rPr>
                <w:sz w:val="6"/>
                <w:szCs w:val="6"/>
                <w:color w:val="auto"/>
              </w:rPr>
            </w:pPr>
          </w:p>
        </w:tc>
        <w:tc>
          <w:tcPr>
            <w:tcW w:w="2900" w:type="dxa"/>
            <w:vAlign w:val="bottom"/>
            <w:shd w:val="clear" w:color="auto" w:fill="0063A6"/>
          </w:tcPr>
          <w:p>
            <w:pPr>
              <w:spacing w:after="0"/>
              <w:rPr>
                <w:sz w:val="6"/>
                <w:szCs w:val="6"/>
                <w:color w:val="auto"/>
              </w:rPr>
            </w:pPr>
          </w:p>
        </w:tc>
        <w:tc>
          <w:tcPr>
            <w:tcW w:w="1880" w:type="dxa"/>
            <w:vAlign w:val="bottom"/>
            <w:shd w:val="clear" w:color="auto" w:fill="0063A6"/>
          </w:tcPr>
          <w:p>
            <w:pPr>
              <w:spacing w:after="0"/>
              <w:rPr>
                <w:sz w:val="6"/>
                <w:szCs w:val="6"/>
                <w:color w:val="auto"/>
              </w:rPr>
            </w:pPr>
          </w:p>
        </w:tc>
        <w:tc>
          <w:tcPr>
            <w:tcW w:w="2520" w:type="dxa"/>
            <w:vAlign w:val="bottom"/>
            <w:shd w:val="clear" w:color="auto" w:fill="0063A6"/>
          </w:tcPr>
          <w:p>
            <w:pPr>
              <w:spacing w:after="0"/>
              <w:rPr>
                <w:sz w:val="6"/>
                <w:szCs w:val="6"/>
                <w:color w:val="auto"/>
              </w:rPr>
            </w:pPr>
          </w:p>
        </w:tc>
      </w:tr>
    </w:tbl>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249"/>
        </w:trPr>
        <w:tc>
          <w:tcPr>
            <w:tcW w:w="336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Equity compensation plans approved by</w:t>
            </w:r>
          </w:p>
        </w:tc>
        <w:tc>
          <w:tcPr>
            <w:tcW w:w="1900" w:type="dxa"/>
            <w:vAlign w:val="bottom"/>
            <w:shd w:val="clear" w:color="auto" w:fill="F2F2F2"/>
          </w:tcPr>
          <w:p>
            <w:pPr>
              <w:spacing w:after="0"/>
              <w:rPr>
                <w:sz w:val="21"/>
                <w:szCs w:val="21"/>
                <w:color w:val="auto"/>
              </w:rPr>
            </w:pPr>
          </w:p>
        </w:tc>
        <w:tc>
          <w:tcPr>
            <w:tcW w:w="2340" w:type="dxa"/>
            <w:vAlign w:val="bottom"/>
            <w:shd w:val="clear" w:color="auto" w:fill="F2F2F2"/>
          </w:tcPr>
          <w:p>
            <w:pPr>
              <w:spacing w:after="0"/>
              <w:rPr>
                <w:sz w:val="21"/>
                <w:szCs w:val="21"/>
                <w:color w:val="auto"/>
              </w:rPr>
            </w:pPr>
          </w:p>
        </w:tc>
        <w:tc>
          <w:tcPr>
            <w:tcW w:w="19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gridSpan w:val="2"/>
            <w:shd w:val="clear" w:color="auto" w:fill="F2F2F2"/>
          </w:tcPr>
          <w:p>
            <w:pPr>
              <w:ind w:left="80"/>
              <w:spacing w:after="0" w:line="257"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(1)</w:t>
            </w:r>
          </w:p>
        </w:tc>
        <w:tc>
          <w:tcPr>
            <w:tcW w:w="1900" w:type="dxa"/>
            <w:vAlign w:val="bottom"/>
            <w:shd w:val="clear" w:color="auto" w:fill="F2F2F2"/>
          </w:tcPr>
          <w:p>
            <w:pPr>
              <w:jc w:val="right"/>
              <w:ind w:right="439"/>
              <w:spacing w:after="0" w:line="257" w:lineRule="exact"/>
              <w:rPr>
                <w:sz w:val="20"/>
                <w:szCs w:val="20"/>
                <w:color w:val="auto"/>
              </w:rPr>
            </w:pPr>
            <w:r>
              <w:rPr>
                <w:rFonts w:ascii="Arial" w:cs="Arial" w:eastAsia="Arial" w:hAnsi="Arial"/>
                <w:sz w:val="16"/>
                <w:szCs w:val="16"/>
                <w:color w:val="auto"/>
              </w:rPr>
              <w:t>33,158,402</w:t>
            </w:r>
            <w:r>
              <w:rPr>
                <w:rFonts w:ascii="Arial" w:cs="Arial" w:eastAsia="Arial" w:hAnsi="Arial"/>
                <w:sz w:val="26"/>
                <w:szCs w:val="26"/>
                <w:color w:val="auto"/>
                <w:vertAlign w:val="superscript"/>
              </w:rPr>
              <w:t>(2)</w:t>
            </w:r>
          </w:p>
        </w:tc>
        <w:tc>
          <w:tcPr>
            <w:tcW w:w="2340" w:type="dxa"/>
            <w:vAlign w:val="bottom"/>
            <w:shd w:val="clear" w:color="auto" w:fill="F2F2F2"/>
          </w:tcPr>
          <w:p>
            <w:pPr>
              <w:jc w:val="right"/>
              <w:ind w:right="1125"/>
              <w:spacing w:after="0" w:line="257" w:lineRule="exact"/>
              <w:rPr>
                <w:sz w:val="20"/>
                <w:szCs w:val="20"/>
                <w:color w:val="auto"/>
              </w:rPr>
            </w:pPr>
            <w:r>
              <w:rPr>
                <w:rFonts w:ascii="Arial" w:cs="Arial" w:eastAsia="Arial" w:hAnsi="Arial"/>
                <w:sz w:val="16"/>
                <w:szCs w:val="16"/>
                <w:color w:val="auto"/>
              </w:rPr>
              <w:t>13.73</w:t>
            </w:r>
            <w:r>
              <w:rPr>
                <w:rFonts w:ascii="Arial" w:cs="Arial" w:eastAsia="Arial" w:hAnsi="Arial"/>
                <w:sz w:val="26"/>
                <w:szCs w:val="26"/>
                <w:color w:val="auto"/>
                <w:vertAlign w:val="superscript"/>
              </w:rPr>
              <w:t>(3)</w:t>
            </w:r>
          </w:p>
        </w:tc>
        <w:tc>
          <w:tcPr>
            <w:tcW w:w="1960" w:type="dxa"/>
            <w:vAlign w:val="bottom"/>
            <w:shd w:val="clear" w:color="auto" w:fill="F2F2F2"/>
          </w:tcPr>
          <w:p>
            <w:pPr>
              <w:jc w:val="right"/>
              <w:ind w:right="619"/>
              <w:spacing w:after="0" w:line="257" w:lineRule="exact"/>
              <w:rPr>
                <w:sz w:val="20"/>
                <w:szCs w:val="20"/>
                <w:color w:val="auto"/>
              </w:rPr>
            </w:pPr>
            <w:r>
              <w:rPr>
                <w:rFonts w:ascii="Arial" w:cs="Arial" w:eastAsia="Arial" w:hAnsi="Arial"/>
                <w:sz w:val="16"/>
                <w:szCs w:val="16"/>
                <w:color w:val="auto"/>
              </w:rPr>
              <w:t>44,210,707</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r>
        <w:trPr>
          <w:trHeight w:val="205"/>
        </w:trPr>
        <w:tc>
          <w:tcPr>
            <w:tcW w:w="180" w:type="dxa"/>
            <w:vAlign w:val="bottom"/>
          </w:tcPr>
          <w:p>
            <w:pPr>
              <w:jc w:val="right"/>
              <w:spacing w:after="0"/>
              <w:rPr>
                <w:sz w:val="20"/>
                <w:szCs w:val="20"/>
                <w:color w:val="auto"/>
              </w:rPr>
            </w:pPr>
            <w:r>
              <w:rPr>
                <w:rFonts w:ascii="Arial" w:cs="Arial" w:eastAsia="Arial" w:hAnsi="Arial"/>
                <w:sz w:val="11"/>
                <w:szCs w:val="11"/>
                <w:color w:val="auto"/>
                <w:w w:val="74"/>
              </w:rPr>
              <w:t>(1)</w:t>
            </w:r>
          </w:p>
        </w:tc>
        <w:tc>
          <w:tcPr>
            <w:tcW w:w="5080" w:type="dxa"/>
            <w:vAlign w:val="bottom"/>
            <w:gridSpan w:val="2"/>
          </w:tcPr>
          <w:p>
            <w:pPr>
              <w:ind w:left="60"/>
              <w:spacing w:after="0"/>
              <w:rPr>
                <w:sz w:val="20"/>
                <w:szCs w:val="20"/>
                <w:color w:val="auto"/>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w:t>
            </w:r>
          </w:p>
        </w:tc>
        <w:tc>
          <w:tcPr>
            <w:tcW w:w="4300" w:type="dxa"/>
            <w:vAlign w:val="bottom"/>
            <w:gridSpan w:val="2"/>
          </w:tcPr>
          <w:p>
            <w:pPr>
              <w:ind w:left="120"/>
              <w:spacing w:after="0"/>
              <w:rPr>
                <w:sz w:val="20"/>
                <w:szCs w:val="20"/>
                <w:color w:val="auto"/>
              </w:rPr>
            </w:pPr>
            <w:r>
              <w:rPr>
                <w:rFonts w:ascii="Arial" w:cs="Arial" w:eastAsia="Arial" w:hAnsi="Arial"/>
                <w:sz w:val="14"/>
                <w:szCs w:val="14"/>
                <w:color w:val="auto"/>
              </w:rPr>
              <w:t>Our 2008 Plan was terminated effective March 7, 2017 and our</w:t>
            </w:r>
          </w:p>
        </w:tc>
        <w:tc>
          <w:tcPr>
            <w:tcW w:w="0" w:type="dxa"/>
            <w:vAlign w:val="bottom"/>
          </w:tcPr>
          <w:p>
            <w:pPr>
              <w:spacing w:after="0"/>
              <w:rPr>
                <w:sz w:val="1"/>
                <w:szCs w:val="1"/>
                <w:color w:val="auto"/>
              </w:rPr>
            </w:pPr>
          </w:p>
        </w:tc>
      </w:tr>
      <w:tr>
        <w:trPr>
          <w:trHeight w:val="205"/>
        </w:trPr>
        <w:tc>
          <w:tcPr>
            <w:tcW w:w="180" w:type="dxa"/>
            <w:vAlign w:val="bottom"/>
          </w:tcPr>
          <w:p>
            <w:pPr>
              <w:jc w:val="right"/>
              <w:spacing w:after="0"/>
              <w:rPr>
                <w:sz w:val="20"/>
                <w:szCs w:val="20"/>
                <w:color w:val="auto"/>
              </w:rPr>
            </w:pPr>
            <w:r>
              <w:rPr>
                <w:rFonts w:ascii="Arial" w:cs="Arial" w:eastAsia="Arial" w:hAnsi="Arial"/>
                <w:sz w:val="11"/>
                <w:szCs w:val="11"/>
                <w:color w:val="auto"/>
                <w:w w:val="74"/>
              </w:rPr>
              <w:t>(2)</w:t>
            </w:r>
          </w:p>
        </w:tc>
        <w:tc>
          <w:tcPr>
            <w:tcW w:w="5080" w:type="dxa"/>
            <w:vAlign w:val="bottom"/>
            <w:gridSpan w:val="2"/>
          </w:tcPr>
          <w:p>
            <w:pPr>
              <w:ind w:left="60"/>
              <w:spacing w:after="0"/>
              <w:rPr>
                <w:sz w:val="20"/>
                <w:szCs w:val="20"/>
                <w:color w:val="auto"/>
              </w:rPr>
            </w:pPr>
            <w:r>
              <w:rPr>
                <w:rFonts w:ascii="Arial" w:cs="Arial" w:eastAsia="Arial" w:hAnsi="Arial"/>
                <w:sz w:val="14"/>
                <w:szCs w:val="14"/>
                <w:color w:val="auto"/>
              </w:rPr>
              <w:t>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w:t>
            </w:r>
          </w:p>
        </w:tc>
        <w:tc>
          <w:tcPr>
            <w:tcW w:w="4300" w:type="dxa"/>
            <w:vAlign w:val="bottom"/>
            <w:gridSpan w:val="2"/>
          </w:tcPr>
          <w:p>
            <w:pPr>
              <w:ind w:left="120"/>
              <w:spacing w:after="0"/>
              <w:rPr>
                <w:sz w:val="20"/>
                <w:szCs w:val="20"/>
                <w:color w:val="auto"/>
              </w:rPr>
            </w:pPr>
            <w:r>
              <w:rPr>
                <w:rFonts w:ascii="Arial" w:cs="Arial" w:eastAsia="Arial" w:hAnsi="Arial"/>
                <w:sz w:val="14"/>
                <w:szCs w:val="14"/>
                <w:color w:val="auto"/>
              </w:rPr>
              <w:t>2017 Plan was terminated effective March 20, 2018.</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9380" w:type="dxa"/>
            <w:vAlign w:val="bottom"/>
            <w:gridSpan w:val="4"/>
          </w:tcPr>
          <w:p>
            <w:pPr>
              <w:ind w:left="60"/>
              <w:spacing w:after="0"/>
              <w:rPr>
                <w:sz w:val="20"/>
                <w:szCs w:val="20"/>
                <w:color w:val="auto"/>
              </w:rPr>
            </w:pPr>
            <w:r>
              <w:rPr>
                <w:rFonts w:ascii="Arial" w:cs="Arial" w:eastAsia="Arial" w:hAnsi="Arial"/>
                <w:sz w:val="14"/>
                <w:szCs w:val="14"/>
                <w:color w:val="auto"/>
              </w:rPr>
              <w:t>Includes 33,158,402 shares subject to options and RSUs outstanding as of December 31, 2020 that were issued under the 2008 Plan, 2017 Plan,</w:t>
            </w:r>
          </w:p>
        </w:tc>
        <w:tc>
          <w:tcPr>
            <w:tcW w:w="0" w:type="dxa"/>
            <w:vAlign w:val="bottom"/>
          </w:tcPr>
          <w:p>
            <w:pPr>
              <w:spacing w:after="0"/>
              <w:rPr>
                <w:sz w:val="1"/>
                <w:szCs w:val="1"/>
                <w:color w:val="auto"/>
              </w:rPr>
            </w:pPr>
          </w:p>
        </w:tc>
      </w:tr>
      <w:tr>
        <w:trPr>
          <w:trHeight w:val="172"/>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74"/>
              </w:rPr>
              <w:t>(3)</w:t>
            </w:r>
          </w:p>
        </w:tc>
        <w:tc>
          <w:tcPr>
            <w:tcW w:w="3180" w:type="dxa"/>
            <w:vAlign w:val="bottom"/>
          </w:tcPr>
          <w:p>
            <w:pPr>
              <w:ind w:left="60"/>
              <w:spacing w:after="0"/>
              <w:rPr>
                <w:sz w:val="20"/>
                <w:szCs w:val="20"/>
                <w:color w:val="auto"/>
              </w:rPr>
            </w:pPr>
            <w:r>
              <w:rPr>
                <w:rFonts w:ascii="Arial" w:cs="Arial" w:eastAsia="Arial" w:hAnsi="Arial"/>
                <w:sz w:val="14"/>
                <w:szCs w:val="14"/>
                <w:color w:val="auto"/>
              </w:rPr>
              <w:t>and 2018 Plan.</w:t>
            </w:r>
          </w:p>
        </w:tc>
        <w:tc>
          <w:tcPr>
            <w:tcW w:w="1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0" w:type="dxa"/>
            <w:vAlign w:val="bottom"/>
            <w:vMerge w:val="continue"/>
          </w:tcPr>
          <w:p>
            <w:pPr>
              <w:spacing w:after="0"/>
              <w:rPr>
                <w:sz w:val="11"/>
                <w:szCs w:val="11"/>
                <w:color w:val="auto"/>
              </w:rPr>
            </w:pPr>
          </w:p>
        </w:tc>
        <w:tc>
          <w:tcPr>
            <w:tcW w:w="7420" w:type="dxa"/>
            <w:vAlign w:val="bottom"/>
            <w:gridSpan w:val="3"/>
          </w:tcPr>
          <w:p>
            <w:pPr>
              <w:ind w:left="60"/>
              <w:spacing w:after="0" w:line="134" w:lineRule="exact"/>
              <w:rPr>
                <w:sz w:val="20"/>
                <w:szCs w:val="20"/>
                <w:color w:val="auto"/>
              </w:rPr>
            </w:pPr>
            <w:r>
              <w:rPr>
                <w:rFonts w:ascii="Arial" w:cs="Arial" w:eastAsia="Arial" w:hAnsi="Arial"/>
                <w:sz w:val="14"/>
                <w:szCs w:val="14"/>
                <w:color w:val="auto"/>
              </w:rPr>
              <w:t>RSUs, which do not have an exercise price, are excluded in the calculation of weighted-average exercise price.</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8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9380" w:type="dxa"/>
            <w:vAlign w:val="bottom"/>
            <w:gridSpan w:val="4"/>
          </w:tcPr>
          <w:p>
            <w:pPr>
              <w:ind w:left="60"/>
              <w:spacing w:after="0"/>
              <w:rPr>
                <w:sz w:val="20"/>
                <w:szCs w:val="20"/>
                <w:color w:val="auto"/>
              </w:rPr>
            </w:pPr>
            <w:r>
              <w:rPr>
                <w:rFonts w:ascii="Arial" w:cs="Arial" w:eastAsia="Arial" w:hAnsi="Arial"/>
                <w:sz w:val="14"/>
                <w:szCs w:val="14"/>
                <w:color w:val="auto"/>
              </w:rPr>
              <w:t>As of December 31, 2020, an aggregate of 77,369,109 shares of Class A common stock were available for issuance under our 2018 Plan.</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4" w:hanging="524"/>
        <w:spacing w:after="0"/>
        <w:tabs>
          <w:tab w:leader="none" w:pos="524"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60" w:name="page61"/>
    <w:bookmarkEnd w:id="60"/>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300"/>
        <w:spacing w:after="0" w:line="260" w:lineRule="auto"/>
        <w:rPr>
          <w:sz w:val="20"/>
          <w:szCs w:val="20"/>
          <w:color w:val="auto"/>
        </w:rPr>
      </w:pPr>
      <w:r>
        <w:rPr>
          <w:rFonts w:ascii="Arial" w:cs="Arial" w:eastAsia="Arial" w:hAnsi="Arial"/>
          <w:sz w:val="32"/>
          <w:szCs w:val="32"/>
          <w:color w:val="0063A6"/>
        </w:rPr>
        <w:t>SECURITY OWNERSHIP OF CERTAIN BENEFICIAL OWNERS AND MANAGEMENT</w:t>
      </w:r>
    </w:p>
    <w:p>
      <w:pPr>
        <w:spacing w:after="0" w:line="119" w:lineRule="exact"/>
        <w:rPr>
          <w:sz w:val="20"/>
          <w:szCs w:val="20"/>
          <w:color w:val="auto"/>
        </w:rPr>
      </w:pPr>
    </w:p>
    <w:p>
      <w:pPr>
        <w:ind w:left="4" w:right="160"/>
        <w:spacing w:after="0" w:line="260"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15, 2021 for:</w:t>
      </w:r>
    </w:p>
    <w:p>
      <w:pPr>
        <w:spacing w:after="0" w:line="141" w:lineRule="exact"/>
        <w:rPr>
          <w:sz w:val="20"/>
          <w:szCs w:val="20"/>
          <w:color w:val="auto"/>
        </w:rPr>
      </w:pPr>
    </w:p>
    <w:p>
      <w:pPr>
        <w:ind w:left="284" w:hanging="284"/>
        <w:spacing w:after="0"/>
        <w:tabs>
          <w:tab w:leader="none" w:pos="284"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all of our current directors, named executive officers and executive officers as a group; and</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67"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8"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We have based our calculation of the percentage of beneficial ownership on 320,053,903 shares of our Class A common stock, 83,230,914 shares of our Class B common stock, and no shares of our Class C common stock outstanding as of March 15, 2021. We have deemed shares of our common stock subject to stock options that are currently exercisable or exercisable within 60 days of March 15, 2021 or issuable pursuant to RSUs which are subject to vesting and settlement conditions expected to occur within 60 days of March 15, 2021,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54" w:lineRule="exact"/>
        <w:rPr>
          <w:sz w:val="20"/>
          <w:szCs w:val="20"/>
          <w:color w:val="auto"/>
        </w:rPr>
      </w:pPr>
    </w:p>
    <w:p>
      <w:pPr>
        <w:jc w:val="both"/>
        <w:ind w:left="4" w:right="300"/>
        <w:spacing w:after="0" w:line="253"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6077585" cy="43891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7585" cy="4389120"/>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3400" w:type="dxa"/>
            <w:vAlign w:val="bottom"/>
            <w:shd w:val="clear" w:color="auto" w:fill="0063A6"/>
          </w:tcPr>
          <w:p>
            <w:pPr>
              <w:spacing w:after="0"/>
              <w:rPr>
                <w:sz w:val="24"/>
                <w:szCs w:val="24"/>
                <w:color w:val="auto"/>
              </w:rPr>
            </w:pPr>
          </w:p>
        </w:tc>
        <w:tc>
          <w:tcPr>
            <w:tcW w:w="4080" w:type="dxa"/>
            <w:vAlign w:val="bottom"/>
            <w:gridSpan w:val="3"/>
            <w:shd w:val="clear" w:color="auto" w:fill="0063A6"/>
          </w:tcPr>
          <w:p>
            <w:pPr>
              <w:ind w:left="1000"/>
              <w:spacing w:after="0"/>
              <w:rPr>
                <w:sz w:val="20"/>
                <w:szCs w:val="20"/>
                <w:color w:val="auto"/>
              </w:rPr>
            </w:pPr>
            <w:r>
              <w:rPr>
                <w:rFonts w:ascii="Arial" w:cs="Arial" w:eastAsia="Arial" w:hAnsi="Arial"/>
                <w:sz w:val="14"/>
                <w:szCs w:val="14"/>
                <w:b w:val="1"/>
                <w:bCs w:val="1"/>
                <w:color w:val="FFFFFF"/>
              </w:rPr>
              <w:t>Amount and nature of beneficial ownership</w:t>
            </w:r>
          </w:p>
        </w:tc>
        <w:tc>
          <w:tcPr>
            <w:tcW w:w="800" w:type="dxa"/>
            <w:vAlign w:val="bottom"/>
            <w:shd w:val="clear" w:color="auto" w:fill="0063A6"/>
          </w:tcPr>
          <w:p>
            <w:pPr>
              <w:spacing w:after="0"/>
              <w:rPr>
                <w:sz w:val="24"/>
                <w:szCs w:val="24"/>
                <w:color w:val="auto"/>
              </w:rPr>
            </w:pPr>
          </w:p>
        </w:tc>
        <w:tc>
          <w:tcPr>
            <w:tcW w:w="128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40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780" w:type="dxa"/>
            <w:vAlign w:val="bottom"/>
            <w:shd w:val="clear" w:color="auto" w:fill="0063A6"/>
          </w:tcPr>
          <w:p>
            <w:pPr>
              <w:spacing w:after="0"/>
              <w:rPr>
                <w:sz w:val="24"/>
                <w:szCs w:val="24"/>
                <w:color w:val="auto"/>
              </w:rPr>
            </w:pPr>
          </w:p>
        </w:tc>
        <w:tc>
          <w:tcPr>
            <w:tcW w:w="1700" w:type="dxa"/>
            <w:vAlign w:val="bottom"/>
            <w:shd w:val="clear" w:color="auto" w:fill="0063A6"/>
          </w:tcPr>
          <w:p>
            <w:pPr>
              <w:jc w:val="center"/>
              <w:ind w:right="20"/>
              <w:spacing w:after="0"/>
              <w:rPr>
                <w:sz w:val="20"/>
                <w:szCs w:val="20"/>
                <w:color w:val="auto"/>
              </w:rPr>
            </w:pPr>
            <w:r>
              <w:rPr>
                <w:rFonts w:ascii="Arial" w:cs="Arial" w:eastAsia="Arial" w:hAnsi="Arial"/>
                <w:sz w:val="14"/>
                <w:szCs w:val="14"/>
                <w:b w:val="1"/>
                <w:bCs w:val="1"/>
                <w:color w:val="FFFFFF"/>
              </w:rPr>
              <w:t>Class B</w:t>
            </w:r>
          </w:p>
        </w:tc>
        <w:tc>
          <w:tcPr>
            <w:tcW w:w="800" w:type="dxa"/>
            <w:vAlign w:val="bottom"/>
            <w:shd w:val="clear" w:color="auto" w:fill="0063A6"/>
          </w:tcPr>
          <w:p>
            <w:pPr>
              <w:spacing w:after="0"/>
              <w:rPr>
                <w:sz w:val="24"/>
                <w:szCs w:val="24"/>
                <w:color w:val="auto"/>
              </w:rPr>
            </w:pP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283"/>
        </w:trPr>
        <w:tc>
          <w:tcPr>
            <w:tcW w:w="340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00" w:type="dxa"/>
            <w:vAlign w:val="bottom"/>
            <w:shd w:val="clear" w:color="auto" w:fill="0063A6"/>
          </w:tcPr>
          <w:p>
            <w:pPr>
              <w:jc w:val="center"/>
              <w:ind w:left="1"/>
              <w:spacing w:after="0"/>
              <w:rPr>
                <w:sz w:val="20"/>
                <w:szCs w:val="20"/>
                <w:color w:val="auto"/>
              </w:rPr>
            </w:pPr>
            <w:r>
              <w:rPr>
                <w:rFonts w:ascii="Arial" w:cs="Arial" w:eastAsia="Arial" w:hAnsi="Arial"/>
                <w:sz w:val="14"/>
                <w:szCs w:val="14"/>
                <w:b w:val="1"/>
                <w:bCs w:val="1"/>
                <w:color w:val="FFFFFF"/>
              </w:rPr>
              <w:t>Common shares</w:t>
            </w:r>
          </w:p>
        </w:tc>
        <w:tc>
          <w:tcPr>
            <w:tcW w:w="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shares†</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0063A6"/>
          </w:tcPr>
          <w:p>
            <w:pPr>
              <w:jc w:val="center"/>
              <w:ind w:left="40"/>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Named executive officers and directors:</w:t>
            </w:r>
          </w:p>
        </w:tc>
        <w:tc>
          <w:tcPr>
            <w:tcW w:w="160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1700" w:type="dxa"/>
            <w:vAlign w:val="bottom"/>
            <w:shd w:val="clear" w:color="auto" w:fill="F2F2F2"/>
          </w:tcPr>
          <w:p>
            <w:pPr>
              <w:spacing w:after="0"/>
              <w:rPr>
                <w:sz w:val="24"/>
                <w:szCs w:val="24"/>
                <w:color w:val="auto"/>
              </w:rPr>
            </w:pPr>
          </w:p>
        </w:tc>
        <w:tc>
          <w:tcPr>
            <w:tcW w:w="800" w:type="dxa"/>
            <w:vAlign w:val="bottom"/>
            <w:shd w:val="clear" w:color="auto" w:fill="F2F2F2"/>
          </w:tcPr>
          <w:p>
            <w:pPr>
              <w:spacing w:after="0"/>
              <w:rPr>
                <w:sz w:val="24"/>
                <w:szCs w:val="24"/>
                <w:color w:val="auto"/>
              </w:rPr>
            </w:pPr>
          </w:p>
        </w:tc>
        <w:tc>
          <w:tcPr>
            <w:tcW w:w="1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3400" w:type="dxa"/>
            <w:vAlign w:val="bottom"/>
          </w:tcPr>
          <w:p>
            <w:pPr>
              <w:ind w:left="60"/>
              <w:spacing w:after="0"/>
              <w:rPr>
                <w:sz w:val="20"/>
                <w:szCs w:val="20"/>
                <w:color w:val="auto"/>
              </w:rPr>
            </w:pPr>
            <w:r>
              <w:rPr>
                <w:rFonts w:ascii="Arial" w:cs="Arial" w:eastAsia="Arial" w:hAnsi="Arial"/>
                <w:sz w:val="16"/>
                <w:szCs w:val="16"/>
                <w:color w:val="auto"/>
              </w:rPr>
              <w:t>Andrew W. Houston</w:t>
            </w:r>
            <w:r>
              <w:rPr>
                <w:rFonts w:ascii="Arial" w:cs="Arial" w:eastAsia="Arial" w:hAnsi="Arial"/>
                <w:sz w:val="26"/>
                <w:szCs w:val="26"/>
                <w:color w:val="auto"/>
                <w:vertAlign w:val="superscript"/>
              </w:rPr>
              <w:t>(1)</w:t>
            </w:r>
          </w:p>
        </w:tc>
        <w:tc>
          <w:tcPr>
            <w:tcW w:w="1600" w:type="dxa"/>
            <w:vAlign w:val="bottom"/>
          </w:tcPr>
          <w:p>
            <w:pPr>
              <w:jc w:val="right"/>
              <w:ind w:right="221"/>
              <w:spacing w:after="0"/>
              <w:rPr>
                <w:sz w:val="20"/>
                <w:szCs w:val="20"/>
                <w:color w:val="auto"/>
              </w:rPr>
            </w:pPr>
            <w:r>
              <w:rPr>
                <w:rFonts w:ascii="Arial" w:cs="Arial" w:eastAsia="Arial" w:hAnsi="Arial"/>
                <w:sz w:val="16"/>
                <w:szCs w:val="16"/>
                <w:color w:val="auto"/>
              </w:rPr>
              <w:t>11,596,461</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3.6%</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81,307,337</w:t>
            </w:r>
          </w:p>
        </w:tc>
        <w:tc>
          <w:tcPr>
            <w:tcW w:w="800" w:type="dxa"/>
            <w:vAlign w:val="bottom"/>
          </w:tcPr>
          <w:p>
            <w:pPr>
              <w:jc w:val="center"/>
              <w:spacing w:after="0"/>
              <w:rPr>
                <w:sz w:val="20"/>
                <w:szCs w:val="20"/>
                <w:color w:val="auto"/>
              </w:rPr>
            </w:pPr>
            <w:r>
              <w:rPr>
                <w:rFonts w:ascii="Arial" w:cs="Arial" w:eastAsia="Arial" w:hAnsi="Arial"/>
                <w:sz w:val="16"/>
                <w:szCs w:val="16"/>
                <w:color w:val="auto"/>
              </w:rPr>
              <w:t>97.7%</w:t>
            </w:r>
          </w:p>
        </w:tc>
        <w:tc>
          <w:tcPr>
            <w:tcW w:w="1280" w:type="dxa"/>
            <w:vAlign w:val="bottom"/>
          </w:tcPr>
          <w:p>
            <w:pPr>
              <w:jc w:val="center"/>
              <w:ind w:left="2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1600" w:type="dxa"/>
            <w:vAlign w:val="bottom"/>
            <w:shd w:val="clear" w:color="auto" w:fill="F2F2F2"/>
          </w:tcPr>
          <w:p>
            <w:pPr>
              <w:jc w:val="right"/>
              <w:ind w:right="241"/>
              <w:spacing w:after="0"/>
              <w:rPr>
                <w:sz w:val="20"/>
                <w:szCs w:val="20"/>
                <w:color w:val="auto"/>
              </w:rPr>
            </w:pPr>
            <w:r>
              <w:rPr>
                <w:rFonts w:ascii="Arial" w:cs="Arial" w:eastAsia="Arial" w:hAnsi="Arial"/>
                <w:sz w:val="16"/>
                <w:szCs w:val="16"/>
                <w:color w:val="auto"/>
              </w:rPr>
              <w:t>228,261</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tcPr>
          <w:p>
            <w:pPr>
              <w:ind w:left="60"/>
              <w:spacing w:after="0"/>
              <w:rPr>
                <w:sz w:val="20"/>
                <w:szCs w:val="20"/>
                <w:color w:val="auto"/>
              </w:rPr>
            </w:pPr>
            <w:r>
              <w:rPr>
                <w:rFonts w:ascii="Arial" w:cs="Arial" w:eastAsia="Arial" w:hAnsi="Arial"/>
                <w:sz w:val="16"/>
                <w:szCs w:val="16"/>
                <w:color w:val="auto"/>
              </w:rPr>
              <w:t>Timothy Young</w:t>
            </w:r>
          </w:p>
        </w:tc>
        <w:tc>
          <w:tcPr>
            <w:tcW w:w="1600" w:type="dxa"/>
            <w:vAlign w:val="bottom"/>
          </w:tcPr>
          <w:p>
            <w:pPr>
              <w:jc w:val="right"/>
              <w:ind w:right="241"/>
              <w:spacing w:after="0"/>
              <w:rPr>
                <w:sz w:val="20"/>
                <w:szCs w:val="20"/>
                <w:color w:val="auto"/>
              </w:rPr>
            </w:pPr>
            <w:r>
              <w:rPr>
                <w:rFonts w:ascii="Arial" w:cs="Arial" w:eastAsia="Arial" w:hAnsi="Arial"/>
                <w:sz w:val="16"/>
                <w:szCs w:val="16"/>
                <w:color w:val="auto"/>
              </w:rPr>
              <w:t>1,432,428</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Bart E. Volkmer</w:t>
            </w:r>
          </w:p>
        </w:tc>
        <w:tc>
          <w:tcPr>
            <w:tcW w:w="1600" w:type="dxa"/>
            <w:vAlign w:val="bottom"/>
            <w:shd w:val="clear" w:color="auto" w:fill="F2F2F2"/>
          </w:tcPr>
          <w:p>
            <w:pPr>
              <w:jc w:val="right"/>
              <w:ind w:right="241"/>
              <w:spacing w:after="0"/>
              <w:rPr>
                <w:sz w:val="20"/>
                <w:szCs w:val="20"/>
                <w:color w:val="auto"/>
              </w:rPr>
            </w:pPr>
            <w:r>
              <w:rPr>
                <w:rFonts w:ascii="Arial" w:cs="Arial" w:eastAsia="Arial" w:hAnsi="Arial"/>
                <w:sz w:val="16"/>
                <w:szCs w:val="16"/>
                <w:color w:val="auto"/>
              </w:rPr>
              <w:t>107,446</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right"/>
              <w:ind w:right="400"/>
              <w:spacing w:after="0"/>
              <w:rPr>
                <w:sz w:val="20"/>
                <w:szCs w:val="20"/>
                <w:color w:val="auto"/>
              </w:rPr>
            </w:pPr>
            <w:r>
              <w:rPr>
                <w:rFonts w:ascii="Arial" w:cs="Arial" w:eastAsia="Arial" w:hAnsi="Arial"/>
                <w:sz w:val="16"/>
                <w:szCs w:val="16"/>
                <w:color w:val="auto"/>
              </w:rPr>
              <w:t>312,847</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tcPr>
          <w:p>
            <w:pPr>
              <w:ind w:left="60"/>
              <w:spacing w:after="0"/>
              <w:rPr>
                <w:sz w:val="20"/>
                <w:szCs w:val="20"/>
                <w:color w:val="auto"/>
              </w:rPr>
            </w:pPr>
            <w:r>
              <w:rPr>
                <w:rFonts w:ascii="Arial" w:cs="Arial" w:eastAsia="Arial" w:hAnsi="Arial"/>
                <w:sz w:val="16"/>
                <w:szCs w:val="16"/>
                <w:color w:val="auto"/>
              </w:rPr>
              <w:t>Ajay V. Vashee</w:t>
            </w:r>
          </w:p>
        </w:tc>
        <w:tc>
          <w:tcPr>
            <w:tcW w:w="160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Olivia Nottebohm</w:t>
            </w:r>
          </w:p>
        </w:tc>
        <w:tc>
          <w:tcPr>
            <w:tcW w:w="1600" w:type="dxa"/>
            <w:vAlign w:val="bottom"/>
            <w:shd w:val="clear" w:color="auto" w:fill="F2F2F2"/>
          </w:tcPr>
          <w:p>
            <w:pPr>
              <w:jc w:val="right"/>
              <w:ind w:right="221"/>
              <w:spacing w:after="0"/>
              <w:rPr>
                <w:sz w:val="20"/>
                <w:szCs w:val="20"/>
                <w:color w:val="auto"/>
              </w:rPr>
            </w:pPr>
            <w:r>
              <w:rPr>
                <w:rFonts w:ascii="Arial" w:cs="Arial" w:eastAsia="Arial" w:hAnsi="Arial"/>
                <w:sz w:val="16"/>
                <w:szCs w:val="16"/>
                <w:color w:val="auto"/>
              </w:rPr>
              <w:t>112,565</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tcPr>
          <w:p>
            <w:pPr>
              <w:ind w:left="60"/>
              <w:spacing w:after="0"/>
              <w:rPr>
                <w:sz w:val="20"/>
                <w:szCs w:val="20"/>
                <w:color w:val="auto"/>
              </w:rPr>
            </w:pPr>
            <w:r>
              <w:rPr>
                <w:rFonts w:ascii="Arial" w:cs="Arial" w:eastAsia="Arial" w:hAnsi="Arial"/>
                <w:sz w:val="16"/>
                <w:szCs w:val="16"/>
                <w:color w:val="auto"/>
              </w:rPr>
              <w:t>Donald W. Blair</w:t>
            </w:r>
          </w:p>
        </w:tc>
        <w:tc>
          <w:tcPr>
            <w:tcW w:w="1600" w:type="dxa"/>
            <w:vAlign w:val="bottom"/>
          </w:tcPr>
          <w:p>
            <w:pPr>
              <w:jc w:val="right"/>
              <w:ind w:right="241"/>
              <w:spacing w:after="0"/>
              <w:rPr>
                <w:sz w:val="20"/>
                <w:szCs w:val="20"/>
                <w:color w:val="auto"/>
              </w:rPr>
            </w:pPr>
            <w:r>
              <w:rPr>
                <w:rFonts w:ascii="Arial" w:cs="Arial" w:eastAsia="Arial" w:hAnsi="Arial"/>
                <w:sz w:val="16"/>
                <w:szCs w:val="16"/>
                <w:color w:val="auto"/>
              </w:rPr>
              <w:t>56,631</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Lisa Campbell</w:t>
            </w:r>
          </w:p>
        </w:tc>
        <w:tc>
          <w:tcPr>
            <w:tcW w:w="1600" w:type="dxa"/>
            <w:vAlign w:val="bottom"/>
            <w:shd w:val="clear" w:color="auto" w:fill="F2F2F2"/>
          </w:tcPr>
          <w:p>
            <w:pPr>
              <w:jc w:val="right"/>
              <w:ind w:right="221"/>
              <w:spacing w:after="0"/>
              <w:rPr>
                <w:sz w:val="20"/>
                <w:szCs w:val="20"/>
                <w:color w:val="auto"/>
              </w:rPr>
            </w:pPr>
            <w:r>
              <w:rPr>
                <w:rFonts w:ascii="Arial" w:cs="Arial" w:eastAsia="Arial" w:hAnsi="Arial"/>
                <w:sz w:val="16"/>
                <w:szCs w:val="16"/>
                <w:color w:val="auto"/>
              </w:rPr>
              <w:t>6,369</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3400" w:type="dxa"/>
            <w:vAlign w:val="bottom"/>
          </w:tcPr>
          <w:p>
            <w:pPr>
              <w:ind w:left="60"/>
              <w:spacing w:after="0"/>
              <w:rPr>
                <w:sz w:val="20"/>
                <w:szCs w:val="20"/>
                <w:color w:val="auto"/>
              </w:rPr>
            </w:pPr>
            <w:r>
              <w:rPr>
                <w:rFonts w:ascii="Arial" w:cs="Arial" w:eastAsia="Arial" w:hAnsi="Arial"/>
                <w:sz w:val="16"/>
                <w:szCs w:val="16"/>
                <w:color w:val="auto"/>
              </w:rPr>
              <w:t>Paul E. Jacobs</w:t>
            </w:r>
            <w:r>
              <w:rPr>
                <w:rFonts w:ascii="Arial" w:cs="Arial" w:eastAsia="Arial" w:hAnsi="Arial"/>
                <w:sz w:val="26"/>
                <w:szCs w:val="26"/>
                <w:color w:val="auto"/>
                <w:vertAlign w:val="superscript"/>
              </w:rPr>
              <w:t>(2)</w:t>
            </w:r>
          </w:p>
        </w:tc>
        <w:tc>
          <w:tcPr>
            <w:tcW w:w="1600" w:type="dxa"/>
            <w:vAlign w:val="bottom"/>
          </w:tcPr>
          <w:p>
            <w:pPr>
              <w:jc w:val="right"/>
              <w:ind w:right="241"/>
              <w:spacing w:after="0"/>
              <w:rPr>
                <w:sz w:val="20"/>
                <w:szCs w:val="20"/>
                <w:color w:val="auto"/>
              </w:rPr>
            </w:pPr>
            <w:r>
              <w:rPr>
                <w:rFonts w:ascii="Arial" w:cs="Arial" w:eastAsia="Arial" w:hAnsi="Arial"/>
                <w:sz w:val="16"/>
                <w:szCs w:val="16"/>
                <w:color w:val="auto"/>
              </w:rPr>
              <w:t>258,975</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78"/>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Robert J. Mylod, Jr.</w:t>
            </w:r>
            <w:r>
              <w:rPr>
                <w:rFonts w:ascii="Arial" w:cs="Arial" w:eastAsia="Arial" w:hAnsi="Arial"/>
                <w:sz w:val="26"/>
                <w:szCs w:val="26"/>
                <w:color w:val="auto"/>
                <w:vertAlign w:val="superscript"/>
              </w:rPr>
              <w:t>(3)</w:t>
            </w:r>
          </w:p>
        </w:tc>
        <w:tc>
          <w:tcPr>
            <w:tcW w:w="1600" w:type="dxa"/>
            <w:vAlign w:val="bottom"/>
            <w:shd w:val="clear" w:color="auto" w:fill="F2F2F2"/>
          </w:tcPr>
          <w:p>
            <w:pPr>
              <w:jc w:val="right"/>
              <w:ind w:right="241"/>
              <w:spacing w:after="0"/>
              <w:rPr>
                <w:sz w:val="20"/>
                <w:szCs w:val="20"/>
                <w:color w:val="auto"/>
              </w:rPr>
            </w:pPr>
            <w:r>
              <w:rPr>
                <w:rFonts w:ascii="Arial" w:cs="Arial" w:eastAsia="Arial" w:hAnsi="Arial"/>
                <w:sz w:val="16"/>
                <w:szCs w:val="16"/>
                <w:color w:val="auto"/>
              </w:rPr>
              <w:t>290,309</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1"/>
        </w:trPr>
        <w:tc>
          <w:tcPr>
            <w:tcW w:w="3400" w:type="dxa"/>
            <w:vAlign w:val="bottom"/>
          </w:tcPr>
          <w:p>
            <w:pPr>
              <w:ind w:left="60"/>
              <w:spacing w:after="0"/>
              <w:rPr>
                <w:sz w:val="20"/>
                <w:szCs w:val="20"/>
                <w:color w:val="auto"/>
              </w:rPr>
            </w:pPr>
            <w:r>
              <w:rPr>
                <w:rFonts w:ascii="Arial" w:cs="Arial" w:eastAsia="Arial" w:hAnsi="Arial"/>
                <w:sz w:val="16"/>
                <w:szCs w:val="16"/>
                <w:color w:val="auto"/>
              </w:rPr>
              <w:t>Karen Peacock</w:t>
            </w:r>
          </w:p>
        </w:tc>
        <w:tc>
          <w:tcPr>
            <w:tcW w:w="1600" w:type="dxa"/>
            <w:vAlign w:val="bottom"/>
          </w:tcPr>
          <w:p>
            <w:pPr>
              <w:jc w:val="right"/>
              <w:ind w:right="221"/>
              <w:spacing w:after="0"/>
              <w:rPr>
                <w:sz w:val="20"/>
                <w:szCs w:val="20"/>
                <w:color w:val="auto"/>
              </w:rPr>
            </w:pPr>
            <w:r>
              <w:rPr>
                <w:rFonts w:ascii="Arial" w:cs="Arial" w:eastAsia="Arial" w:hAnsi="Arial"/>
                <w:sz w:val="16"/>
                <w:szCs w:val="16"/>
                <w:color w:val="auto"/>
              </w:rPr>
              <w:t>3,169</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Condoleezza Rice</w:t>
            </w:r>
          </w:p>
        </w:tc>
        <w:tc>
          <w:tcPr>
            <w:tcW w:w="1600" w:type="dxa"/>
            <w:vAlign w:val="bottom"/>
            <w:shd w:val="clear" w:color="auto" w:fill="F2F2F2"/>
          </w:tcPr>
          <w:p>
            <w:pPr>
              <w:jc w:val="right"/>
              <w:ind w:right="241"/>
              <w:spacing w:after="0"/>
              <w:rPr>
                <w:sz w:val="20"/>
                <w:szCs w:val="20"/>
                <w:color w:val="auto"/>
              </w:rPr>
            </w:pPr>
            <w:r>
              <w:rPr>
                <w:rFonts w:ascii="Arial" w:cs="Arial" w:eastAsia="Arial" w:hAnsi="Arial"/>
                <w:sz w:val="16"/>
                <w:szCs w:val="16"/>
                <w:color w:val="auto"/>
              </w:rPr>
              <w:t>56,407</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87"/>
        </w:trPr>
        <w:tc>
          <w:tcPr>
            <w:tcW w:w="340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0" w:type="dxa"/>
            <w:vAlign w:val="bottom"/>
          </w:tcPr>
          <w:p>
            <w:pPr>
              <w:ind w:left="60"/>
              <w:spacing w:after="0"/>
              <w:rPr>
                <w:sz w:val="20"/>
                <w:szCs w:val="20"/>
                <w:color w:val="auto"/>
              </w:rPr>
            </w:pPr>
            <w:r>
              <w:rPr>
                <w:rFonts w:ascii="Arial" w:cs="Arial" w:eastAsia="Arial" w:hAnsi="Arial"/>
                <w:sz w:val="16"/>
                <w:szCs w:val="16"/>
                <w:color w:val="auto"/>
              </w:rPr>
              <w:t>Michael Seibel</w:t>
            </w:r>
          </w:p>
        </w:tc>
        <w:tc>
          <w:tcPr>
            <w:tcW w:w="160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All current directors, named executive</w:t>
            </w:r>
          </w:p>
        </w:tc>
        <w:tc>
          <w:tcPr>
            <w:tcW w:w="160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1700" w:type="dxa"/>
            <w:vAlign w:val="bottom"/>
            <w:shd w:val="clear" w:color="auto" w:fill="F2F2F2"/>
          </w:tcPr>
          <w:p>
            <w:pPr>
              <w:spacing w:after="0"/>
              <w:rPr>
                <w:sz w:val="24"/>
                <w:szCs w:val="24"/>
                <w:color w:val="auto"/>
              </w:rPr>
            </w:pPr>
          </w:p>
        </w:tc>
        <w:tc>
          <w:tcPr>
            <w:tcW w:w="800" w:type="dxa"/>
            <w:vAlign w:val="bottom"/>
            <w:shd w:val="clear" w:color="auto" w:fill="F2F2F2"/>
          </w:tcPr>
          <w:p>
            <w:pPr>
              <w:spacing w:after="0"/>
              <w:rPr>
                <w:sz w:val="24"/>
                <w:szCs w:val="24"/>
                <w:color w:val="auto"/>
              </w:rPr>
            </w:pPr>
          </w:p>
        </w:tc>
        <w:tc>
          <w:tcPr>
            <w:tcW w:w="1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officers and executive officers as a group</w:t>
            </w:r>
          </w:p>
        </w:tc>
        <w:tc>
          <w:tcPr>
            <w:tcW w:w="1600" w:type="dxa"/>
            <w:vAlign w:val="bottom"/>
            <w:vMerge w:val="restart"/>
            <w:shd w:val="clear" w:color="auto" w:fill="F2F2F2"/>
          </w:tcPr>
          <w:p>
            <w:pPr>
              <w:jc w:val="right"/>
              <w:ind w:right="181"/>
              <w:spacing w:after="0"/>
              <w:rPr>
                <w:sz w:val="20"/>
                <w:szCs w:val="20"/>
                <w:color w:val="auto"/>
              </w:rPr>
            </w:pPr>
            <w:r>
              <w:rPr>
                <w:rFonts w:ascii="Arial" w:cs="Arial" w:eastAsia="Arial" w:hAnsi="Arial"/>
                <w:sz w:val="16"/>
                <w:szCs w:val="16"/>
                <w:color w:val="auto"/>
              </w:rPr>
              <w:t>14,149,021</w:t>
            </w:r>
            <w:r>
              <w:rPr>
                <w:rFonts w:ascii="Arial" w:cs="Arial" w:eastAsia="Arial" w:hAnsi="Arial"/>
                <w:sz w:val="26"/>
                <w:szCs w:val="26"/>
                <w:color w:val="auto"/>
                <w:vertAlign w:val="superscript"/>
              </w:rPr>
              <w:t>(4)</w:t>
            </w:r>
          </w:p>
        </w:tc>
        <w:tc>
          <w:tcPr>
            <w:tcW w:w="780" w:type="dxa"/>
            <w:vAlign w:val="bottom"/>
            <w:shd w:val="clear" w:color="auto" w:fill="F2F2F2"/>
          </w:tcPr>
          <w:p>
            <w:pPr>
              <w:spacing w:after="0"/>
              <w:rPr>
                <w:sz w:val="16"/>
                <w:szCs w:val="16"/>
                <w:color w:val="auto"/>
              </w:rPr>
            </w:pPr>
          </w:p>
        </w:tc>
        <w:tc>
          <w:tcPr>
            <w:tcW w:w="1700" w:type="dxa"/>
            <w:vAlign w:val="bottom"/>
            <w:vMerge w:val="restart"/>
            <w:shd w:val="clear" w:color="auto" w:fill="F2F2F2"/>
          </w:tcPr>
          <w:p>
            <w:pPr>
              <w:jc w:val="center"/>
              <w:ind w:right="220"/>
              <w:spacing w:after="0"/>
              <w:rPr>
                <w:sz w:val="20"/>
                <w:szCs w:val="20"/>
                <w:color w:val="auto"/>
              </w:rPr>
            </w:pPr>
            <w:r>
              <w:rPr>
                <w:rFonts w:ascii="Arial" w:cs="Arial" w:eastAsia="Arial" w:hAnsi="Arial"/>
                <w:sz w:val="16"/>
                <w:szCs w:val="16"/>
                <w:color w:val="auto"/>
              </w:rPr>
              <w:t>81,620,184</w:t>
            </w:r>
            <w:r>
              <w:rPr>
                <w:rFonts w:ascii="Arial" w:cs="Arial" w:eastAsia="Arial" w:hAnsi="Arial"/>
                <w:sz w:val="26"/>
                <w:szCs w:val="26"/>
                <w:color w:val="auto"/>
                <w:vertAlign w:val="superscript"/>
              </w:rPr>
              <w:t>(5)</w:t>
            </w:r>
          </w:p>
        </w:tc>
        <w:tc>
          <w:tcPr>
            <w:tcW w:w="80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(13 persons)</w:t>
            </w:r>
          </w:p>
        </w:tc>
        <w:tc>
          <w:tcPr>
            <w:tcW w:w="1600" w:type="dxa"/>
            <w:vAlign w:val="bottom"/>
            <w:vMerge w:val="continue"/>
            <w:shd w:val="clear" w:color="auto" w:fill="F2F2F2"/>
          </w:tcPr>
          <w:p>
            <w:pPr>
              <w:spacing w:after="0"/>
              <w:rPr>
                <w:sz w:val="22"/>
                <w:szCs w:val="22"/>
                <w:color w:val="auto"/>
              </w:rPr>
            </w:pP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4.4%</w:t>
            </w:r>
          </w:p>
        </w:tc>
        <w:tc>
          <w:tcPr>
            <w:tcW w:w="1700" w:type="dxa"/>
            <w:vAlign w:val="bottom"/>
            <w:vMerge w:val="continue"/>
            <w:shd w:val="clear" w:color="auto" w:fill="F2F2F2"/>
          </w:tcPr>
          <w:p>
            <w:pPr>
              <w:spacing w:after="0"/>
              <w:rPr>
                <w:sz w:val="22"/>
                <w:szCs w:val="22"/>
                <w:color w:val="auto"/>
              </w:rPr>
            </w:pP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98.1%</w:t>
            </w:r>
          </w:p>
        </w:tc>
        <w:tc>
          <w:tcPr>
            <w:tcW w:w="128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84"/>
          </w:cols>
          <w:pgMar w:left="1156" w:top="265" w:right="1159" w:bottom="1440" w:gutter="0" w:footer="0" w:header="0"/>
        </w:sectPr>
      </w:pPr>
    </w:p>
    <w:p>
      <w:pPr>
        <w:spacing w:after="0" w:line="16" w:lineRule="exact"/>
        <w:rPr>
          <w:sz w:val="20"/>
          <w:szCs w:val="20"/>
          <w:color w:val="auto"/>
        </w:rPr>
      </w:pPr>
    </w:p>
    <w:p>
      <w:pPr>
        <w:ind w:left="3664"/>
        <w:spacing w:after="0"/>
        <w:tabs>
          <w:tab w:leader="none" w:pos="9404"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61" w:name="page62"/>
    <w:bookmarkEnd w:id="6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80"/>
        <w:spacing w:after="0" w:line="260" w:lineRule="auto"/>
        <w:rPr>
          <w:sz w:val="20"/>
          <w:szCs w:val="20"/>
          <w:color w:val="auto"/>
        </w:rPr>
      </w:pPr>
      <w:r>
        <w:rPr>
          <w:rFonts w:ascii="Arial" w:cs="Arial" w:eastAsia="Arial" w:hAnsi="Arial"/>
          <w:sz w:val="32"/>
          <w:szCs w:val="32"/>
          <w:color w:val="0063A6"/>
        </w:rPr>
        <w:t>SECURITY OWNERSHIP OF CERTAIN BENEFICIAL OWNERS AND MANAGEMENT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6077585" cy="1508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7585" cy="1508760"/>
                    </a:xfrm>
                    <a:prstGeom prst="rect">
                      <a:avLst/>
                    </a:prstGeom>
                    <a:noFill/>
                  </pic:spPr>
                </pic:pic>
              </a:graphicData>
            </a:graphic>
          </wp:anchor>
        </w:drawing>
      </w:r>
    </w:p>
    <w:p>
      <w:pPr>
        <w:spacing w:after="0" w:line="380"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3020" w:type="dxa"/>
            <w:vAlign w:val="bottom"/>
            <w:shd w:val="clear" w:color="auto" w:fill="0063A6"/>
          </w:tcPr>
          <w:p>
            <w:pPr>
              <w:spacing w:after="0"/>
              <w:rPr>
                <w:sz w:val="24"/>
                <w:szCs w:val="24"/>
                <w:color w:val="auto"/>
              </w:rPr>
            </w:pPr>
          </w:p>
        </w:tc>
        <w:tc>
          <w:tcPr>
            <w:tcW w:w="4440" w:type="dxa"/>
            <w:vAlign w:val="bottom"/>
            <w:gridSpan w:val="3"/>
            <w:shd w:val="clear" w:color="auto" w:fill="0063A6"/>
          </w:tcPr>
          <w:p>
            <w:pPr>
              <w:ind w:left="1220"/>
              <w:spacing w:after="0"/>
              <w:rPr>
                <w:sz w:val="20"/>
                <w:szCs w:val="20"/>
                <w:color w:val="auto"/>
              </w:rPr>
            </w:pPr>
            <w:r>
              <w:rPr>
                <w:rFonts w:ascii="Arial" w:cs="Arial" w:eastAsia="Arial" w:hAnsi="Arial"/>
                <w:sz w:val="14"/>
                <w:szCs w:val="14"/>
                <w:b w:val="1"/>
                <w:bCs w:val="1"/>
                <w:color w:val="FFFFFF"/>
              </w:rPr>
              <w:t>Amount and nature of beneficial ownership</w:t>
            </w:r>
          </w:p>
        </w:tc>
        <w:tc>
          <w:tcPr>
            <w:tcW w:w="620" w:type="dxa"/>
            <w:vAlign w:val="bottom"/>
            <w:shd w:val="clear" w:color="auto" w:fill="0063A6"/>
          </w:tcPr>
          <w:p>
            <w:pPr>
              <w:spacing w:after="0"/>
              <w:rPr>
                <w:sz w:val="24"/>
                <w:szCs w:val="24"/>
                <w:color w:val="auto"/>
              </w:rPr>
            </w:pPr>
          </w:p>
        </w:tc>
        <w:tc>
          <w:tcPr>
            <w:tcW w:w="13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3020" w:type="dxa"/>
            <w:vAlign w:val="bottom"/>
            <w:shd w:val="clear" w:color="auto" w:fill="0063A6"/>
          </w:tcPr>
          <w:p>
            <w:pPr>
              <w:spacing w:after="0"/>
              <w:rPr>
                <w:sz w:val="24"/>
                <w:szCs w:val="24"/>
                <w:color w:val="auto"/>
              </w:rPr>
            </w:pPr>
          </w:p>
        </w:tc>
        <w:tc>
          <w:tcPr>
            <w:tcW w:w="2120" w:type="dxa"/>
            <w:vAlign w:val="bottom"/>
            <w:shd w:val="clear" w:color="auto" w:fill="0063A6"/>
          </w:tcPr>
          <w:p>
            <w:pPr>
              <w:jc w:val="center"/>
              <w:ind w:left="44"/>
              <w:spacing w:after="0"/>
              <w:rPr>
                <w:sz w:val="20"/>
                <w:szCs w:val="20"/>
                <w:color w:val="auto"/>
              </w:rPr>
            </w:pPr>
            <w:r>
              <w:rPr>
                <w:rFonts w:ascii="Arial" w:cs="Arial" w:eastAsia="Arial" w:hAnsi="Arial"/>
                <w:sz w:val="14"/>
                <w:szCs w:val="14"/>
                <w:b w:val="1"/>
                <w:bCs w:val="1"/>
                <w:color w:val="FFFFFF"/>
              </w:rPr>
              <w:t>Class A</w:t>
            </w:r>
          </w:p>
        </w:tc>
        <w:tc>
          <w:tcPr>
            <w:tcW w:w="640" w:type="dxa"/>
            <w:vAlign w:val="bottom"/>
            <w:shd w:val="clear" w:color="auto" w:fill="0063A6"/>
          </w:tcPr>
          <w:p>
            <w:pPr>
              <w:spacing w:after="0"/>
              <w:rPr>
                <w:sz w:val="24"/>
                <w:szCs w:val="24"/>
                <w:color w:val="auto"/>
              </w:rPr>
            </w:pPr>
          </w:p>
        </w:tc>
        <w:tc>
          <w:tcPr>
            <w:tcW w:w="16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620" w:type="dxa"/>
            <w:vAlign w:val="bottom"/>
            <w:shd w:val="clear" w:color="auto" w:fill="0063A6"/>
          </w:tcPr>
          <w:p>
            <w:pPr>
              <w:spacing w:after="0"/>
              <w:rPr>
                <w:sz w:val="24"/>
                <w:szCs w:val="24"/>
                <w:color w:val="auto"/>
              </w:rPr>
            </w:pPr>
          </w:p>
        </w:tc>
        <w:tc>
          <w:tcPr>
            <w:tcW w:w="1300" w:type="dxa"/>
            <w:vAlign w:val="bottom"/>
            <w:shd w:val="clear" w:color="auto" w:fill="0063A6"/>
          </w:tcPr>
          <w:p>
            <w:pPr>
              <w:jc w:val="center"/>
              <w:ind w:left="24"/>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283"/>
        </w:trPr>
        <w:tc>
          <w:tcPr>
            <w:tcW w:w="40" w:type="dxa"/>
            <w:vAlign w:val="bottom"/>
            <w:shd w:val="clear" w:color="auto" w:fill="0063A6"/>
          </w:tcPr>
          <w:p>
            <w:pPr>
              <w:spacing w:after="0"/>
              <w:rPr>
                <w:sz w:val="24"/>
                <w:szCs w:val="24"/>
                <w:color w:val="auto"/>
              </w:rPr>
            </w:pPr>
          </w:p>
        </w:tc>
        <w:tc>
          <w:tcPr>
            <w:tcW w:w="3160" w:type="dxa"/>
            <w:vAlign w:val="bottom"/>
            <w:gridSpan w:val="2"/>
            <w:shd w:val="clear" w:color="auto" w:fill="0063A6"/>
          </w:tcPr>
          <w:p>
            <w:pPr>
              <w:ind w:left="40"/>
              <w:spacing w:after="0"/>
              <w:rPr>
                <w:sz w:val="20"/>
                <w:szCs w:val="20"/>
                <w:color w:val="auto"/>
              </w:rPr>
            </w:pPr>
            <w:r>
              <w:rPr>
                <w:rFonts w:ascii="Arial" w:cs="Arial" w:eastAsia="Arial" w:hAnsi="Arial"/>
                <w:sz w:val="14"/>
                <w:szCs w:val="14"/>
                <w:b w:val="1"/>
                <w:bCs w:val="1"/>
                <w:color w:val="FFFFFF"/>
              </w:rPr>
              <w:t>Name of beneficial owner</w:t>
            </w:r>
          </w:p>
        </w:tc>
        <w:tc>
          <w:tcPr>
            <w:tcW w:w="2120" w:type="dxa"/>
            <w:vAlign w:val="bottom"/>
            <w:shd w:val="clear" w:color="auto" w:fill="0063A6"/>
          </w:tcPr>
          <w:p>
            <w:pPr>
              <w:jc w:val="center"/>
              <w:ind w:left="64"/>
              <w:spacing w:after="0"/>
              <w:rPr>
                <w:sz w:val="20"/>
                <w:szCs w:val="20"/>
                <w:color w:val="auto"/>
              </w:rPr>
            </w:pPr>
            <w:r>
              <w:rPr>
                <w:rFonts w:ascii="Arial" w:cs="Arial" w:eastAsia="Arial" w:hAnsi="Arial"/>
                <w:sz w:val="14"/>
                <w:szCs w:val="14"/>
                <w:b w:val="1"/>
                <w:bCs w:val="1"/>
                <w:color w:val="FFFFFF"/>
              </w:rPr>
              <w:t>Common shares</w:t>
            </w:r>
          </w:p>
        </w:tc>
        <w:tc>
          <w:tcPr>
            <w:tcW w:w="640" w:type="dxa"/>
            <w:vAlign w:val="bottom"/>
            <w:shd w:val="clear" w:color="auto" w:fill="0063A6"/>
          </w:tcPr>
          <w:p>
            <w:pPr>
              <w:jc w:val="center"/>
              <w:ind w:right="102"/>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shares†</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3A6"/>
          </w:tcPr>
          <w:p>
            <w:pPr>
              <w:jc w:val="center"/>
              <w:ind w:left="64"/>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4"/>
                <w:szCs w:val="24"/>
                <w:color w:val="auto"/>
              </w:rPr>
            </w:pPr>
          </w:p>
        </w:tc>
        <w:tc>
          <w:tcPr>
            <w:tcW w:w="3160" w:type="dxa"/>
            <w:vAlign w:val="bottom"/>
            <w:gridSpan w:val="2"/>
            <w:shd w:val="clear" w:color="auto" w:fill="F2F2F2"/>
          </w:tcPr>
          <w:p>
            <w:pPr>
              <w:ind w:left="40"/>
              <w:spacing w:after="0"/>
              <w:rPr>
                <w:sz w:val="20"/>
                <w:szCs w:val="20"/>
                <w:color w:val="auto"/>
              </w:rPr>
            </w:pPr>
            <w:r>
              <w:rPr>
                <w:rFonts w:ascii="Arial" w:cs="Arial" w:eastAsia="Arial" w:hAnsi="Arial"/>
                <w:sz w:val="16"/>
                <w:szCs w:val="16"/>
                <w:b w:val="1"/>
                <w:bCs w:val="1"/>
                <w:color w:val="auto"/>
              </w:rPr>
              <w:t>Greater than 5% stockholders</w:t>
            </w:r>
          </w:p>
        </w:tc>
        <w:tc>
          <w:tcPr>
            <w:tcW w:w="212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680" w:type="dxa"/>
            <w:vAlign w:val="bottom"/>
            <w:shd w:val="clear" w:color="auto" w:fill="F2F2F2"/>
          </w:tcPr>
          <w:p>
            <w:pPr>
              <w:spacing w:after="0"/>
              <w:rPr>
                <w:sz w:val="24"/>
                <w:szCs w:val="24"/>
                <w:color w:val="auto"/>
              </w:rPr>
            </w:pPr>
          </w:p>
        </w:tc>
        <w:tc>
          <w:tcPr>
            <w:tcW w:w="620" w:type="dxa"/>
            <w:vAlign w:val="bottom"/>
            <w:shd w:val="clear" w:color="auto" w:fill="F2F2F2"/>
          </w:tcPr>
          <w:p>
            <w:pPr>
              <w:spacing w:after="0"/>
              <w:rPr>
                <w:sz w:val="24"/>
                <w:szCs w:val="24"/>
                <w:color w:val="auto"/>
              </w:rPr>
            </w:pPr>
          </w:p>
        </w:tc>
        <w:tc>
          <w:tcPr>
            <w:tcW w:w="13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3160" w:type="dxa"/>
            <w:vAlign w:val="bottom"/>
            <w:gridSpan w:val="2"/>
            <w:shd w:val="clear" w:color="auto" w:fill="F2F2F2"/>
          </w:tcPr>
          <w:p>
            <w:pPr>
              <w:spacing w:after="0"/>
              <w:rPr>
                <w:sz w:val="7"/>
                <w:szCs w:val="7"/>
                <w:color w:val="auto"/>
              </w:rPr>
            </w:pPr>
          </w:p>
        </w:tc>
        <w:tc>
          <w:tcPr>
            <w:tcW w:w="2120" w:type="dxa"/>
            <w:vAlign w:val="bottom"/>
            <w:shd w:val="clear" w:color="auto" w:fill="F2F2F2"/>
          </w:tcPr>
          <w:p>
            <w:pPr>
              <w:spacing w:after="0"/>
              <w:rPr>
                <w:sz w:val="7"/>
                <w:szCs w:val="7"/>
                <w:color w:val="auto"/>
              </w:rPr>
            </w:pPr>
          </w:p>
        </w:tc>
        <w:tc>
          <w:tcPr>
            <w:tcW w:w="640" w:type="dxa"/>
            <w:vAlign w:val="bottom"/>
            <w:shd w:val="clear" w:color="auto" w:fill="F2F2F2"/>
          </w:tcPr>
          <w:p>
            <w:pPr>
              <w:spacing w:after="0"/>
              <w:rPr>
                <w:sz w:val="7"/>
                <w:szCs w:val="7"/>
                <w:color w:val="auto"/>
              </w:rPr>
            </w:pPr>
          </w:p>
        </w:tc>
        <w:tc>
          <w:tcPr>
            <w:tcW w:w="1680" w:type="dxa"/>
            <w:vAlign w:val="bottom"/>
            <w:shd w:val="clear" w:color="auto" w:fill="F2F2F2"/>
          </w:tcPr>
          <w:p>
            <w:pPr>
              <w:spacing w:after="0"/>
              <w:rPr>
                <w:sz w:val="7"/>
                <w:szCs w:val="7"/>
                <w:color w:val="auto"/>
              </w:rPr>
            </w:pPr>
          </w:p>
        </w:tc>
        <w:tc>
          <w:tcPr>
            <w:tcW w:w="6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3160" w:type="dxa"/>
            <w:vAlign w:val="bottom"/>
            <w:gridSpan w:val="2"/>
          </w:tcPr>
          <w:p>
            <w:pPr>
              <w:ind w:left="40"/>
              <w:spacing w:after="0"/>
              <w:rPr>
                <w:sz w:val="20"/>
                <w:szCs w:val="20"/>
                <w:color w:val="auto"/>
              </w:rPr>
            </w:pPr>
            <w:r>
              <w:rPr>
                <w:rFonts w:ascii="Arial" w:cs="Arial" w:eastAsia="Arial" w:hAnsi="Arial"/>
                <w:sz w:val="16"/>
                <w:szCs w:val="16"/>
                <w:color w:val="auto"/>
              </w:rPr>
              <w:t>Entities affiliated with The Vanguard</w:t>
            </w:r>
          </w:p>
        </w:tc>
        <w:tc>
          <w:tcPr>
            <w:tcW w:w="2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3160" w:type="dxa"/>
            <w:vAlign w:val="bottom"/>
            <w:gridSpan w:val="2"/>
          </w:tcPr>
          <w:p>
            <w:pPr>
              <w:ind w:left="40"/>
              <w:spacing w:after="0" w:line="297" w:lineRule="exact"/>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(6)</w:t>
            </w:r>
          </w:p>
        </w:tc>
        <w:tc>
          <w:tcPr>
            <w:tcW w:w="2120" w:type="dxa"/>
            <w:vAlign w:val="bottom"/>
          </w:tcPr>
          <w:p>
            <w:pPr>
              <w:jc w:val="center"/>
              <w:ind w:left="64"/>
              <w:spacing w:after="0"/>
              <w:rPr>
                <w:sz w:val="20"/>
                <w:szCs w:val="20"/>
                <w:color w:val="auto"/>
              </w:rPr>
            </w:pPr>
            <w:r>
              <w:rPr>
                <w:rFonts w:ascii="Arial" w:cs="Arial" w:eastAsia="Arial" w:hAnsi="Arial"/>
                <w:sz w:val="16"/>
                <w:szCs w:val="16"/>
                <w:color w:val="auto"/>
              </w:rPr>
              <w:t>30,141,324</w:t>
            </w:r>
          </w:p>
        </w:tc>
        <w:tc>
          <w:tcPr>
            <w:tcW w:w="640" w:type="dxa"/>
            <w:vAlign w:val="bottom"/>
          </w:tcPr>
          <w:p>
            <w:pPr>
              <w:jc w:val="center"/>
              <w:ind w:right="122"/>
              <w:spacing w:after="0"/>
              <w:rPr>
                <w:sz w:val="20"/>
                <w:szCs w:val="20"/>
                <w:color w:val="auto"/>
              </w:rPr>
            </w:pPr>
            <w:r>
              <w:rPr>
                <w:rFonts w:ascii="Arial" w:cs="Arial" w:eastAsia="Arial" w:hAnsi="Arial"/>
                <w:sz w:val="16"/>
                <w:szCs w:val="16"/>
                <w:color w:val="auto"/>
                <w:w w:val="98"/>
              </w:rPr>
              <w:t>9.4%</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44"/>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9"/>
        </w:trPr>
        <w:tc>
          <w:tcPr>
            <w:tcW w:w="40" w:type="dxa"/>
            <w:vAlign w:val="bottom"/>
            <w:shd w:val="clear" w:color="auto" w:fill="F2F2F2"/>
          </w:tcPr>
          <w:p>
            <w:pPr>
              <w:spacing w:after="0"/>
              <w:rPr>
                <w:sz w:val="23"/>
                <w:szCs w:val="23"/>
                <w:color w:val="auto"/>
              </w:rPr>
            </w:pPr>
          </w:p>
        </w:tc>
        <w:tc>
          <w:tcPr>
            <w:tcW w:w="3160" w:type="dxa"/>
            <w:vAlign w:val="bottom"/>
            <w:gridSpan w:val="2"/>
            <w:shd w:val="clear" w:color="auto" w:fill="F2F2F2"/>
          </w:tcPr>
          <w:p>
            <w:pPr>
              <w:ind w:left="40"/>
              <w:spacing w:after="0"/>
              <w:rPr>
                <w:sz w:val="20"/>
                <w:szCs w:val="20"/>
                <w:color w:val="auto"/>
              </w:rPr>
            </w:pPr>
            <w:r>
              <w:rPr>
                <w:rFonts w:ascii="Arial" w:cs="Arial" w:eastAsia="Arial" w:hAnsi="Arial"/>
                <w:sz w:val="16"/>
                <w:szCs w:val="16"/>
                <w:color w:val="auto"/>
              </w:rPr>
              <w:t>Entities affiliated with Renaissance</w:t>
            </w:r>
          </w:p>
        </w:tc>
        <w:tc>
          <w:tcPr>
            <w:tcW w:w="2120" w:type="dxa"/>
            <w:vAlign w:val="bottom"/>
            <w:shd w:val="clear" w:color="auto" w:fill="F2F2F2"/>
          </w:tcPr>
          <w:p>
            <w:pPr>
              <w:spacing w:after="0"/>
              <w:rPr>
                <w:sz w:val="23"/>
                <w:szCs w:val="23"/>
                <w:color w:val="auto"/>
              </w:rPr>
            </w:pPr>
          </w:p>
        </w:tc>
        <w:tc>
          <w:tcPr>
            <w:tcW w:w="640" w:type="dxa"/>
            <w:vAlign w:val="bottom"/>
            <w:shd w:val="clear" w:color="auto" w:fill="F2F2F2"/>
          </w:tcPr>
          <w:p>
            <w:pPr>
              <w:spacing w:after="0"/>
              <w:rPr>
                <w:sz w:val="23"/>
                <w:szCs w:val="23"/>
                <w:color w:val="auto"/>
              </w:rPr>
            </w:pPr>
          </w:p>
        </w:tc>
        <w:tc>
          <w:tcPr>
            <w:tcW w:w="1680" w:type="dxa"/>
            <w:vAlign w:val="bottom"/>
            <w:shd w:val="clear" w:color="auto" w:fill="F2F2F2"/>
          </w:tcPr>
          <w:p>
            <w:pPr>
              <w:spacing w:after="0"/>
              <w:rPr>
                <w:sz w:val="23"/>
                <w:szCs w:val="23"/>
                <w:color w:val="auto"/>
              </w:rPr>
            </w:pPr>
          </w:p>
        </w:tc>
        <w:tc>
          <w:tcPr>
            <w:tcW w:w="620" w:type="dxa"/>
            <w:vAlign w:val="bottom"/>
            <w:shd w:val="clear" w:color="auto" w:fill="F2F2F2"/>
          </w:tcPr>
          <w:p>
            <w:pPr>
              <w:spacing w:after="0"/>
              <w:rPr>
                <w:sz w:val="23"/>
                <w:szCs w:val="23"/>
                <w:color w:val="auto"/>
              </w:rPr>
            </w:pPr>
          </w:p>
        </w:tc>
        <w:tc>
          <w:tcPr>
            <w:tcW w:w="130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F2F2F2"/>
          </w:tcPr>
          <w:p>
            <w:pPr>
              <w:spacing w:after="0"/>
              <w:rPr>
                <w:sz w:val="23"/>
                <w:szCs w:val="23"/>
                <w:color w:val="auto"/>
              </w:rPr>
            </w:pPr>
          </w:p>
        </w:tc>
        <w:tc>
          <w:tcPr>
            <w:tcW w:w="3160" w:type="dxa"/>
            <w:vAlign w:val="bottom"/>
            <w:gridSpan w:val="2"/>
            <w:shd w:val="clear" w:color="auto" w:fill="F2F2F2"/>
          </w:tcPr>
          <w:p>
            <w:pPr>
              <w:ind w:left="40"/>
              <w:spacing w:after="0" w:line="271" w:lineRule="exact"/>
              <w:rPr>
                <w:sz w:val="20"/>
                <w:szCs w:val="20"/>
                <w:color w:val="auto"/>
              </w:rPr>
            </w:pPr>
            <w:r>
              <w:rPr>
                <w:rFonts w:ascii="Arial" w:cs="Arial" w:eastAsia="Arial" w:hAnsi="Arial"/>
                <w:sz w:val="16"/>
                <w:szCs w:val="16"/>
                <w:color w:val="auto"/>
              </w:rPr>
              <w:t>Technologies LLC</w:t>
            </w:r>
            <w:r>
              <w:rPr>
                <w:rFonts w:ascii="Arial" w:cs="Arial" w:eastAsia="Arial" w:hAnsi="Arial"/>
                <w:sz w:val="26"/>
                <w:szCs w:val="26"/>
                <w:color w:val="auto"/>
                <w:vertAlign w:val="superscript"/>
              </w:rPr>
              <w:t>(7)</w:t>
            </w:r>
          </w:p>
        </w:tc>
        <w:tc>
          <w:tcPr>
            <w:tcW w:w="2120" w:type="dxa"/>
            <w:vAlign w:val="bottom"/>
            <w:shd w:val="clear" w:color="auto" w:fill="F2F2F2"/>
          </w:tcPr>
          <w:p>
            <w:pPr>
              <w:jc w:val="center"/>
              <w:ind w:left="64"/>
              <w:spacing w:after="0"/>
              <w:rPr>
                <w:sz w:val="20"/>
                <w:szCs w:val="20"/>
                <w:color w:val="auto"/>
              </w:rPr>
            </w:pPr>
            <w:r>
              <w:rPr>
                <w:rFonts w:ascii="Arial" w:cs="Arial" w:eastAsia="Arial" w:hAnsi="Arial"/>
                <w:sz w:val="16"/>
                <w:szCs w:val="16"/>
                <w:color w:val="auto"/>
              </w:rPr>
              <w:t>17,061,743</w:t>
            </w:r>
          </w:p>
        </w:tc>
        <w:tc>
          <w:tcPr>
            <w:tcW w:w="640" w:type="dxa"/>
            <w:vAlign w:val="bottom"/>
            <w:shd w:val="clear" w:color="auto" w:fill="F2F2F2"/>
          </w:tcPr>
          <w:p>
            <w:pPr>
              <w:jc w:val="center"/>
              <w:ind w:right="122"/>
              <w:spacing w:after="0"/>
              <w:rPr>
                <w:sz w:val="20"/>
                <w:szCs w:val="20"/>
                <w:color w:val="auto"/>
              </w:rPr>
            </w:pPr>
            <w:r>
              <w:rPr>
                <w:rFonts w:ascii="Arial" w:cs="Arial" w:eastAsia="Arial" w:hAnsi="Arial"/>
                <w:sz w:val="16"/>
                <w:szCs w:val="16"/>
                <w:color w:val="auto"/>
                <w:w w:val="98"/>
              </w:rPr>
              <w:t>5.3%</w:t>
            </w:r>
          </w:p>
        </w:tc>
        <w:tc>
          <w:tcPr>
            <w:tcW w:w="16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300" w:type="dxa"/>
            <w:vAlign w:val="bottom"/>
            <w:shd w:val="clear" w:color="auto" w:fill="F2F2F2"/>
          </w:tcPr>
          <w:p>
            <w:pPr>
              <w:jc w:val="center"/>
              <w:ind w:left="44"/>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7"/>
        </w:trPr>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9380" w:type="dxa"/>
            <w:vAlign w:val="bottom"/>
            <w:gridSpan w:val="6"/>
            <w:vMerge w:val="restart"/>
          </w:tcPr>
          <w:p>
            <w:pPr>
              <w:ind w:left="60"/>
              <w:spacing w:after="0"/>
              <w:rPr>
                <w:sz w:val="20"/>
                <w:szCs w:val="20"/>
                <w:color w:val="auto"/>
              </w:rPr>
            </w:pPr>
            <w:r>
              <w:rPr>
                <w:rFonts w:ascii="Arial" w:cs="Arial" w:eastAsia="Arial" w:hAnsi="Arial"/>
                <w:sz w:val="14"/>
                <w:szCs w:val="14"/>
                <w:color w:val="auto"/>
              </w:rPr>
              <w:t>The Class B common stock is convertible at any time by the holder into shares of Class A common stock on a share-for-share basis, such that</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3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60" w:type="dxa"/>
            <w:vAlign w:val="bottom"/>
            <w:gridSpan w:val="4"/>
          </w:tcPr>
          <w:p>
            <w:pPr>
              <w:ind w:left="60"/>
              <w:spacing w:after="0"/>
              <w:rPr>
                <w:sz w:val="20"/>
                <w:szCs w:val="20"/>
                <w:color w:val="auto"/>
              </w:rPr>
            </w:pPr>
            <w:r>
              <w:rPr>
                <w:rFonts w:ascii="Arial" w:cs="Arial" w:eastAsia="Arial" w:hAnsi="Arial"/>
                <w:sz w:val="14"/>
                <w:szCs w:val="14"/>
                <w:color w:val="auto"/>
              </w:rPr>
              <w:t>each holder of Class B common stock beneficially owns an equivalent number of Class A common stock.</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Percentage total voting power represents voting power with respect to all shares of our Class A common stock and Class B common stock, as a</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single class. Each holder of Class B common stock shall be entitled to ten votes per share of Class B common stock and each holder of Class A</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common stock shall be entitled to one vote per share of Class A common stock on all matters submitted to our stockholders for a vote.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Class A common stock and Class B common stock vote together as a single class on all matters submitted to a vote of our stockholders, except as</w:t>
            </w:r>
          </w:p>
        </w:tc>
        <w:tc>
          <w:tcPr>
            <w:tcW w:w="0" w:type="dxa"/>
            <w:vAlign w:val="bottom"/>
          </w:tcPr>
          <w:p>
            <w:pPr>
              <w:spacing w:after="0"/>
              <w:rPr>
                <w:sz w:val="1"/>
                <w:szCs w:val="1"/>
                <w:color w:val="auto"/>
              </w:rPr>
            </w:pPr>
          </w:p>
        </w:tc>
      </w:tr>
      <w:tr>
        <w:trPr>
          <w:trHeight w:val="172"/>
        </w:trPr>
        <w:tc>
          <w:tcPr>
            <w:tcW w:w="40" w:type="dxa"/>
            <w:vAlign w:val="bottom"/>
            <w:vMerge w:val="restart"/>
          </w:tcPr>
          <w:p>
            <w:pPr>
              <w:spacing w:after="0"/>
              <w:rPr>
                <w:sz w:val="20"/>
                <w:szCs w:val="20"/>
                <w:color w:val="auto"/>
              </w:rPr>
            </w:pPr>
            <w:r>
              <w:rPr>
                <w:rFonts w:ascii="Arial" w:cs="Arial" w:eastAsia="Arial" w:hAnsi="Arial"/>
                <w:sz w:val="6"/>
                <w:szCs w:val="6"/>
                <w:color w:val="auto"/>
                <w:w w:val="83"/>
              </w:rPr>
              <w:t>*</w:t>
            </w:r>
          </w:p>
        </w:tc>
        <w:tc>
          <w:tcPr>
            <w:tcW w:w="140" w:type="dxa"/>
            <w:vAlign w:val="bottom"/>
          </w:tcPr>
          <w:p>
            <w:pPr>
              <w:spacing w:after="0"/>
              <w:rPr>
                <w:sz w:val="14"/>
                <w:szCs w:val="14"/>
                <w:color w:val="auto"/>
              </w:rPr>
            </w:pPr>
          </w:p>
        </w:tc>
        <w:tc>
          <w:tcPr>
            <w:tcW w:w="3020" w:type="dxa"/>
            <w:vAlign w:val="bottom"/>
          </w:tcPr>
          <w:p>
            <w:pPr>
              <w:ind w:left="60"/>
              <w:spacing w:after="0"/>
              <w:rPr>
                <w:sz w:val="20"/>
                <w:szCs w:val="20"/>
                <w:color w:val="auto"/>
              </w:rPr>
            </w:pPr>
            <w:r>
              <w:rPr>
                <w:rFonts w:ascii="Arial" w:cs="Arial" w:eastAsia="Arial" w:hAnsi="Arial"/>
                <w:sz w:val="14"/>
                <w:szCs w:val="14"/>
                <w:color w:val="auto"/>
              </w:rPr>
              <w:t>may otherwise be required by law.</w:t>
            </w: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60" w:type="dxa"/>
            <w:vAlign w:val="bottom"/>
            <w:gridSpan w:val="4"/>
            <w:vMerge w:val="restart"/>
          </w:tcPr>
          <w:p>
            <w:pPr>
              <w:ind w:left="60"/>
              <w:spacing w:after="0"/>
              <w:rPr>
                <w:sz w:val="20"/>
                <w:szCs w:val="20"/>
                <w:color w:val="auto"/>
              </w:rPr>
            </w:pPr>
            <w:r>
              <w:rPr>
                <w:rFonts w:ascii="Arial" w:cs="Arial" w:eastAsia="Arial" w:hAnsi="Arial"/>
                <w:sz w:val="14"/>
                <w:szCs w:val="14"/>
                <w:color w:val="auto"/>
              </w:rPr>
              <w:t>Represents beneficial ownership of less than one percent (1%) of the outstanding shares of our common stock.</w:t>
            </w:r>
          </w:p>
        </w:tc>
        <w:tc>
          <w:tcPr>
            <w:tcW w:w="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tcPr>
          <w:p>
            <w:pPr>
              <w:spacing w:after="0" w:line="122" w:lineRule="exact"/>
              <w:rPr>
                <w:sz w:val="20"/>
                <w:szCs w:val="20"/>
                <w:color w:val="auto"/>
              </w:rPr>
            </w:pPr>
            <w:r>
              <w:rPr>
                <w:rFonts w:ascii="Arial" w:cs="Arial" w:eastAsia="Arial" w:hAnsi="Arial"/>
                <w:sz w:val="11"/>
                <w:szCs w:val="11"/>
                <w:color w:val="auto"/>
              </w:rPr>
              <w:t>(1)</w:t>
            </w:r>
          </w:p>
        </w:tc>
        <w:tc>
          <w:tcPr>
            <w:tcW w:w="746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Consists of (i) 716,728 shares of Class A common stock and 7,893,764 shares of Class B common stock held by the Houston Remainder Trust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dated 12/30/2010, for which Mr. Houston serves as trustee, (ii) 500,000 shares of Class A common stock and 72,913,073 shares of Class B</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common stock held by the Andrew W. Houston Revocable Trust dated 9/7/2011, for which Mr. Houston serves as trustee, (iii) 500,500 shares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Class B common stock held by the Houston 2012 Irrevocable Children’s Trust dated 4/12/2012, for which Mr. Houston serves as trustee,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(iv) 10,333,333 shares of Class A common stock underlying RSAs subject to Mr. Houston’s Co-Founder Grant, and (v) 46,400 shares of Class A</w:t>
            </w:r>
          </w:p>
        </w:tc>
        <w:tc>
          <w:tcPr>
            <w:tcW w:w="0" w:type="dxa"/>
            <w:vAlign w:val="bottom"/>
          </w:tcPr>
          <w:p>
            <w:pPr>
              <w:spacing w:after="0"/>
              <w:rPr>
                <w:sz w:val="1"/>
                <w:szCs w:val="1"/>
                <w:color w:val="auto"/>
              </w:rPr>
            </w:pPr>
          </w:p>
        </w:tc>
      </w:tr>
      <w:tr>
        <w:trPr>
          <w:trHeight w:val="172"/>
        </w:trPr>
        <w:tc>
          <w:tcPr>
            <w:tcW w:w="180" w:type="dxa"/>
            <w:vAlign w:val="bottom"/>
            <w:gridSpan w:val="2"/>
            <w:vMerge w:val="restart"/>
          </w:tcPr>
          <w:p>
            <w:pPr>
              <w:spacing w:after="0"/>
              <w:rPr>
                <w:sz w:val="20"/>
                <w:szCs w:val="20"/>
                <w:color w:val="auto"/>
              </w:rPr>
            </w:pPr>
            <w:r>
              <w:rPr>
                <w:rFonts w:ascii="Arial" w:cs="Arial" w:eastAsia="Arial" w:hAnsi="Arial"/>
                <w:sz w:val="11"/>
                <w:szCs w:val="11"/>
                <w:color w:val="auto"/>
              </w:rPr>
              <w:t>(2)</w:t>
            </w:r>
          </w:p>
        </w:tc>
        <w:tc>
          <w:tcPr>
            <w:tcW w:w="7460" w:type="dxa"/>
            <w:vAlign w:val="bottom"/>
            <w:gridSpan w:val="4"/>
          </w:tcPr>
          <w:p>
            <w:pPr>
              <w:ind w:left="60"/>
              <w:spacing w:after="0"/>
              <w:rPr>
                <w:sz w:val="20"/>
                <w:szCs w:val="20"/>
                <w:color w:val="auto"/>
              </w:rPr>
            </w:pPr>
            <w:r>
              <w:rPr>
                <w:rFonts w:ascii="Arial" w:cs="Arial" w:eastAsia="Arial" w:hAnsi="Arial"/>
                <w:sz w:val="14"/>
                <w:szCs w:val="14"/>
                <w:color w:val="auto"/>
              </w:rPr>
              <w:t>common stock subject to certain proxy agreements, in which Mr. Houston has voting power over the shares.</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0" w:type="dxa"/>
            <w:vAlign w:val="bottom"/>
            <w:gridSpan w:val="2"/>
            <w:vMerge w:val="continue"/>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Consists of (i) 178,058 shares of Class A common stock held by the Paul E. Jacobs Trust dated November 7, 2014, for which Mr. Jacobs serves</w:t>
            </w:r>
          </w:p>
        </w:tc>
        <w:tc>
          <w:tcPr>
            <w:tcW w:w="0" w:type="dxa"/>
            <w:vAlign w:val="bottom"/>
          </w:tcPr>
          <w:p>
            <w:pPr>
              <w:spacing w:after="0"/>
              <w:rPr>
                <w:sz w:val="1"/>
                <w:szCs w:val="1"/>
                <w:color w:val="auto"/>
              </w:rPr>
            </w:pPr>
          </w:p>
        </w:tc>
      </w:tr>
      <w:tr>
        <w:trPr>
          <w:trHeight w:val="172"/>
        </w:trPr>
        <w:tc>
          <w:tcPr>
            <w:tcW w:w="180" w:type="dxa"/>
            <w:vAlign w:val="bottom"/>
            <w:gridSpan w:val="2"/>
            <w:vMerge w:val="restart"/>
          </w:tcPr>
          <w:p>
            <w:pPr>
              <w:spacing w:after="0"/>
              <w:rPr>
                <w:sz w:val="20"/>
                <w:szCs w:val="20"/>
                <w:color w:val="auto"/>
              </w:rPr>
            </w:pPr>
            <w:r>
              <w:rPr>
                <w:rFonts w:ascii="Arial" w:cs="Arial" w:eastAsia="Arial" w:hAnsi="Arial"/>
                <w:sz w:val="11"/>
                <w:szCs w:val="11"/>
                <w:color w:val="auto"/>
              </w:rPr>
              <w:t>(3)</w:t>
            </w:r>
          </w:p>
        </w:tc>
        <w:tc>
          <w:tcPr>
            <w:tcW w:w="5140" w:type="dxa"/>
            <w:vAlign w:val="bottom"/>
            <w:gridSpan w:val="2"/>
          </w:tcPr>
          <w:p>
            <w:pPr>
              <w:ind w:left="60"/>
              <w:spacing w:after="0"/>
              <w:rPr>
                <w:sz w:val="20"/>
                <w:szCs w:val="20"/>
                <w:color w:val="auto"/>
              </w:rPr>
            </w:pPr>
            <w:r>
              <w:rPr>
                <w:rFonts w:ascii="Arial" w:cs="Arial" w:eastAsia="Arial" w:hAnsi="Arial"/>
                <w:sz w:val="14"/>
                <w:szCs w:val="14"/>
                <w:color w:val="auto"/>
              </w:rPr>
              <w:t>as trustee, (ii) and 80,917 shares of Class A common stock held by Mr. Jacobs.</w:t>
            </w: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0" w:type="dxa"/>
            <w:vAlign w:val="bottom"/>
            <w:gridSpan w:val="2"/>
            <w:vMerge w:val="continue"/>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Consists of (i) 222,698 shares of Class A common stock held by Annox Capital, LLC, or Annox, and (ii) 67,611 shares of Class A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held by Mr. Mylod. Mr. Mylod, one of our directors, is the managing member of Annox and has sole voting and investment control over the shares</w:t>
            </w:r>
          </w:p>
        </w:tc>
        <w:tc>
          <w:tcPr>
            <w:tcW w:w="0" w:type="dxa"/>
            <w:vAlign w:val="bottom"/>
          </w:tcPr>
          <w:p>
            <w:pPr>
              <w:spacing w:after="0"/>
              <w:rPr>
                <w:sz w:val="1"/>
                <w:szCs w:val="1"/>
                <w:color w:val="auto"/>
              </w:rPr>
            </w:pPr>
          </w:p>
        </w:tc>
      </w:tr>
      <w:tr>
        <w:trPr>
          <w:trHeight w:val="189"/>
        </w:trPr>
        <w:tc>
          <w:tcPr>
            <w:tcW w:w="180" w:type="dxa"/>
            <w:vAlign w:val="bottom"/>
            <w:gridSpan w:val="2"/>
          </w:tcPr>
          <w:p>
            <w:pPr>
              <w:spacing w:after="0"/>
              <w:rPr>
                <w:sz w:val="20"/>
                <w:szCs w:val="20"/>
                <w:color w:val="auto"/>
              </w:rPr>
            </w:pPr>
            <w:r>
              <w:rPr>
                <w:rFonts w:ascii="Arial" w:cs="Arial" w:eastAsia="Arial" w:hAnsi="Arial"/>
                <w:sz w:val="11"/>
                <w:szCs w:val="11"/>
                <w:color w:val="auto"/>
              </w:rPr>
              <w:t>(4)</w:t>
            </w:r>
          </w:p>
        </w:tc>
        <w:tc>
          <w:tcPr>
            <w:tcW w:w="3020" w:type="dxa"/>
            <w:vAlign w:val="bottom"/>
          </w:tcPr>
          <w:p>
            <w:pPr>
              <w:ind w:left="60"/>
              <w:spacing w:after="0"/>
              <w:rPr>
                <w:sz w:val="20"/>
                <w:szCs w:val="20"/>
                <w:color w:val="auto"/>
              </w:rPr>
            </w:pPr>
            <w:r>
              <w:rPr>
                <w:rFonts w:ascii="Arial" w:cs="Arial" w:eastAsia="Arial" w:hAnsi="Arial"/>
                <w:sz w:val="14"/>
                <w:szCs w:val="14"/>
                <w:color w:val="auto"/>
              </w:rPr>
              <w:t>held by Annox.</w:t>
            </w: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Consists of (i) 14,036,456 shares of Class A common stock beneficially owned by our current executive officers and directors and (ii) 112,565</w:t>
            </w:r>
          </w:p>
        </w:tc>
        <w:tc>
          <w:tcPr>
            <w:tcW w:w="0" w:type="dxa"/>
            <w:vAlign w:val="bottom"/>
          </w:tcPr>
          <w:p>
            <w:pPr>
              <w:spacing w:after="0"/>
              <w:rPr>
                <w:sz w:val="1"/>
                <w:szCs w:val="1"/>
                <w:color w:val="auto"/>
              </w:rPr>
            </w:pPr>
          </w:p>
        </w:tc>
      </w:tr>
      <w:tr>
        <w:trPr>
          <w:trHeight w:val="172"/>
        </w:trPr>
        <w:tc>
          <w:tcPr>
            <w:tcW w:w="180" w:type="dxa"/>
            <w:vAlign w:val="bottom"/>
            <w:gridSpan w:val="2"/>
            <w:vMerge w:val="restart"/>
          </w:tcPr>
          <w:p>
            <w:pPr>
              <w:spacing w:after="0"/>
              <w:rPr>
                <w:sz w:val="20"/>
                <w:szCs w:val="20"/>
                <w:color w:val="auto"/>
              </w:rPr>
            </w:pPr>
            <w:r>
              <w:rPr>
                <w:rFonts w:ascii="Arial" w:cs="Arial" w:eastAsia="Arial" w:hAnsi="Arial"/>
                <w:sz w:val="11"/>
                <w:szCs w:val="11"/>
                <w:color w:val="auto"/>
              </w:rPr>
              <w:t>(5)</w:t>
            </w: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shares of Class A common stock beneficially owned by Olivia Nottebohm, a named executive officer who is not a current executive officer.</w:t>
            </w:r>
          </w:p>
        </w:tc>
        <w:tc>
          <w:tcPr>
            <w:tcW w:w="0" w:type="dxa"/>
            <w:vAlign w:val="bottom"/>
          </w:tcPr>
          <w:p>
            <w:pPr>
              <w:spacing w:after="0"/>
              <w:rPr>
                <w:sz w:val="1"/>
                <w:szCs w:val="1"/>
                <w:color w:val="auto"/>
              </w:rPr>
            </w:pPr>
          </w:p>
        </w:tc>
      </w:tr>
      <w:tr>
        <w:trPr>
          <w:trHeight w:val="133"/>
        </w:trPr>
        <w:tc>
          <w:tcPr>
            <w:tcW w:w="180" w:type="dxa"/>
            <w:vAlign w:val="bottom"/>
            <w:gridSpan w:val="2"/>
            <w:vMerge w:val="continue"/>
          </w:tcPr>
          <w:p>
            <w:pPr>
              <w:spacing w:after="0"/>
              <w:rPr>
                <w:sz w:val="11"/>
                <w:szCs w:val="11"/>
                <w:color w:val="auto"/>
              </w:rPr>
            </w:pPr>
          </w:p>
        </w:tc>
        <w:tc>
          <w:tcPr>
            <w:tcW w:w="8080" w:type="dxa"/>
            <w:vAlign w:val="bottom"/>
            <w:gridSpan w:val="5"/>
          </w:tcPr>
          <w:p>
            <w:pPr>
              <w:ind w:left="60"/>
              <w:spacing w:after="0" w:line="134" w:lineRule="exact"/>
              <w:rPr>
                <w:sz w:val="20"/>
                <w:szCs w:val="20"/>
                <w:color w:val="auto"/>
              </w:rPr>
            </w:pPr>
            <w:r>
              <w:rPr>
                <w:rFonts w:ascii="Arial" w:cs="Arial" w:eastAsia="Arial" w:hAnsi="Arial"/>
                <w:sz w:val="14"/>
                <w:szCs w:val="14"/>
                <w:color w:val="auto"/>
              </w:rPr>
              <w:t>Consists of 81,620,184 shares of Class B common stock beneficially owned by our current executive officers and directors.</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80" w:type="dxa"/>
            <w:vAlign w:val="bottom"/>
            <w:gridSpan w:val="2"/>
          </w:tcPr>
          <w:p>
            <w:pPr>
              <w:spacing w:after="0"/>
              <w:rPr>
                <w:sz w:val="20"/>
                <w:szCs w:val="20"/>
                <w:color w:val="auto"/>
              </w:rPr>
            </w:pPr>
            <w:r>
              <w:rPr>
                <w:rFonts w:ascii="Arial" w:cs="Arial" w:eastAsia="Arial" w:hAnsi="Arial"/>
                <w:sz w:val="11"/>
                <w:szCs w:val="11"/>
                <w:color w:val="auto"/>
              </w:rPr>
              <w:t>(6)</w:t>
            </w:r>
          </w:p>
        </w:tc>
        <w:tc>
          <w:tcPr>
            <w:tcW w:w="9380" w:type="dxa"/>
            <w:vAlign w:val="bottom"/>
            <w:gridSpan w:val="6"/>
          </w:tcPr>
          <w:p>
            <w:pPr>
              <w:ind w:left="60"/>
              <w:spacing w:after="0"/>
              <w:rPr>
                <w:sz w:val="20"/>
                <w:szCs w:val="20"/>
                <w:color w:val="auto"/>
              </w:rPr>
            </w:pPr>
            <w:r>
              <w:rPr>
                <w:rFonts w:ascii="Arial" w:cs="Arial" w:eastAsia="Arial" w:hAnsi="Arial"/>
                <w:sz w:val="14"/>
                <w:szCs w:val="14"/>
                <w:color w:val="auto"/>
              </w:rPr>
              <w:t>Consists of shares of Class A common stock beneficially owned as of December 31, 2020 according to a Schedule 13G/A filed with the SEC by</w:t>
            </w:r>
          </w:p>
        </w:tc>
        <w:tc>
          <w:tcPr>
            <w:tcW w:w="0" w:type="dxa"/>
            <w:vAlign w:val="bottom"/>
          </w:tcPr>
          <w:p>
            <w:pPr>
              <w:spacing w:after="0"/>
              <w:rPr>
                <w:sz w:val="1"/>
                <w:szCs w:val="1"/>
                <w:color w:val="auto"/>
              </w:rPr>
            </w:pPr>
          </w:p>
        </w:tc>
      </w:tr>
    </w:tbl>
    <w:p>
      <w:pPr>
        <w:ind w:left="244" w:right="20"/>
        <w:spacing w:after="0" w:line="229" w:lineRule="auto"/>
        <w:rPr>
          <w:sz w:val="20"/>
          <w:szCs w:val="20"/>
          <w:color w:val="auto"/>
        </w:rPr>
      </w:pPr>
      <w:r>
        <w:rPr>
          <w:rFonts w:ascii="Arial" w:cs="Arial" w:eastAsia="Arial" w:hAnsi="Arial"/>
          <w:sz w:val="14"/>
          <w:szCs w:val="14"/>
          <w:color w:val="auto"/>
        </w:rPr>
        <w:t>The Vanguard Group, Inc. (“Vanguard”) on February 10, 2021. Vanguard has beneficial ownership of 30,141,324 shares of Class A common stock. The Schedule 13G/A reports that Vanguard has shared voting power with respect to 292,865 shares of Class A common stock, shared dispositive power with respect to 29,617,206 shares of Class A common stock and shared dispositive power over 524,118 shares of Class A common stock. The address for Vanguard is 100 Vanguard Blvd., Malvern, PA 19355.</w:t>
      </w:r>
    </w:p>
    <w:p>
      <w:pPr>
        <w:spacing w:after="0" w:line="2" w:lineRule="exact"/>
        <w:rPr>
          <w:sz w:val="20"/>
          <w:szCs w:val="20"/>
          <w:color w:val="auto"/>
        </w:rPr>
      </w:pPr>
    </w:p>
    <w:p>
      <w:pPr>
        <w:ind w:left="244" w:right="20" w:hanging="239"/>
        <w:spacing w:after="0" w:line="216" w:lineRule="auto"/>
        <w:tabs>
          <w:tab w:leader="none" w:pos="224" w:val="left"/>
        </w:tabs>
        <w:rPr>
          <w:sz w:val="20"/>
          <w:szCs w:val="20"/>
          <w:color w:val="auto"/>
        </w:rPr>
      </w:pPr>
      <w:r>
        <w:rPr>
          <w:rFonts w:ascii="Arial" w:cs="Arial" w:eastAsia="Arial" w:hAnsi="Arial"/>
          <w:sz w:val="22"/>
          <w:szCs w:val="22"/>
          <w:color w:val="auto"/>
          <w:vertAlign w:val="superscript"/>
        </w:rPr>
        <w:t>(7)</w:t>
      </w:r>
      <w:r>
        <w:rPr>
          <w:sz w:val="20"/>
          <w:szCs w:val="20"/>
          <w:color w:val="auto"/>
        </w:rPr>
        <w:tab/>
      </w:r>
      <w:r>
        <w:rPr>
          <w:rFonts w:ascii="Arial" w:cs="Arial" w:eastAsia="Arial" w:hAnsi="Arial"/>
          <w:sz w:val="14"/>
          <w:szCs w:val="14"/>
          <w:color w:val="auto"/>
        </w:rPr>
        <w:t>Consists of shares of Class A common stock beneficially owned as of December 31, 2020 according to a Schedule 13G/A filed with the SEC by Renaissance Technologies LLC (“Renaissance LLC”) on February 11, 2021. Renaissance LLC, and its affiliate, Renaissance Technologies Holdings Corporation (“Renaissance Holdings”), have beneficial ownership of 17,061,743 shares of Class A common stock. The Schedule 13G/A reports that Renaissance and Renaissance Holdings have sole voting power with respect to 17,028,423 shares of Class A common stock and sole dispositive power over 17,061,743 shares of Class A common stock. The address for Renaissance is 800 Third Avenue, New York,</w:t>
      </w:r>
    </w:p>
    <w:p>
      <w:pPr>
        <w:spacing w:after="0" w:line="62" w:lineRule="exact"/>
        <w:rPr>
          <w:sz w:val="20"/>
          <w:szCs w:val="20"/>
          <w:color w:val="auto"/>
        </w:rPr>
      </w:pPr>
    </w:p>
    <w:p>
      <w:pPr>
        <w:ind w:left="244"/>
        <w:spacing w:after="0"/>
        <w:rPr>
          <w:sz w:val="20"/>
          <w:szCs w:val="20"/>
          <w:color w:val="auto"/>
        </w:rPr>
      </w:pPr>
      <w:r>
        <w:rPr>
          <w:rFonts w:ascii="Arial" w:cs="Arial" w:eastAsia="Arial" w:hAnsi="Arial"/>
          <w:sz w:val="14"/>
          <w:szCs w:val="14"/>
          <w:color w:val="auto"/>
        </w:rPr>
        <w:t>New York 10022.</w:t>
      </w:r>
    </w:p>
    <w:p>
      <w:pPr>
        <w:spacing w:after="0" w:line="199" w:lineRule="exact"/>
        <w:rPr>
          <w:sz w:val="20"/>
          <w:szCs w:val="20"/>
          <w:color w:val="auto"/>
        </w:rPr>
      </w:pPr>
    </w:p>
    <w:p>
      <w:pPr>
        <w:ind w:left="524" w:hanging="524"/>
        <w:spacing w:after="0"/>
        <w:tabs>
          <w:tab w:leader="none" w:pos="524"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62" w:name="page63"/>
    <w:bookmarkEnd w:id="6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460"/>
        <w:spacing w:after="0" w:line="260" w:lineRule="auto"/>
        <w:rPr>
          <w:sz w:val="20"/>
          <w:szCs w:val="20"/>
          <w:color w:val="auto"/>
        </w:rPr>
      </w:pPr>
      <w:r>
        <w:rPr>
          <w:rFonts w:ascii="Arial" w:cs="Arial" w:eastAsia="Arial" w:hAnsi="Arial"/>
          <w:sz w:val="32"/>
          <w:szCs w:val="32"/>
          <w:color w:val="0063A6"/>
        </w:rPr>
        <w:t>CERTAIN RELATIONSHIPS, RELATED PARTY AND OTHER TRANSACTIONS</w:t>
      </w:r>
    </w:p>
    <w:p>
      <w:pPr>
        <w:spacing w:after="0" w:line="119" w:lineRule="exact"/>
        <w:rPr>
          <w:sz w:val="20"/>
          <w:szCs w:val="20"/>
          <w:color w:val="auto"/>
        </w:rPr>
      </w:pPr>
    </w:p>
    <w:p>
      <w:pPr>
        <w:ind w:left="720" w:right="740"/>
        <w:spacing w:after="0" w:line="260"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4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169"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54" w:lineRule="exact"/>
        <w:rPr>
          <w:sz w:val="20"/>
          <w:szCs w:val="20"/>
          <w:color w:val="auto"/>
        </w:rPr>
      </w:pPr>
    </w:p>
    <w:p>
      <w:pPr>
        <w:ind w:left="720" w:right="720"/>
        <w:spacing w:after="0" w:line="246"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w:t>
      </w:r>
    </w:p>
    <w:p>
      <w:pPr>
        <w:spacing w:after="0" w:line="5" w:lineRule="exact"/>
        <w:rPr>
          <w:sz w:val="20"/>
          <w:szCs w:val="20"/>
          <w:color w:val="auto"/>
        </w:rPr>
      </w:pPr>
    </w:p>
    <w:p>
      <w:pPr>
        <w:ind w:left="720" w:right="780" w:hanging="4"/>
        <w:spacing w:after="0" w:line="260" w:lineRule="auto"/>
        <w:tabs>
          <w:tab w:leader="none" w:pos="9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59</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63" w:name="page64"/>
    <w:bookmarkEnd w:id="6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OTHER MATTERS</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26"/>
          <w:szCs w:val="26"/>
          <w:color w:val="0063A6"/>
        </w:rPr>
        <w:t>Delinquent Section 16(a) Reports</w:t>
      </w:r>
    </w:p>
    <w:p>
      <w:pPr>
        <w:spacing w:after="0" w:line="169" w:lineRule="exact"/>
        <w:rPr>
          <w:sz w:val="20"/>
          <w:szCs w:val="20"/>
          <w:color w:val="auto"/>
        </w:rPr>
      </w:pPr>
    </w:p>
    <w:p>
      <w:pPr>
        <w:ind w:left="4" w:right="320"/>
        <w:spacing w:after="0" w:line="253"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47"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2020, all executive officers, directors and greater than 10% stockholders complied with all applicable SEC filing requirements, with the exceptions noted below:</w:t>
      </w:r>
    </w:p>
    <w:p>
      <w:pPr>
        <w:spacing w:after="0" w:line="148" w:lineRule="exact"/>
        <w:rPr>
          <w:sz w:val="20"/>
          <w:szCs w:val="20"/>
          <w:color w:val="auto"/>
        </w:rPr>
      </w:pPr>
    </w:p>
    <w:p>
      <w:pPr>
        <w:ind w:left="284" w:right="760" w:hanging="284"/>
        <w:spacing w:after="0" w:line="260" w:lineRule="auto"/>
        <w:tabs>
          <w:tab w:leader="none" w:pos="284" w:val="left"/>
        </w:tabs>
        <w:numPr>
          <w:ilvl w:val="0"/>
          <w:numId w:val="88"/>
        </w:numPr>
        <w:rPr>
          <w:rFonts w:ascii="Arial" w:cs="Arial" w:eastAsia="Arial" w:hAnsi="Arial"/>
          <w:sz w:val="16"/>
          <w:szCs w:val="16"/>
          <w:color w:val="0063A6"/>
        </w:rPr>
      </w:pPr>
      <w:r>
        <w:rPr>
          <w:rFonts w:ascii="Arial" w:cs="Arial" w:eastAsia="Arial" w:hAnsi="Arial"/>
          <w:sz w:val="16"/>
          <w:szCs w:val="16"/>
          <w:color w:val="auto"/>
        </w:rPr>
        <w:t>Due to an administrative error, a late Form 4 report was filed for R. Bryan Schreier on May 27, 2020 to report a grant of 11,297 restricted stock units on May 21, 2020.</w:t>
      </w:r>
    </w:p>
    <w:p>
      <w:pPr>
        <w:spacing w:after="0" w:line="141" w:lineRule="exact"/>
        <w:rPr>
          <w:rFonts w:ascii="Arial" w:cs="Arial" w:eastAsia="Arial" w:hAnsi="Arial"/>
          <w:sz w:val="16"/>
          <w:szCs w:val="16"/>
          <w:color w:val="0063A6"/>
        </w:rPr>
      </w:pPr>
    </w:p>
    <w:p>
      <w:pPr>
        <w:ind w:left="284" w:right="660" w:hanging="284"/>
        <w:spacing w:after="0" w:line="260" w:lineRule="auto"/>
        <w:tabs>
          <w:tab w:leader="none" w:pos="284" w:val="left"/>
        </w:tabs>
        <w:numPr>
          <w:ilvl w:val="0"/>
          <w:numId w:val="88"/>
        </w:numPr>
        <w:rPr>
          <w:rFonts w:ascii="Arial" w:cs="Arial" w:eastAsia="Arial" w:hAnsi="Arial"/>
          <w:sz w:val="16"/>
          <w:szCs w:val="16"/>
          <w:color w:val="0063A6"/>
        </w:rPr>
      </w:pPr>
      <w:r>
        <w:rPr>
          <w:rFonts w:ascii="Arial" w:cs="Arial" w:eastAsia="Arial" w:hAnsi="Arial"/>
          <w:sz w:val="16"/>
          <w:szCs w:val="16"/>
          <w:color w:val="auto"/>
        </w:rPr>
        <w:t>Due to an administrative error, a late Form 4 report was filed for Timothy Regan on December 1, 2020 to report a sale of 1,941 shares of our Class A common stock on November 25, 2020.</w:t>
      </w:r>
    </w:p>
    <w:p>
      <w:pPr>
        <w:spacing w:after="0" w:line="34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Fiscal Year 2020 Annual Report and SEC Filings</w:t>
      </w:r>
    </w:p>
    <w:p>
      <w:pPr>
        <w:spacing w:after="0" w:line="169"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Our financial statements for our fiscal year ended December 31, 2020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21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47" w:lineRule="exact"/>
        <w:rPr>
          <w:sz w:val="20"/>
          <w:szCs w:val="20"/>
          <w:color w:val="auto"/>
        </w:rPr>
      </w:pPr>
    </w:p>
    <w:p>
      <w:pPr>
        <w:jc w:val="both"/>
        <w:ind w:left="4" w:right="80"/>
        <w:spacing w:after="0" w:line="253"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THE BOARD OF DIRECTORS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6, 2021</w:t>
      </w:r>
    </w:p>
    <w:p>
      <w:pPr>
        <w:spacing w:after="0" w:line="206" w:lineRule="exact"/>
        <w:rPr>
          <w:sz w:val="20"/>
          <w:szCs w:val="20"/>
          <w:color w:val="auto"/>
        </w:rPr>
      </w:pPr>
    </w:p>
    <w:p>
      <w:pPr>
        <w:ind w:left="524" w:hanging="524"/>
        <w:spacing w:after="0"/>
        <w:tabs>
          <w:tab w:leader="none" w:pos="524"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APPENDIX A</w:t>
      </w:r>
    </w:p>
    <w:p>
      <w:pPr>
        <w:spacing w:after="0" w:line="351" w:lineRule="exact"/>
        <w:rPr>
          <w:sz w:val="20"/>
          <w:szCs w:val="20"/>
          <w:color w:val="auto"/>
        </w:rPr>
      </w:pPr>
    </w:p>
    <w:p>
      <w:pPr>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and impairment charges related to real estate assets. Free cash flow differs from GAAP net cash provided by operating activities in that it treats capital expenditures as a reduction to net cash provided by operating activities.</w:t>
      </w:r>
    </w:p>
    <w:p>
      <w:pPr>
        <w:spacing w:after="0" w:line="154" w:lineRule="exact"/>
        <w:rPr>
          <w:sz w:val="20"/>
          <w:szCs w:val="20"/>
          <w:color w:val="auto"/>
        </w:rPr>
      </w:pPr>
    </w:p>
    <w:p>
      <w:pPr>
        <w:ind w:right="720"/>
        <w:spacing w:after="0" w:line="253"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2020 performance in relation to the principal elements of Dropbox’s annual executive compensation program considered by the compensation committee,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of this proxy statement.</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operations.E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5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077585" cy="26060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7585" cy="260604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60" w:type="dxa"/>
            <w:vAlign w:val="bottom"/>
            <w:shd w:val="clear" w:color="auto" w:fill="0063A6"/>
          </w:tcPr>
          <w:p>
            <w:pPr>
              <w:spacing w:after="0"/>
              <w:rPr>
                <w:sz w:val="24"/>
                <w:szCs w:val="24"/>
                <w:color w:val="auto"/>
              </w:rPr>
            </w:pPr>
          </w:p>
        </w:tc>
        <w:tc>
          <w:tcPr>
            <w:tcW w:w="4500" w:type="dxa"/>
            <w:vAlign w:val="bottom"/>
            <w:gridSpan w:val="2"/>
            <w:shd w:val="clear" w:color="auto" w:fill="0063A6"/>
          </w:tcPr>
          <w:p>
            <w:pPr>
              <w:jc w:val="right"/>
              <w:ind w:right="80"/>
              <w:spacing w:after="0"/>
              <w:rPr>
                <w:sz w:val="20"/>
                <w:szCs w:val="20"/>
                <w:color w:val="auto"/>
              </w:rPr>
            </w:pPr>
            <w:r>
              <w:rPr>
                <w:rFonts w:ascii="Arial" w:cs="Arial" w:eastAsia="Arial" w:hAnsi="Arial"/>
                <w:sz w:val="14"/>
                <w:szCs w:val="14"/>
                <w:b w:val="1"/>
                <w:bCs w:val="1"/>
                <w:color w:val="FFFFFF"/>
              </w:rPr>
              <w:t>Twelve Months Ended December 31,</w:t>
            </w:r>
          </w:p>
        </w:tc>
      </w:tr>
      <w:tr>
        <w:trPr>
          <w:trHeight w:val="79"/>
        </w:trPr>
        <w:tc>
          <w:tcPr>
            <w:tcW w:w="5060" w:type="dxa"/>
            <w:vAlign w:val="bottom"/>
            <w:shd w:val="clear" w:color="auto" w:fill="0063A6"/>
          </w:tcPr>
          <w:p>
            <w:pPr>
              <w:spacing w:after="0"/>
              <w:rPr>
                <w:sz w:val="6"/>
                <w:szCs w:val="6"/>
                <w:color w:val="auto"/>
              </w:rPr>
            </w:pPr>
          </w:p>
        </w:tc>
        <w:tc>
          <w:tcPr>
            <w:tcW w:w="3160" w:type="dxa"/>
            <w:vAlign w:val="bottom"/>
            <w:shd w:val="clear" w:color="auto" w:fill="0063A6"/>
          </w:tcPr>
          <w:p>
            <w:pPr>
              <w:spacing w:after="0"/>
              <w:rPr>
                <w:sz w:val="6"/>
                <w:szCs w:val="6"/>
                <w:color w:val="auto"/>
              </w:rPr>
            </w:pPr>
          </w:p>
        </w:tc>
        <w:tc>
          <w:tcPr>
            <w:tcW w:w="1340" w:type="dxa"/>
            <w:vAlign w:val="bottom"/>
            <w:shd w:val="clear" w:color="auto" w:fill="0063A6"/>
          </w:tcPr>
          <w:p>
            <w:pPr>
              <w:spacing w:after="0"/>
              <w:rPr>
                <w:sz w:val="6"/>
                <w:szCs w:val="6"/>
                <w:color w:val="auto"/>
              </w:rPr>
            </w:pPr>
          </w:p>
        </w:tc>
      </w:tr>
      <w:tr>
        <w:trPr>
          <w:trHeight w:val="272"/>
        </w:trPr>
        <w:tc>
          <w:tcPr>
            <w:tcW w:w="5060" w:type="dxa"/>
            <w:vAlign w:val="bottom"/>
            <w:shd w:val="clear" w:color="auto" w:fill="E5EFFD"/>
          </w:tcPr>
          <w:p>
            <w:pPr>
              <w:spacing w:after="0"/>
              <w:rPr>
                <w:sz w:val="23"/>
                <w:szCs w:val="23"/>
                <w:color w:val="auto"/>
              </w:rPr>
            </w:pPr>
          </w:p>
        </w:tc>
        <w:tc>
          <w:tcPr>
            <w:tcW w:w="3160" w:type="dxa"/>
            <w:vAlign w:val="bottom"/>
            <w:shd w:val="clear" w:color="auto" w:fill="E5EFFD"/>
          </w:tcPr>
          <w:p>
            <w:pPr>
              <w:jc w:val="right"/>
              <w:ind w:right="541"/>
              <w:spacing w:after="0"/>
              <w:rPr>
                <w:sz w:val="20"/>
                <w:szCs w:val="20"/>
                <w:color w:val="auto"/>
              </w:rPr>
            </w:pPr>
            <w:r>
              <w:rPr>
                <w:rFonts w:ascii="Arial" w:cs="Arial" w:eastAsia="Arial" w:hAnsi="Arial"/>
                <w:sz w:val="14"/>
                <w:szCs w:val="14"/>
                <w:b w:val="1"/>
                <w:bCs w:val="1"/>
                <w:color w:val="0063A6"/>
              </w:rPr>
              <w:t>2020</w:t>
            </w:r>
          </w:p>
        </w:tc>
        <w:tc>
          <w:tcPr>
            <w:tcW w:w="1340" w:type="dxa"/>
            <w:vAlign w:val="bottom"/>
            <w:shd w:val="clear" w:color="auto" w:fill="E5EFFD"/>
          </w:tcPr>
          <w:p>
            <w:pPr>
              <w:jc w:val="right"/>
              <w:ind w:right="420"/>
              <w:spacing w:after="0"/>
              <w:rPr>
                <w:sz w:val="20"/>
                <w:szCs w:val="20"/>
                <w:color w:val="auto"/>
              </w:rPr>
            </w:pPr>
            <w:r>
              <w:rPr>
                <w:rFonts w:ascii="Arial" w:cs="Arial" w:eastAsia="Arial" w:hAnsi="Arial"/>
                <w:sz w:val="14"/>
                <w:szCs w:val="14"/>
                <w:b w:val="1"/>
                <w:bCs w:val="1"/>
                <w:color w:val="0063A6"/>
              </w:rPr>
              <w:t>2019</w:t>
            </w:r>
          </w:p>
        </w:tc>
      </w:tr>
      <w:tr>
        <w:trPr>
          <w:trHeight w:val="80"/>
        </w:trPr>
        <w:tc>
          <w:tcPr>
            <w:tcW w:w="5060" w:type="dxa"/>
            <w:vAlign w:val="bottom"/>
            <w:shd w:val="clear" w:color="auto" w:fill="E5EFFD"/>
          </w:tcPr>
          <w:p>
            <w:pPr>
              <w:spacing w:after="0"/>
              <w:rPr>
                <w:sz w:val="6"/>
                <w:szCs w:val="6"/>
                <w:color w:val="auto"/>
              </w:rPr>
            </w:pPr>
          </w:p>
        </w:tc>
        <w:tc>
          <w:tcPr>
            <w:tcW w:w="3160" w:type="dxa"/>
            <w:vAlign w:val="bottom"/>
            <w:shd w:val="clear" w:color="auto" w:fill="E5EFFD"/>
          </w:tcPr>
          <w:p>
            <w:pPr>
              <w:spacing w:after="0"/>
              <w:rPr>
                <w:sz w:val="6"/>
                <w:szCs w:val="6"/>
                <w:color w:val="auto"/>
              </w:rPr>
            </w:pPr>
          </w:p>
        </w:tc>
        <w:tc>
          <w:tcPr>
            <w:tcW w:w="1340" w:type="dxa"/>
            <w:vAlign w:val="bottom"/>
            <w:shd w:val="clear" w:color="auto" w:fill="E5EFFD"/>
          </w:tcPr>
          <w:p>
            <w:pPr>
              <w:spacing w:after="0"/>
              <w:rPr>
                <w:sz w:val="6"/>
                <w:szCs w:val="6"/>
                <w:color w:val="auto"/>
              </w:rPr>
            </w:pPr>
          </w:p>
        </w:tc>
      </w:tr>
      <w:tr>
        <w:trPr>
          <w:trHeight w:val="291"/>
        </w:trPr>
        <w:tc>
          <w:tcPr>
            <w:tcW w:w="5060" w:type="dxa"/>
            <w:vAlign w:val="bottom"/>
            <w:shd w:val="clear" w:color="auto" w:fill="F2F2F2"/>
          </w:tcPr>
          <w:p>
            <w:pPr>
              <w:ind w:left="80"/>
              <w:spacing w:after="0"/>
              <w:rPr>
                <w:sz w:val="20"/>
                <w:szCs w:val="20"/>
                <w:color w:val="auto"/>
              </w:rPr>
            </w:pPr>
            <w:r>
              <w:rPr>
                <w:rFonts w:ascii="Arial" w:cs="Arial" w:eastAsia="Arial" w:hAnsi="Arial"/>
                <w:sz w:val="16"/>
                <w:szCs w:val="16"/>
                <w:color w:val="auto"/>
              </w:rPr>
              <w:t>GAAP income (loss) from operations</w:t>
            </w:r>
          </w:p>
        </w:tc>
        <w:tc>
          <w:tcPr>
            <w:tcW w:w="3160" w:type="dxa"/>
            <w:vAlign w:val="bottom"/>
            <w:shd w:val="clear" w:color="auto" w:fill="F2F2F2"/>
          </w:tcPr>
          <w:p>
            <w:pPr>
              <w:jc w:val="right"/>
              <w:ind w:right="341"/>
              <w:spacing w:after="0"/>
              <w:rPr>
                <w:sz w:val="20"/>
                <w:szCs w:val="20"/>
                <w:color w:val="auto"/>
              </w:rPr>
            </w:pPr>
            <w:r>
              <w:rPr>
                <w:rFonts w:ascii="Arial" w:cs="Arial" w:eastAsia="Arial" w:hAnsi="Arial"/>
                <w:sz w:val="16"/>
                <w:szCs w:val="16"/>
                <w:color w:val="auto"/>
              </w:rPr>
              <w:t>$ (277.0)</w:t>
            </w:r>
          </w:p>
        </w:tc>
        <w:tc>
          <w:tcPr>
            <w:tcW w:w="1340" w:type="dxa"/>
            <w:vAlign w:val="bottom"/>
            <w:shd w:val="clear" w:color="auto" w:fill="F2F2F2"/>
          </w:tcPr>
          <w:p>
            <w:pPr>
              <w:jc w:val="right"/>
              <w:ind w:right="260"/>
              <w:spacing w:after="0"/>
              <w:rPr>
                <w:sz w:val="20"/>
                <w:szCs w:val="20"/>
                <w:color w:val="auto"/>
              </w:rPr>
            </w:pPr>
            <w:r>
              <w:rPr>
                <w:rFonts w:ascii="Arial" w:cs="Arial" w:eastAsia="Arial" w:hAnsi="Arial"/>
                <w:sz w:val="16"/>
                <w:szCs w:val="16"/>
                <w:color w:val="auto"/>
              </w:rPr>
              <w:t>$ (80.5)</w:t>
            </w:r>
          </w:p>
        </w:tc>
      </w:tr>
      <w:tr>
        <w:trPr>
          <w:trHeight w:val="87"/>
        </w:trPr>
        <w:tc>
          <w:tcPr>
            <w:tcW w:w="5060" w:type="dxa"/>
            <w:vAlign w:val="bottom"/>
            <w:shd w:val="clear" w:color="auto" w:fill="F2F2F2"/>
          </w:tcPr>
          <w:p>
            <w:pPr>
              <w:spacing w:after="0"/>
              <w:rPr>
                <w:sz w:val="7"/>
                <w:szCs w:val="7"/>
                <w:color w:val="auto"/>
              </w:rPr>
            </w:pPr>
          </w:p>
        </w:tc>
        <w:tc>
          <w:tcPr>
            <w:tcW w:w="316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r>
      <w:tr>
        <w:trPr>
          <w:trHeight w:val="291"/>
        </w:trPr>
        <w:tc>
          <w:tcPr>
            <w:tcW w:w="5060" w:type="dxa"/>
            <w:vAlign w:val="bottom"/>
          </w:tcPr>
          <w:p>
            <w:pPr>
              <w:ind w:left="340"/>
              <w:spacing w:after="0"/>
              <w:rPr>
                <w:sz w:val="20"/>
                <w:szCs w:val="20"/>
                <w:color w:val="auto"/>
              </w:rPr>
            </w:pPr>
            <w:r>
              <w:rPr>
                <w:rFonts w:ascii="Arial" w:cs="Arial" w:eastAsia="Arial" w:hAnsi="Arial"/>
                <w:sz w:val="16"/>
                <w:szCs w:val="16"/>
                <w:i w:val="1"/>
                <w:iCs w:val="1"/>
                <w:color w:val="auto"/>
              </w:rPr>
              <w:t>GAAP operating margin</w:t>
            </w:r>
          </w:p>
        </w:tc>
        <w:tc>
          <w:tcPr>
            <w:tcW w:w="3160" w:type="dxa"/>
            <w:vAlign w:val="bottom"/>
          </w:tcPr>
          <w:p>
            <w:pPr>
              <w:jc w:val="right"/>
              <w:ind w:right="341"/>
              <w:spacing w:after="0"/>
              <w:rPr>
                <w:sz w:val="20"/>
                <w:szCs w:val="20"/>
                <w:color w:val="auto"/>
              </w:rPr>
            </w:pPr>
            <w:r>
              <w:rPr>
                <w:rFonts w:ascii="Arial" w:cs="Arial" w:eastAsia="Arial" w:hAnsi="Arial"/>
                <w:sz w:val="16"/>
                <w:szCs w:val="16"/>
                <w:color w:val="auto"/>
              </w:rPr>
              <w:t>(14.5%)</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(4.8%)</w:t>
            </w:r>
          </w:p>
        </w:tc>
      </w:tr>
      <w:tr>
        <w:trPr>
          <w:trHeight w:val="87"/>
        </w:trPr>
        <w:tc>
          <w:tcPr>
            <w:tcW w:w="50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91"/>
        </w:trPr>
        <w:tc>
          <w:tcPr>
            <w:tcW w:w="5060" w:type="dxa"/>
            <w:vAlign w:val="bottom"/>
            <w:shd w:val="clear" w:color="auto" w:fill="F2F2F2"/>
          </w:tcPr>
          <w:p>
            <w:pPr>
              <w:ind w:left="80"/>
              <w:spacing w:after="0"/>
              <w:rPr>
                <w:sz w:val="20"/>
                <w:szCs w:val="20"/>
                <w:color w:val="auto"/>
              </w:rPr>
            </w:pPr>
            <w:r>
              <w:rPr>
                <w:rFonts w:ascii="Arial" w:cs="Arial" w:eastAsia="Arial" w:hAnsi="Arial"/>
                <w:sz w:val="16"/>
                <w:szCs w:val="16"/>
                <w:color w:val="auto"/>
              </w:rPr>
              <w:t>Less:</w:t>
            </w:r>
          </w:p>
        </w:tc>
        <w:tc>
          <w:tcPr>
            <w:tcW w:w="3160" w:type="dxa"/>
            <w:vAlign w:val="bottom"/>
            <w:shd w:val="clear" w:color="auto" w:fill="F2F2F2"/>
          </w:tcPr>
          <w:p>
            <w:pPr>
              <w:spacing w:after="0"/>
              <w:rPr>
                <w:sz w:val="24"/>
                <w:szCs w:val="24"/>
                <w:color w:val="auto"/>
              </w:rPr>
            </w:pPr>
          </w:p>
        </w:tc>
        <w:tc>
          <w:tcPr>
            <w:tcW w:w="1340" w:type="dxa"/>
            <w:vAlign w:val="bottom"/>
            <w:shd w:val="clear" w:color="auto" w:fill="F2F2F2"/>
          </w:tcPr>
          <w:p>
            <w:pPr>
              <w:spacing w:after="0"/>
              <w:rPr>
                <w:sz w:val="24"/>
                <w:szCs w:val="24"/>
                <w:color w:val="auto"/>
              </w:rPr>
            </w:pPr>
          </w:p>
        </w:tc>
      </w:tr>
      <w:tr>
        <w:trPr>
          <w:trHeight w:val="87"/>
        </w:trPr>
        <w:tc>
          <w:tcPr>
            <w:tcW w:w="5060" w:type="dxa"/>
            <w:vAlign w:val="bottom"/>
            <w:shd w:val="clear" w:color="auto" w:fill="F2F2F2"/>
          </w:tcPr>
          <w:p>
            <w:pPr>
              <w:spacing w:after="0"/>
              <w:rPr>
                <w:sz w:val="7"/>
                <w:szCs w:val="7"/>
                <w:color w:val="auto"/>
              </w:rPr>
            </w:pPr>
          </w:p>
        </w:tc>
        <w:tc>
          <w:tcPr>
            <w:tcW w:w="316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r>
      <w:tr>
        <w:trPr>
          <w:trHeight w:val="291"/>
        </w:trPr>
        <w:tc>
          <w:tcPr>
            <w:tcW w:w="5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160" w:type="dxa"/>
            <w:vAlign w:val="bottom"/>
          </w:tcPr>
          <w:p>
            <w:pPr>
              <w:jc w:val="right"/>
              <w:ind w:right="341"/>
              <w:spacing w:after="0"/>
              <w:rPr>
                <w:sz w:val="20"/>
                <w:szCs w:val="20"/>
                <w:color w:val="auto"/>
              </w:rPr>
            </w:pPr>
            <w:r>
              <w:rPr>
                <w:rFonts w:ascii="Arial" w:cs="Arial" w:eastAsia="Arial" w:hAnsi="Arial"/>
                <w:sz w:val="16"/>
                <w:szCs w:val="16"/>
                <w:color w:val="auto"/>
              </w:rPr>
              <w:t>(261.5)</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(261.2)</w:t>
            </w:r>
          </w:p>
        </w:tc>
      </w:tr>
      <w:tr>
        <w:trPr>
          <w:trHeight w:val="87"/>
        </w:trPr>
        <w:tc>
          <w:tcPr>
            <w:tcW w:w="50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91"/>
        </w:trPr>
        <w:tc>
          <w:tcPr>
            <w:tcW w:w="506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Acquisition-related and other expenses</w:t>
            </w:r>
          </w:p>
        </w:tc>
        <w:tc>
          <w:tcPr>
            <w:tcW w:w="3160" w:type="dxa"/>
            <w:vAlign w:val="bottom"/>
            <w:shd w:val="clear" w:color="auto" w:fill="F2F2F2"/>
          </w:tcPr>
          <w:p>
            <w:pPr>
              <w:jc w:val="right"/>
              <w:ind w:right="341"/>
              <w:spacing w:after="0"/>
              <w:rPr>
                <w:sz w:val="20"/>
                <w:szCs w:val="20"/>
                <w:color w:val="auto"/>
              </w:rPr>
            </w:pPr>
            <w:r>
              <w:rPr>
                <w:rFonts w:ascii="Arial" w:cs="Arial" w:eastAsia="Arial" w:hAnsi="Arial"/>
                <w:sz w:val="16"/>
                <w:szCs w:val="16"/>
                <w:color w:val="auto"/>
              </w:rPr>
              <w:t>(16.9)</w:t>
            </w:r>
          </w:p>
        </w:tc>
        <w:tc>
          <w:tcPr>
            <w:tcW w:w="1340" w:type="dxa"/>
            <w:vAlign w:val="bottom"/>
            <w:shd w:val="clear" w:color="auto" w:fill="F2F2F2"/>
          </w:tcPr>
          <w:p>
            <w:pPr>
              <w:jc w:val="right"/>
              <w:ind w:right="260"/>
              <w:spacing w:after="0"/>
              <w:rPr>
                <w:sz w:val="20"/>
                <w:szCs w:val="20"/>
                <w:color w:val="auto"/>
              </w:rPr>
            </w:pPr>
            <w:r>
              <w:rPr>
                <w:rFonts w:ascii="Arial" w:cs="Arial" w:eastAsia="Arial" w:hAnsi="Arial"/>
                <w:sz w:val="16"/>
                <w:szCs w:val="16"/>
                <w:color w:val="auto"/>
              </w:rPr>
              <w:t>(15.9)</w:t>
            </w:r>
          </w:p>
        </w:tc>
      </w:tr>
      <w:tr>
        <w:trPr>
          <w:trHeight w:val="87"/>
        </w:trPr>
        <w:tc>
          <w:tcPr>
            <w:tcW w:w="5060" w:type="dxa"/>
            <w:vAlign w:val="bottom"/>
            <w:shd w:val="clear" w:color="auto" w:fill="F2F2F2"/>
          </w:tcPr>
          <w:p>
            <w:pPr>
              <w:spacing w:after="0"/>
              <w:rPr>
                <w:sz w:val="7"/>
                <w:szCs w:val="7"/>
                <w:color w:val="auto"/>
              </w:rPr>
            </w:pPr>
          </w:p>
        </w:tc>
        <w:tc>
          <w:tcPr>
            <w:tcW w:w="316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r>
      <w:tr>
        <w:trPr>
          <w:trHeight w:val="291"/>
        </w:trPr>
        <w:tc>
          <w:tcPr>
            <w:tcW w:w="5060" w:type="dxa"/>
            <w:vAlign w:val="bottom"/>
          </w:tcPr>
          <w:p>
            <w:pPr>
              <w:ind w:left="340"/>
              <w:spacing w:after="0"/>
              <w:rPr>
                <w:sz w:val="20"/>
                <w:szCs w:val="20"/>
                <w:color w:val="auto"/>
              </w:rPr>
            </w:pPr>
            <w:r>
              <w:rPr>
                <w:rFonts w:ascii="Arial" w:cs="Arial" w:eastAsia="Arial" w:hAnsi="Arial"/>
                <w:sz w:val="16"/>
                <w:szCs w:val="16"/>
                <w:color w:val="auto"/>
              </w:rPr>
              <w:t>Intangibles amortization</w:t>
            </w:r>
          </w:p>
        </w:tc>
        <w:tc>
          <w:tcPr>
            <w:tcW w:w="3160" w:type="dxa"/>
            <w:vAlign w:val="bottom"/>
          </w:tcPr>
          <w:p>
            <w:pPr>
              <w:jc w:val="right"/>
              <w:ind w:right="341"/>
              <w:spacing w:after="0"/>
              <w:rPr>
                <w:sz w:val="20"/>
                <w:szCs w:val="20"/>
                <w:color w:val="auto"/>
              </w:rPr>
            </w:pPr>
            <w:r>
              <w:rPr>
                <w:rFonts w:ascii="Arial" w:cs="Arial" w:eastAsia="Arial" w:hAnsi="Arial"/>
                <w:sz w:val="16"/>
                <w:szCs w:val="16"/>
                <w:color w:val="auto"/>
              </w:rPr>
              <w:t>(9.5)</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(8.4)</w:t>
            </w:r>
          </w:p>
        </w:tc>
      </w:tr>
      <w:tr>
        <w:trPr>
          <w:trHeight w:val="87"/>
        </w:trPr>
        <w:tc>
          <w:tcPr>
            <w:tcW w:w="50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91"/>
        </w:trPr>
        <w:tc>
          <w:tcPr>
            <w:tcW w:w="5060" w:type="dxa"/>
            <w:vAlign w:val="bottom"/>
            <w:shd w:val="clear" w:color="auto" w:fill="F2F2F2"/>
          </w:tcPr>
          <w:p>
            <w:pPr>
              <w:ind w:left="340"/>
              <w:spacing w:after="0"/>
              <w:rPr>
                <w:sz w:val="20"/>
                <w:szCs w:val="20"/>
                <w:color w:val="auto"/>
              </w:rPr>
            </w:pPr>
            <w:r>
              <w:rPr>
                <w:rFonts w:ascii="Arial" w:cs="Arial" w:eastAsia="Arial" w:hAnsi="Arial"/>
                <w:sz w:val="16"/>
                <w:szCs w:val="16"/>
                <w:color w:val="auto"/>
              </w:rPr>
              <w:t>Impairment related to real estate assets</w:t>
            </w:r>
          </w:p>
        </w:tc>
        <w:tc>
          <w:tcPr>
            <w:tcW w:w="3160" w:type="dxa"/>
            <w:vAlign w:val="bottom"/>
            <w:shd w:val="clear" w:color="auto" w:fill="F2F2F2"/>
          </w:tcPr>
          <w:p>
            <w:pPr>
              <w:jc w:val="right"/>
              <w:ind w:right="341"/>
              <w:spacing w:after="0"/>
              <w:rPr>
                <w:sz w:val="20"/>
                <w:szCs w:val="20"/>
                <w:color w:val="auto"/>
              </w:rPr>
            </w:pPr>
            <w:r>
              <w:rPr>
                <w:rFonts w:ascii="Arial" w:cs="Arial" w:eastAsia="Arial" w:hAnsi="Arial"/>
                <w:sz w:val="16"/>
                <w:szCs w:val="16"/>
                <w:color w:val="auto"/>
              </w:rPr>
              <w:t>(398.2)</w:t>
            </w:r>
          </w:p>
        </w:tc>
        <w:tc>
          <w:tcPr>
            <w:tcW w:w="1340" w:type="dxa"/>
            <w:vAlign w:val="bottom"/>
            <w:shd w:val="clear" w:color="auto" w:fill="F2F2F2"/>
          </w:tcPr>
          <w:p>
            <w:pPr>
              <w:jc w:val="right"/>
              <w:ind w:right="320"/>
              <w:spacing w:after="0"/>
              <w:rPr>
                <w:sz w:val="20"/>
                <w:szCs w:val="20"/>
                <w:color w:val="auto"/>
              </w:rPr>
            </w:pPr>
            <w:r>
              <w:rPr>
                <w:rFonts w:ascii="Arial" w:cs="Arial" w:eastAsia="Arial" w:hAnsi="Arial"/>
                <w:sz w:val="16"/>
                <w:szCs w:val="16"/>
                <w:color w:val="auto"/>
              </w:rPr>
              <w:t>—</w:t>
            </w:r>
          </w:p>
        </w:tc>
      </w:tr>
      <w:tr>
        <w:trPr>
          <w:trHeight w:val="87"/>
        </w:trPr>
        <w:tc>
          <w:tcPr>
            <w:tcW w:w="5060" w:type="dxa"/>
            <w:vAlign w:val="bottom"/>
            <w:shd w:val="clear" w:color="auto" w:fill="F2F2F2"/>
          </w:tcPr>
          <w:p>
            <w:pPr>
              <w:spacing w:after="0"/>
              <w:rPr>
                <w:sz w:val="7"/>
                <w:szCs w:val="7"/>
                <w:color w:val="auto"/>
              </w:rPr>
            </w:pPr>
          </w:p>
        </w:tc>
        <w:tc>
          <w:tcPr>
            <w:tcW w:w="316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r>
      <w:tr>
        <w:trPr>
          <w:trHeight w:val="291"/>
        </w:trPr>
        <w:tc>
          <w:tcPr>
            <w:tcW w:w="5060" w:type="dxa"/>
            <w:vAlign w:val="bottom"/>
          </w:tcPr>
          <w:p>
            <w:pPr>
              <w:ind w:left="80"/>
              <w:spacing w:after="0"/>
              <w:rPr>
                <w:sz w:val="20"/>
                <w:szCs w:val="20"/>
                <w:color w:val="auto"/>
              </w:rPr>
            </w:pPr>
            <w:r>
              <w:rPr>
                <w:rFonts w:ascii="Arial" w:cs="Arial" w:eastAsia="Arial" w:hAnsi="Arial"/>
                <w:sz w:val="16"/>
                <w:szCs w:val="16"/>
                <w:color w:val="auto"/>
              </w:rPr>
              <w:t>Non-GAAP income (loss) from operations</w:t>
            </w:r>
          </w:p>
        </w:tc>
        <w:tc>
          <w:tcPr>
            <w:tcW w:w="3160" w:type="dxa"/>
            <w:vAlign w:val="bottom"/>
          </w:tcPr>
          <w:p>
            <w:pPr>
              <w:jc w:val="right"/>
              <w:ind w:right="401"/>
              <w:spacing w:after="0"/>
              <w:rPr>
                <w:sz w:val="20"/>
                <w:szCs w:val="20"/>
                <w:color w:val="auto"/>
              </w:rPr>
            </w:pPr>
            <w:r>
              <w:rPr>
                <w:rFonts w:ascii="Arial" w:cs="Arial" w:eastAsia="Arial" w:hAnsi="Arial"/>
                <w:sz w:val="16"/>
                <w:szCs w:val="16"/>
                <w:color w:val="auto"/>
              </w:rPr>
              <w:t>409.1</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205.0</w:t>
            </w:r>
          </w:p>
        </w:tc>
      </w:tr>
      <w:tr>
        <w:trPr>
          <w:trHeight w:val="87"/>
        </w:trPr>
        <w:tc>
          <w:tcPr>
            <w:tcW w:w="50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91"/>
        </w:trPr>
        <w:tc>
          <w:tcPr>
            <w:tcW w:w="5060" w:type="dxa"/>
            <w:vAlign w:val="bottom"/>
            <w:shd w:val="clear" w:color="auto" w:fill="F2F2F2"/>
          </w:tcPr>
          <w:p>
            <w:pPr>
              <w:ind w:left="340"/>
              <w:spacing w:after="0"/>
              <w:rPr>
                <w:sz w:val="20"/>
                <w:szCs w:val="20"/>
                <w:color w:val="auto"/>
              </w:rPr>
            </w:pPr>
            <w:r>
              <w:rPr>
                <w:rFonts w:ascii="Arial" w:cs="Arial" w:eastAsia="Arial" w:hAnsi="Arial"/>
                <w:sz w:val="16"/>
                <w:szCs w:val="16"/>
                <w:i w:val="1"/>
                <w:iCs w:val="1"/>
                <w:color w:val="auto"/>
              </w:rPr>
              <w:t>Non-GAAP operating margin</w:t>
            </w:r>
          </w:p>
        </w:tc>
        <w:tc>
          <w:tcPr>
            <w:tcW w:w="3160" w:type="dxa"/>
            <w:vAlign w:val="bottom"/>
            <w:shd w:val="clear" w:color="auto" w:fill="F2F2F2"/>
          </w:tcPr>
          <w:p>
            <w:pPr>
              <w:jc w:val="right"/>
              <w:ind w:right="401"/>
              <w:spacing w:after="0"/>
              <w:rPr>
                <w:sz w:val="20"/>
                <w:szCs w:val="20"/>
                <w:color w:val="auto"/>
              </w:rPr>
            </w:pPr>
            <w:r>
              <w:rPr>
                <w:rFonts w:ascii="Arial" w:cs="Arial" w:eastAsia="Arial" w:hAnsi="Arial"/>
                <w:sz w:val="16"/>
                <w:szCs w:val="16"/>
                <w:color w:val="auto"/>
              </w:rPr>
              <w:t>21.4%</w:t>
            </w:r>
          </w:p>
        </w:tc>
        <w:tc>
          <w:tcPr>
            <w:tcW w:w="1340" w:type="dxa"/>
            <w:vAlign w:val="bottom"/>
            <w:shd w:val="clear" w:color="auto" w:fill="F2F2F2"/>
          </w:tcPr>
          <w:p>
            <w:pPr>
              <w:jc w:val="right"/>
              <w:ind w:right="320"/>
              <w:spacing w:after="0"/>
              <w:rPr>
                <w:sz w:val="20"/>
                <w:szCs w:val="20"/>
                <w:color w:val="auto"/>
              </w:rPr>
            </w:pPr>
            <w:r>
              <w:rPr>
                <w:rFonts w:ascii="Arial" w:cs="Arial" w:eastAsia="Arial" w:hAnsi="Arial"/>
                <w:sz w:val="16"/>
                <w:szCs w:val="16"/>
                <w:color w:val="auto"/>
              </w:rPr>
              <w:t>12.3%</w:t>
            </w:r>
          </w:p>
        </w:tc>
      </w:tr>
      <w:tr>
        <w:trPr>
          <w:trHeight w:val="60"/>
        </w:trPr>
        <w:tc>
          <w:tcPr>
            <w:tcW w:w="5060" w:type="dxa"/>
            <w:vAlign w:val="bottom"/>
            <w:shd w:val="clear" w:color="auto" w:fill="F2F2F2"/>
          </w:tcPr>
          <w:p>
            <w:pPr>
              <w:spacing w:after="0"/>
              <w:rPr>
                <w:sz w:val="5"/>
                <w:szCs w:val="5"/>
                <w:color w:val="auto"/>
              </w:rPr>
            </w:pPr>
          </w:p>
        </w:tc>
        <w:tc>
          <w:tcPr>
            <w:tcW w:w="3160" w:type="dxa"/>
            <w:vAlign w:val="bottom"/>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r>
    </w:tbl>
    <w:p>
      <w:pPr>
        <w:spacing w:after="0" w:line="21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65" w:name="page66"/>
    <w:bookmarkEnd w:id="65"/>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APPENDIX A (continued)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57785</wp:posOffset>
            </wp:positionV>
            <wp:extent cx="6077585" cy="140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7585" cy="1405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4940" w:type="dxa"/>
            <w:vAlign w:val="bottom"/>
            <w:shd w:val="clear" w:color="auto" w:fill="0063A6"/>
          </w:tcPr>
          <w:p>
            <w:pPr>
              <w:spacing w:after="0"/>
              <w:rPr>
                <w:sz w:val="24"/>
                <w:szCs w:val="24"/>
                <w:color w:val="auto"/>
              </w:rPr>
            </w:pPr>
          </w:p>
        </w:tc>
        <w:tc>
          <w:tcPr>
            <w:tcW w:w="4620" w:type="dxa"/>
            <w:vAlign w:val="bottom"/>
            <w:gridSpan w:val="2"/>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Twelve Months Ended December 31,</w:t>
            </w:r>
          </w:p>
        </w:tc>
        <w:tc>
          <w:tcPr>
            <w:tcW w:w="740" w:type="dxa"/>
            <w:vAlign w:val="bottom"/>
          </w:tcPr>
          <w:p>
            <w:pPr>
              <w:spacing w:after="0"/>
              <w:rPr>
                <w:sz w:val="24"/>
                <w:szCs w:val="24"/>
                <w:color w:val="auto"/>
              </w:rPr>
            </w:pPr>
          </w:p>
        </w:tc>
      </w:tr>
      <w:tr>
        <w:trPr>
          <w:trHeight w:val="80"/>
        </w:trPr>
        <w:tc>
          <w:tcPr>
            <w:tcW w:w="720" w:type="dxa"/>
            <w:vAlign w:val="bottom"/>
          </w:tcPr>
          <w:p>
            <w:pPr>
              <w:spacing w:after="0"/>
              <w:rPr>
                <w:sz w:val="6"/>
                <w:szCs w:val="6"/>
                <w:color w:val="auto"/>
              </w:rPr>
            </w:pPr>
          </w:p>
        </w:tc>
        <w:tc>
          <w:tcPr>
            <w:tcW w:w="4940" w:type="dxa"/>
            <w:vAlign w:val="bottom"/>
            <w:shd w:val="clear" w:color="auto" w:fill="0063A6"/>
          </w:tcPr>
          <w:p>
            <w:pPr>
              <w:spacing w:after="0"/>
              <w:rPr>
                <w:sz w:val="6"/>
                <w:szCs w:val="6"/>
                <w:color w:val="auto"/>
              </w:rPr>
            </w:pPr>
          </w:p>
        </w:tc>
        <w:tc>
          <w:tcPr>
            <w:tcW w:w="3200" w:type="dxa"/>
            <w:vAlign w:val="bottom"/>
            <w:shd w:val="clear" w:color="auto" w:fill="0063A6"/>
          </w:tcPr>
          <w:p>
            <w:pPr>
              <w:spacing w:after="0"/>
              <w:rPr>
                <w:sz w:val="6"/>
                <w:szCs w:val="6"/>
                <w:color w:val="auto"/>
              </w:rPr>
            </w:pPr>
          </w:p>
        </w:tc>
        <w:tc>
          <w:tcPr>
            <w:tcW w:w="1420" w:type="dxa"/>
            <w:vAlign w:val="bottom"/>
            <w:shd w:val="clear" w:color="auto" w:fill="0063A6"/>
          </w:tcPr>
          <w:p>
            <w:pPr>
              <w:spacing w:after="0"/>
              <w:rPr>
                <w:sz w:val="6"/>
                <w:szCs w:val="6"/>
                <w:color w:val="auto"/>
              </w:rPr>
            </w:pPr>
          </w:p>
        </w:tc>
        <w:tc>
          <w:tcPr>
            <w:tcW w:w="740" w:type="dxa"/>
            <w:vAlign w:val="bottom"/>
          </w:tcPr>
          <w:p>
            <w:pPr>
              <w:spacing w:after="0"/>
              <w:rPr>
                <w:sz w:val="6"/>
                <w:szCs w:val="6"/>
                <w:color w:val="auto"/>
              </w:rPr>
            </w:pPr>
          </w:p>
        </w:tc>
      </w:tr>
      <w:tr>
        <w:trPr>
          <w:trHeight w:val="271"/>
        </w:trPr>
        <w:tc>
          <w:tcPr>
            <w:tcW w:w="720" w:type="dxa"/>
            <w:vAlign w:val="bottom"/>
          </w:tcPr>
          <w:p>
            <w:pPr>
              <w:spacing w:after="0"/>
              <w:rPr>
                <w:sz w:val="23"/>
                <w:szCs w:val="23"/>
                <w:color w:val="auto"/>
              </w:rPr>
            </w:pPr>
          </w:p>
        </w:tc>
        <w:tc>
          <w:tcPr>
            <w:tcW w:w="4940" w:type="dxa"/>
            <w:vAlign w:val="bottom"/>
            <w:shd w:val="clear" w:color="auto" w:fill="E5EFFD"/>
          </w:tcPr>
          <w:p>
            <w:pPr>
              <w:spacing w:after="0"/>
              <w:rPr>
                <w:sz w:val="23"/>
                <w:szCs w:val="23"/>
                <w:color w:val="auto"/>
              </w:rPr>
            </w:pPr>
          </w:p>
        </w:tc>
        <w:tc>
          <w:tcPr>
            <w:tcW w:w="3200" w:type="dxa"/>
            <w:vAlign w:val="bottom"/>
            <w:shd w:val="clear" w:color="auto" w:fill="E5EFFD"/>
          </w:tcPr>
          <w:p>
            <w:pPr>
              <w:jc w:val="right"/>
              <w:ind w:right="503"/>
              <w:spacing w:after="0"/>
              <w:rPr>
                <w:sz w:val="20"/>
                <w:szCs w:val="20"/>
                <w:color w:val="auto"/>
              </w:rPr>
            </w:pPr>
            <w:r>
              <w:rPr>
                <w:rFonts w:ascii="Arial" w:cs="Arial" w:eastAsia="Arial" w:hAnsi="Arial"/>
                <w:sz w:val="14"/>
                <w:szCs w:val="14"/>
                <w:b w:val="1"/>
                <w:bCs w:val="1"/>
                <w:color w:val="0063A6"/>
              </w:rPr>
              <w:t>2020</w:t>
            </w:r>
          </w:p>
        </w:tc>
        <w:tc>
          <w:tcPr>
            <w:tcW w:w="1420" w:type="dxa"/>
            <w:vAlign w:val="bottom"/>
            <w:shd w:val="clear" w:color="auto" w:fill="E5EFFD"/>
          </w:tcPr>
          <w:p>
            <w:pPr>
              <w:jc w:val="right"/>
              <w:ind w:right="461"/>
              <w:spacing w:after="0"/>
              <w:rPr>
                <w:sz w:val="20"/>
                <w:szCs w:val="20"/>
                <w:color w:val="auto"/>
              </w:rPr>
            </w:pPr>
            <w:r>
              <w:rPr>
                <w:rFonts w:ascii="Arial" w:cs="Arial" w:eastAsia="Arial" w:hAnsi="Arial"/>
                <w:sz w:val="14"/>
                <w:szCs w:val="14"/>
                <w:b w:val="1"/>
                <w:bCs w:val="1"/>
                <w:color w:val="0063A6"/>
              </w:rPr>
              <w:t>2019</w:t>
            </w:r>
          </w:p>
        </w:tc>
        <w:tc>
          <w:tcPr>
            <w:tcW w:w="740" w:type="dxa"/>
            <w:vAlign w:val="bottom"/>
          </w:tcPr>
          <w:p>
            <w:pPr>
              <w:spacing w:after="0"/>
              <w:rPr>
                <w:sz w:val="23"/>
                <w:szCs w:val="23"/>
                <w:color w:val="auto"/>
              </w:rPr>
            </w:pPr>
          </w:p>
        </w:tc>
      </w:tr>
      <w:tr>
        <w:trPr>
          <w:trHeight w:val="80"/>
        </w:trPr>
        <w:tc>
          <w:tcPr>
            <w:tcW w:w="720" w:type="dxa"/>
            <w:vAlign w:val="bottom"/>
          </w:tcPr>
          <w:p>
            <w:pPr>
              <w:spacing w:after="0"/>
              <w:rPr>
                <w:sz w:val="6"/>
                <w:szCs w:val="6"/>
                <w:color w:val="auto"/>
              </w:rPr>
            </w:pPr>
          </w:p>
        </w:tc>
        <w:tc>
          <w:tcPr>
            <w:tcW w:w="4940" w:type="dxa"/>
            <w:vAlign w:val="bottom"/>
            <w:shd w:val="clear" w:color="auto" w:fill="E5EFFD"/>
          </w:tcPr>
          <w:p>
            <w:pPr>
              <w:spacing w:after="0"/>
              <w:rPr>
                <w:sz w:val="6"/>
                <w:szCs w:val="6"/>
                <w:color w:val="auto"/>
              </w:rPr>
            </w:pPr>
          </w:p>
        </w:tc>
        <w:tc>
          <w:tcPr>
            <w:tcW w:w="3200" w:type="dxa"/>
            <w:vAlign w:val="bottom"/>
            <w:shd w:val="clear" w:color="auto" w:fill="E5EFFD"/>
          </w:tcPr>
          <w:p>
            <w:pPr>
              <w:spacing w:after="0"/>
              <w:rPr>
                <w:sz w:val="6"/>
                <w:szCs w:val="6"/>
                <w:color w:val="auto"/>
              </w:rPr>
            </w:pPr>
          </w:p>
        </w:tc>
        <w:tc>
          <w:tcPr>
            <w:tcW w:w="1420" w:type="dxa"/>
            <w:vAlign w:val="bottom"/>
            <w:shd w:val="clear" w:color="auto" w:fill="E5EFFD"/>
          </w:tcPr>
          <w:p>
            <w:pPr>
              <w:spacing w:after="0"/>
              <w:rPr>
                <w:sz w:val="6"/>
                <w:szCs w:val="6"/>
                <w:color w:val="auto"/>
              </w:rPr>
            </w:pPr>
          </w:p>
        </w:tc>
        <w:tc>
          <w:tcPr>
            <w:tcW w:w="740" w:type="dxa"/>
            <w:vAlign w:val="bottom"/>
          </w:tcPr>
          <w:p>
            <w:pPr>
              <w:spacing w:after="0"/>
              <w:rPr>
                <w:sz w:val="6"/>
                <w:szCs w:val="6"/>
                <w:color w:val="auto"/>
              </w:rPr>
            </w:pPr>
          </w:p>
        </w:tc>
      </w:tr>
      <w:tr>
        <w:trPr>
          <w:trHeight w:val="291"/>
        </w:trPr>
        <w:tc>
          <w:tcPr>
            <w:tcW w:w="720" w:type="dxa"/>
            <w:vAlign w:val="bottom"/>
          </w:tcPr>
          <w:p>
            <w:pPr>
              <w:spacing w:after="0"/>
              <w:rPr>
                <w:sz w:val="24"/>
                <w:szCs w:val="24"/>
                <w:color w:val="auto"/>
              </w:rPr>
            </w:pPr>
          </w:p>
        </w:tc>
        <w:tc>
          <w:tcPr>
            <w:tcW w:w="4940" w:type="dxa"/>
            <w:vAlign w:val="bottom"/>
            <w:shd w:val="clear" w:color="auto" w:fill="F2F2F2"/>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3200" w:type="dxa"/>
            <w:vAlign w:val="bottom"/>
            <w:shd w:val="clear" w:color="auto" w:fill="F2F2F2"/>
          </w:tcPr>
          <w:p>
            <w:pPr>
              <w:jc w:val="right"/>
              <w:ind w:right="403"/>
              <w:spacing w:after="0"/>
              <w:rPr>
                <w:sz w:val="20"/>
                <w:szCs w:val="20"/>
                <w:color w:val="auto"/>
              </w:rPr>
            </w:pPr>
            <w:r>
              <w:rPr>
                <w:rFonts w:ascii="Arial" w:cs="Arial" w:eastAsia="Arial" w:hAnsi="Arial"/>
                <w:sz w:val="16"/>
                <w:szCs w:val="16"/>
                <w:color w:val="auto"/>
              </w:rPr>
              <w:t>$570.8</w:t>
            </w:r>
          </w:p>
        </w:tc>
        <w:tc>
          <w:tcPr>
            <w:tcW w:w="142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$ 528.5</w:t>
            </w:r>
          </w:p>
        </w:tc>
        <w:tc>
          <w:tcPr>
            <w:tcW w:w="740" w:type="dxa"/>
            <w:vAlign w:val="bottom"/>
          </w:tcPr>
          <w:p>
            <w:pPr>
              <w:spacing w:after="0"/>
              <w:rPr>
                <w:sz w:val="24"/>
                <w:szCs w:val="24"/>
                <w:color w:val="auto"/>
              </w:rPr>
            </w:pPr>
          </w:p>
        </w:tc>
      </w:tr>
      <w:tr>
        <w:trPr>
          <w:trHeight w:val="87"/>
        </w:trPr>
        <w:tc>
          <w:tcPr>
            <w:tcW w:w="720" w:type="dxa"/>
            <w:vAlign w:val="bottom"/>
          </w:tcPr>
          <w:p>
            <w:pPr>
              <w:spacing w:after="0"/>
              <w:rPr>
                <w:sz w:val="7"/>
                <w:szCs w:val="7"/>
                <w:color w:val="auto"/>
              </w:rPr>
            </w:pPr>
          </w:p>
        </w:tc>
        <w:tc>
          <w:tcPr>
            <w:tcW w:w="4940" w:type="dxa"/>
            <w:vAlign w:val="bottom"/>
            <w:shd w:val="clear" w:color="auto" w:fill="F2F2F2"/>
          </w:tcPr>
          <w:p>
            <w:pPr>
              <w:spacing w:after="0"/>
              <w:rPr>
                <w:sz w:val="7"/>
                <w:szCs w:val="7"/>
                <w:color w:val="auto"/>
              </w:rPr>
            </w:pPr>
          </w:p>
        </w:tc>
        <w:tc>
          <w:tcPr>
            <w:tcW w:w="3200" w:type="dxa"/>
            <w:vAlign w:val="bottom"/>
            <w:shd w:val="clear" w:color="auto" w:fill="F2F2F2"/>
          </w:tcPr>
          <w:p>
            <w:pPr>
              <w:spacing w:after="0"/>
              <w:rPr>
                <w:sz w:val="7"/>
                <w:szCs w:val="7"/>
                <w:color w:val="auto"/>
              </w:rPr>
            </w:pPr>
          </w:p>
        </w:tc>
        <w:tc>
          <w:tcPr>
            <w:tcW w:w="14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1"/>
        </w:trPr>
        <w:tc>
          <w:tcPr>
            <w:tcW w:w="72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6"/>
                <w:szCs w:val="16"/>
                <w:color w:val="auto"/>
              </w:rPr>
              <w:t>Less:</w:t>
            </w:r>
          </w:p>
        </w:tc>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7"/>
        </w:trPr>
        <w:tc>
          <w:tcPr>
            <w:tcW w:w="7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1"/>
        </w:trPr>
        <w:tc>
          <w:tcPr>
            <w:tcW w:w="720" w:type="dxa"/>
            <w:vAlign w:val="bottom"/>
          </w:tcPr>
          <w:p>
            <w:pPr>
              <w:spacing w:after="0"/>
              <w:rPr>
                <w:sz w:val="24"/>
                <w:szCs w:val="24"/>
                <w:color w:val="auto"/>
              </w:rPr>
            </w:pPr>
          </w:p>
        </w:tc>
        <w:tc>
          <w:tcPr>
            <w:tcW w:w="494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Capital expenditures</w:t>
            </w:r>
          </w:p>
        </w:tc>
        <w:tc>
          <w:tcPr>
            <w:tcW w:w="3200" w:type="dxa"/>
            <w:vAlign w:val="bottom"/>
            <w:shd w:val="clear" w:color="auto" w:fill="F2F2F2"/>
          </w:tcPr>
          <w:p>
            <w:pPr>
              <w:jc w:val="right"/>
              <w:ind w:right="363"/>
              <w:spacing w:after="0"/>
              <w:rPr>
                <w:sz w:val="20"/>
                <w:szCs w:val="20"/>
                <w:color w:val="auto"/>
              </w:rPr>
            </w:pPr>
            <w:r>
              <w:rPr>
                <w:rFonts w:ascii="Arial" w:cs="Arial" w:eastAsia="Arial" w:hAnsi="Arial"/>
                <w:sz w:val="16"/>
                <w:szCs w:val="16"/>
                <w:color w:val="auto"/>
              </w:rPr>
              <w:t>(80.1)</w:t>
            </w:r>
          </w:p>
        </w:tc>
        <w:tc>
          <w:tcPr>
            <w:tcW w:w="1420" w:type="dxa"/>
            <w:vAlign w:val="bottom"/>
            <w:shd w:val="clear" w:color="auto" w:fill="F2F2F2"/>
          </w:tcPr>
          <w:p>
            <w:pPr>
              <w:jc w:val="right"/>
              <w:ind w:right="301"/>
              <w:spacing w:after="0"/>
              <w:rPr>
                <w:sz w:val="20"/>
                <w:szCs w:val="20"/>
                <w:color w:val="auto"/>
              </w:rPr>
            </w:pPr>
            <w:r>
              <w:rPr>
                <w:rFonts w:ascii="Arial" w:cs="Arial" w:eastAsia="Arial" w:hAnsi="Arial"/>
                <w:sz w:val="16"/>
                <w:szCs w:val="16"/>
                <w:color w:val="auto"/>
              </w:rPr>
              <w:t>(136.1)</w:t>
            </w:r>
          </w:p>
        </w:tc>
        <w:tc>
          <w:tcPr>
            <w:tcW w:w="740" w:type="dxa"/>
            <w:vAlign w:val="bottom"/>
          </w:tcPr>
          <w:p>
            <w:pPr>
              <w:spacing w:after="0"/>
              <w:rPr>
                <w:sz w:val="24"/>
                <w:szCs w:val="24"/>
                <w:color w:val="auto"/>
              </w:rPr>
            </w:pPr>
          </w:p>
        </w:tc>
      </w:tr>
      <w:tr>
        <w:trPr>
          <w:trHeight w:val="87"/>
        </w:trPr>
        <w:tc>
          <w:tcPr>
            <w:tcW w:w="720" w:type="dxa"/>
            <w:vAlign w:val="bottom"/>
          </w:tcPr>
          <w:p>
            <w:pPr>
              <w:spacing w:after="0"/>
              <w:rPr>
                <w:sz w:val="7"/>
                <w:szCs w:val="7"/>
                <w:color w:val="auto"/>
              </w:rPr>
            </w:pPr>
          </w:p>
        </w:tc>
        <w:tc>
          <w:tcPr>
            <w:tcW w:w="4940" w:type="dxa"/>
            <w:vAlign w:val="bottom"/>
            <w:shd w:val="clear" w:color="auto" w:fill="F2F2F2"/>
          </w:tcPr>
          <w:p>
            <w:pPr>
              <w:spacing w:after="0"/>
              <w:rPr>
                <w:sz w:val="7"/>
                <w:szCs w:val="7"/>
                <w:color w:val="auto"/>
              </w:rPr>
            </w:pPr>
          </w:p>
        </w:tc>
        <w:tc>
          <w:tcPr>
            <w:tcW w:w="3200" w:type="dxa"/>
            <w:vAlign w:val="bottom"/>
            <w:shd w:val="clear" w:color="auto" w:fill="F2F2F2"/>
          </w:tcPr>
          <w:p>
            <w:pPr>
              <w:spacing w:after="0"/>
              <w:rPr>
                <w:sz w:val="7"/>
                <w:szCs w:val="7"/>
                <w:color w:val="auto"/>
              </w:rPr>
            </w:pPr>
          </w:p>
        </w:tc>
        <w:tc>
          <w:tcPr>
            <w:tcW w:w="14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1"/>
        </w:trPr>
        <w:tc>
          <w:tcPr>
            <w:tcW w:w="72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3200" w:type="dxa"/>
            <w:vAlign w:val="bottom"/>
          </w:tcPr>
          <w:p>
            <w:pPr>
              <w:jc w:val="right"/>
              <w:ind w:right="423"/>
              <w:spacing w:after="0"/>
              <w:rPr>
                <w:sz w:val="20"/>
                <w:szCs w:val="20"/>
                <w:color w:val="auto"/>
              </w:rPr>
            </w:pPr>
            <w:r>
              <w:rPr>
                <w:rFonts w:ascii="Arial" w:cs="Arial" w:eastAsia="Arial" w:hAnsi="Arial"/>
                <w:sz w:val="16"/>
                <w:szCs w:val="16"/>
                <w:color w:val="auto"/>
              </w:rPr>
              <w:t>490.7</w:t>
            </w: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392.4</w:t>
            </w:r>
          </w:p>
        </w:tc>
        <w:tc>
          <w:tcPr>
            <w:tcW w:w="740" w:type="dxa"/>
            <w:vAlign w:val="bottom"/>
          </w:tcPr>
          <w:p>
            <w:pPr>
              <w:spacing w:after="0"/>
              <w:rPr>
                <w:sz w:val="24"/>
                <w:szCs w:val="24"/>
                <w:color w:val="auto"/>
              </w:rPr>
            </w:pPr>
          </w:p>
        </w:tc>
      </w:tr>
      <w:tr>
        <w:trPr>
          <w:trHeight w:val="466"/>
        </w:trPr>
        <w:tc>
          <w:tcPr>
            <w:tcW w:w="7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4"/>
                <w:szCs w:val="14"/>
                <w:b w:val="1"/>
                <w:bCs w:val="1"/>
                <w:color w:val="auto"/>
              </w:rPr>
              <w:t>A-2</w:t>
            </w:r>
          </w:p>
        </w:tc>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2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09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4099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lvl w:ilvl="1">
      <w:lvlJc w:val="left"/>
      <w:lvlText w:val="(%2)"/>
      <w:numFmt w:val="decimal"/>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2"/>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4"/>
      <w:numFmt w:val="bullet"/>
      <w:start w:val="1"/>
    </w:lvl>
  </w:abstractNum>
  <w:abstractNum w:abstractNumId="15">
    <w:nsid w:val="12E685FB"/>
    <w:multiLevelType w:val="hybridMultilevel"/>
    <w:lvl w:ilvl="0">
      <w:lvlJc w:val="left"/>
      <w:lvlText w:val="(%1)"/>
      <w:numFmt w:val="lowerRoman"/>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6"/>
      <w:numFmt w:val="bullet"/>
      <w:start w:val="1"/>
    </w:lvl>
  </w:abstractNum>
  <w:abstractNum w:abstractNumId="19">
    <w:nsid w:val="4F4EF005"/>
    <w:multiLevelType w:val="hybridMultilevel"/>
    <w:lvl w:ilvl="0">
      <w:lvlJc w:val="left"/>
      <w:lvlText w:val="8"/>
      <w:numFmt w:val="bullet"/>
      <w:start w:val="1"/>
    </w:lvl>
  </w:abstractNum>
  <w:abstractNum w:abstractNumId="20">
    <w:nsid w:val="23F9C13C"/>
    <w:multiLevelType w:val="hybridMultilevel"/>
    <w:lvl w:ilvl="0">
      <w:lvlJc w:val="left"/>
      <w:lvlText w:val="%1"/>
      <w:numFmt w:val="decimal"/>
      <w:start w:val="10"/>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2"/>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14"/>
    </w:lvl>
  </w:abstractNum>
  <w:abstractNum w:abstractNumId="26">
    <w:nsid w:val="235BA861"/>
    <w:multiLevelType w:val="hybridMultilevel"/>
    <w:lvl w:ilvl="0">
      <w:lvlJc w:val="left"/>
      <w:lvlText w:val="•"/>
      <w:numFmt w:val="bullet"/>
      <w:start w:val="1"/>
    </w:lvl>
    <w:lvl w:ilvl="1">
      <w:lvlJc w:val="left"/>
      <w:lvlText w:val="•"/>
      <w:numFmt w:val="bullet"/>
      <w:start w:val="1"/>
    </w:lvl>
  </w:abstractNum>
  <w:abstractNum w:abstractNumId="27">
    <w:nsid w:val="47398C89"/>
    <w:multiLevelType w:val="hybridMultilevel"/>
    <w:lvl w:ilvl="0">
      <w:lvlJc w:val="left"/>
      <w:lvlText w:val="%1"/>
      <w:numFmt w:val="decimal"/>
      <w:start w:val="16"/>
    </w:lvl>
  </w:abstractNum>
  <w:abstractNum w:abstractNumId="28">
    <w:nsid w:val="354FE9F9"/>
    <w:multiLevelType w:val="hybridMultilevel"/>
    <w:lvl w:ilvl="0">
      <w:lvlJc w:val="left"/>
      <w:lvlText w:val="•"/>
      <w:numFmt w:val="bullet"/>
      <w:start w:val="1"/>
    </w:lvl>
    <w:lvl w:ilvl="1">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lvl w:ilvl="1">
      <w:lvlJc w:val="left"/>
      <w:lvlText w:val="•"/>
      <w:numFmt w:val="bullet"/>
      <w:start w:val="1"/>
    </w:lvl>
  </w:abstractNum>
  <w:abstractNum w:abstractNumId="32">
    <w:nsid w:val="10233C99"/>
    <w:multiLevelType w:val="hybridMultilevel"/>
    <w:lvl w:ilvl="0">
      <w:lvlJc w:val="left"/>
      <w:lvlText w:val="•"/>
      <w:numFmt w:val="bullet"/>
      <w:start w:val="1"/>
    </w:lvl>
    <w:lvl w:ilvl="1">
      <w:lvlJc w:val="left"/>
      <w:lvlText w:val="•"/>
      <w:numFmt w:val="bullet"/>
      <w:start w:val="1"/>
    </w:lvl>
  </w:abstractNum>
  <w:abstractNum w:abstractNumId="33">
    <w:nsid w:val="3F6AB60F"/>
    <w:multiLevelType w:val="hybridMultilevel"/>
    <w:lvl w:ilvl="0">
      <w:lvlJc w:val="left"/>
      <w:lvlText w:val="•"/>
      <w:numFmt w:val="bullet"/>
      <w:start w:val="1"/>
    </w:lvl>
    <w:lvl w:ilvl="1">
      <w:lvlJc w:val="left"/>
      <w:lvlText w:val="•"/>
      <w:numFmt w:val="bullet"/>
      <w:start w:val="1"/>
    </w:lvl>
  </w:abstractNum>
  <w:abstractNum w:abstractNumId="34">
    <w:nsid w:val="61574095"/>
    <w:multiLevelType w:val="hybridMultilevel"/>
    <w:lvl w:ilvl="0">
      <w:lvlJc w:val="left"/>
      <w:lvlText w:val="%1"/>
      <w:numFmt w:val="decimal"/>
      <w:start w:val="18"/>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20"/>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3"/>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22"/>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24"/>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26"/>
    </w:lvl>
  </w:abstractNum>
  <w:abstractNum w:abstractNumId="46">
    <w:nsid w:val="5DB70AE5"/>
    <w:multiLevelType w:val="hybridMultilevel"/>
    <w:lvl w:ilvl="0">
      <w:lvlJc w:val="left"/>
      <w:lvlText w:val="%1"/>
      <w:numFmt w:val="decimal"/>
      <w:start w:val="28"/>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30"/>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32"/>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1"/>
      <w:numFmt w:val="decimal"/>
      <w:start w:val="34"/>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36"/>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38"/>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40"/>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42"/>
    </w:lvl>
  </w:abstractNum>
  <w:abstractNum w:abstractNumId="67">
    <w:nsid w:val="8F2B15E"/>
    <w:multiLevelType w:val="hybridMultilevel"/>
    <w:lvl w:ilvl="0">
      <w:lvlJc w:val="left"/>
      <w:lvlText w:val="%1"/>
      <w:numFmt w:val="decimal"/>
      <w:start w:val="44"/>
    </w:lvl>
  </w:abstractNum>
  <w:abstractNum w:abstractNumId="68">
    <w:nsid w:val="1A32234B"/>
    <w:multiLevelType w:val="hybridMultilevel"/>
    <w:lvl w:ilvl="0">
      <w:lvlJc w:val="left"/>
      <w:lvlText w:val="%1"/>
      <w:numFmt w:val="decimal"/>
      <w:start w:val="46"/>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48"/>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50"/>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52"/>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54"/>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56"/>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58"/>
    </w:lvl>
  </w:abstractNum>
  <w:abstractNum w:abstractNumId="86">
    <w:nsid w:val="1716703B"/>
    <w:multiLevelType w:val="hybridMultilevel"/>
    <w:lvl w:ilvl="0">
      <w:lvlJc w:val="left"/>
      <w:lvlText w:val="(%1)"/>
      <w:numFmt w:val="lowerRoman"/>
      <w:start w:val="5"/>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2021-04-06T15:21:13Z</dcterms:created>
  <dcterms:modified xsi:type="dcterms:W3CDTF">2021-04-06T15:21:13Z</dcterms:modified>
</cp:coreProperties>
</file>