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Form 8-K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May 4, 2023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464" w:type="dxa"/>
        <w:jc w:val="center"/>
        <w:tblInd w:w="0" w:type="dxa"/>
        <w:tblCellMar>
          <w:top w:w="28" w:type="dxa"/>
          <w:left w:w="28" w:type="dxa"/>
          <w:bottom w:w="28" w:type="dxa"/>
          <w:right w:w="28" w:type="dxa"/>
        </w:tblCellMar>
      </w:tblPr>
      <w:tblGrid>
        <w:gridCol w:w="1393"/>
        <w:gridCol w:w="1225"/>
        <w:gridCol w:w="1237"/>
        <w:gridCol w:w="792"/>
        <w:gridCol w:w="792"/>
        <w:gridCol w:w="800"/>
        <w:gridCol w:w="942"/>
        <w:gridCol w:w="942"/>
        <w:gridCol w:w="1341"/>
      </w:tblGrid>
      <w:tr>
        <w:trPr/>
        <w:tc>
          <w:tcPr>
            <w:tcW w:w="1393"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001-38434</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26-0138832</w:t>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 R. S. Employer Identification No.)</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857-6800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32" w:type="dxa"/>
        <w:jc w:val="center"/>
        <w:tblInd w:w="0" w:type="dxa"/>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Emerging growth company </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2023, Dropbox, Inc. (“Dropbox” or the "Company") issued a press release and will hold a conference call announcing its financial results for the quarter ended March 31, 2023. A copy of the press release is attached as Exhibit 99.1 to this current report on Form 8-K and is incorporated by reference herein.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2023, Dropbox posted supplemental investor materials on its investors.dropbox.com website. Dropbox intends to use its investors.dropbox.com website as a means of disclosing material non-public information and for complying with its disclosure obligations under Regulation FD.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p>
      <w:pPr>
        <w:pStyle w:val="TextBody"/>
        <w:spacing w:before="0" w:after="140"/>
        <w:rPr/>
      </w:pPr>
      <w:r>
        <w:rPr/>
      </w:r>
    </w:p>
    <w:p>
      <w:pPr>
        <w:pStyle w:val="TextBody"/>
        <w:spacing w:lineRule="auto" w:line="288" w:before="0" w:after="140"/>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9446" w:type="dxa"/>
        <w:jc w:val="center"/>
        <w:tblInd w:w="0" w:type="dxa"/>
        <w:tblCellMar>
          <w:top w:w="28" w:type="dxa"/>
          <w:left w:w="28" w:type="dxa"/>
          <w:bottom w:w="28" w:type="dxa"/>
          <w:right w:w="28" w:type="dxa"/>
        </w:tblCellMar>
      </w:tblPr>
      <w:tblGrid>
        <w:gridCol w:w="391"/>
        <w:gridCol w:w="344"/>
        <w:gridCol w:w="345"/>
        <w:gridCol w:w="109"/>
        <w:gridCol w:w="109"/>
        <w:gridCol w:w="109"/>
        <w:gridCol w:w="2349"/>
        <w:gridCol w:w="2349"/>
        <w:gridCol w:w="3341"/>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3341"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q12023er-exhibit991q1only.htm">
              <w:r>
                <w:rPr>
                  <w:rStyle w:val="InternetLink"/>
                  <w:rFonts w:ascii="Times New Roman;sans-serif" w:hAnsi="Times New Roman;sans-serif"/>
                  <w:b w:val="false"/>
                  <w:color w:val="0000FF"/>
                  <w:sz w:val="20"/>
                  <w:u w:val="single"/>
                </w:rPr>
                <w:t>Press Release entitled "Dropbox Announces Fiscal 2023 First Quarter Results" dated May 4, 2023</w:t>
              </w:r>
            </w:hyperlink>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Dated: May 4, 2023</w:t>
      </w:r>
    </w:p>
    <w:p>
      <w:pPr>
        <w:pStyle w:val="TextBody"/>
        <w:spacing w:lineRule="auto" w:line="288" w:before="0" w:after="0"/>
        <w:jc w:val="center"/>
        <w:rPr>
          <w:color w:val="000000"/>
        </w:rPr>
      </w:pPr>
      <w:r>
        <w:rPr>
          <w:color w:val="000000"/>
        </w:rPr>
        <w:t>    </w:t>
      </w:r>
    </w:p>
    <w:tbl>
      <w:tblPr>
        <w:tblW w:w="2024" w:type="dxa"/>
        <w:jc w:val="center"/>
        <w:tblInd w:w="0" w:type="dxa"/>
        <w:tblCellMar>
          <w:top w:w="28" w:type="dxa"/>
          <w:left w:w="28" w:type="dxa"/>
          <w:bottom w:w="28" w:type="dxa"/>
          <w:right w:w="28" w:type="dxa"/>
        </w:tblCellMar>
      </w:tblPr>
      <w:tblGrid>
        <w:gridCol w:w="647"/>
        <w:gridCol w:w="568"/>
        <w:gridCol w:w="809"/>
      </w:tblGrid>
      <w:tr>
        <w:trPr/>
        <w:tc>
          <w:tcPr>
            <w:tcW w:w="64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2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Dropbox Announces Fiscal 2023 First Quarter Results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 Revenue of $611.1 Million, up 8.7% year-over-year; on a constant currency basis, up 11.6% year-over-year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$139.9 Million and Free Cash Flow of $138.0 Million</w:t>
      </w:r>
    </w:p>
    <w:p>
      <w:pPr>
        <w:pStyle w:val="TextBody"/>
        <w:spacing w:before="0" w:after="0"/>
        <w:jc w:val="center"/>
        <w:rPr/>
      </w:pPr>
      <w:r>
        <w:rPr/>
      </w:r>
    </w:p>
    <w:p>
      <w:pPr>
        <w:pStyle w:val="TextBody"/>
        <w:spacing w:lineRule="auto" w:line="288" w:before="0" w:after="0"/>
        <w:rPr/>
      </w:pPr>
      <w:r>
        <w:rPr>
          <w:rFonts w:ascii="Times New Roman;sans-serif" w:hAnsi="Times New Roman;sans-serif"/>
          <w:b/>
          <w:color w:val="000000"/>
          <w:sz w:val="20"/>
        </w:rPr>
        <w:t>SAN FRANCISCO, Calif.</w:t>
      </w:r>
      <w:r>
        <w:rPr>
          <w:color w:val="000000"/>
        </w:rPr>
        <w:t xml:space="preserve"> </w:t>
      </w:r>
      <w:r>
        <w:rPr>
          <w:rFonts w:ascii="Times New Roman;sans-serif" w:hAnsi="Times New Roman;sans-serif"/>
          <w:b w:val="false"/>
          <w:color w:val="000000"/>
          <w:sz w:val="20"/>
        </w:rPr>
        <w:t>- May 4, 2023 - Dropbox, Inc. (NASDAQ: DBX), today announced financial results for its first quarter ended March 31,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"We’re pleased with our financial results in Q1, beating our guidance across all metrics," said Dropbox Co-Founder and Chief Executive Officer Drew Houston. "While the economic backdrop remains tough for our existing businesses, the AI era of computing has arrived and we see a huge opportunity to apply AI/ML to our products to transform knowledge work. I’m committed to ensuring Dropbox is at the forefront of this era and excited to bring more AI-powered products to market for our customers."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First Quarter Fiscal 2023 Results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Total revenue was $611.1 million, an increase of 8.7% from the same period last year. On a constant currency basis, year-over-year growth would have been 11.6%.</w:t>
      </w:r>
      <w:r>
        <w:rPr>
          <w:rFonts w:ascii="Times New Roman;sans-serif" w:hAnsi="Times New Roman;sans-serif"/>
          <w:b w:val="false"/>
          <w:color w:val="000000"/>
          <w:sz w:val="13"/>
        </w:rPr>
        <w:t>(1)</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Total ARR ended at $2.468 billion, an increase of 7.8% from the same period last year. On a constant currency basis, Total ARR grew $37.5 million quarter-over-quarter, and year-over-year growth would have been 11.6%.</w:t>
      </w:r>
      <w:r>
        <w:rPr>
          <w:rFonts w:ascii="Times New Roman;sans-serif" w:hAnsi="Times New Roman;sans-serif"/>
          <w:b w:val="false"/>
          <w:color w:val="000000"/>
          <w:sz w:val="13"/>
        </w:rPr>
        <w:t xml:space="preserve">(2)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Paying users ended at 17.90 million, as compared to 17.09 million for the same period last year. Average revenue per paying user was $138.97, as compared to $134.63 for the same period last year.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GAAP gross margin was 80.9%, as compared to 79.9% for the same period last year. Non-GAAP gross margin was 82.4%, as compared to 81.3% for the same period last year.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GAAP operating margin was 13.8%, as compared to 15.9% for the same period last year. Non-GAAP operating margin was 28.6%, as compared to 30.3% for the same period last year.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GAAP net income was $69.0 million, as compared to $79.7 million for the same period last year. Non-GAAP net income was $146.1 million, as compared to $141.5 million for the same period last year.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Net cash provided by operating activities was $139.9 million, as compared to $141.4 million for the same period last year. Free cash flow was $138.0 million, as compared to $130.7 million for the same period last year.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GAAP diluted net income per share attributable to common stockholders was $0.20, as compared to $0.21 for the same period last year. Non-GAAP diluted net income per share attributable to common stockholders was $0.42, as compared to $0.38 for the same period last year.</w:t>
      </w:r>
      <w:r>
        <w:rPr>
          <w:rFonts w:ascii="Times New Roman;sans-serif" w:hAnsi="Times New Roman;sans-serif"/>
          <w:b w:val="false"/>
          <w:color w:val="000000"/>
          <w:sz w:val="13"/>
        </w:rPr>
        <w:t>(3)</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Cash, cash equivalents and short-term investments ended at $1.253 billion.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We calculate constant currency revenue growth rates by applying the prior period weighted average exchange rates to current period results.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 xml:space="preserve">GAAP and Non-GAAP diluted net income per share attributable to common stockholders is calculated based upon 348.8 million and 372.9 million diluted weighted-average shares of common stock for the three months ended March 31, 2023 and 2022, respectively.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Financial Outlook</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Dropbox will provide forward-looking guidance in connection with this quarterly earnings announcement on its conference call, webcast, and on its investor relations website at </w:t>
      </w:r>
      <w:r>
        <w:rPr>
          <w:rFonts w:ascii="Times New Roman;sans-serif" w:hAnsi="Times New Roman;sans-serif"/>
          <w:b w:val="false"/>
          <w:color w:val="000000"/>
          <w:sz w:val="20"/>
          <w:u w:val="single"/>
        </w:rPr>
        <w:t>http://investors.dropbox.com</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Conference Call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plans to host a conference call today to review its first quarter financial results and to discuss its financial outlook. This call is scheduled to begin at 2:00 p.m. PT / 5:00 p.m. ET and can be accessed by using the web link at http://investors.dropbox.com.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Upcoming Events</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Tim Regan, Chief Financial Officer, will be presenting at the J.P. Morgan Global Technology, Media and Communications Conference on Monday, May 22, 2023.</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Tim Regan, Chief Financial Officer, will be hosting meetings at the Bank of America Securities Global Technology Conference on Wednesday, June 7,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these events, a live webcast will be accessible from the Dropbox investor relations website at http://investors.dropbox.com. Following the event, a replay will be made available at the same location.</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About Dropbox</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sans-serif" w:hAnsi="Times New Roman;sans-serif"/>
          <w:b w:val="false"/>
          <w:color w:val="000000"/>
          <w:sz w:val="20"/>
          <w:u w:val="single"/>
        </w:rPr>
        <w:t>http://dropbox.com</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rPr/>
      </w:pPr>
      <w:r>
        <w:rPr/>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within the meaning of the Private Securities Litigation Reform Act of 1995 including, among other things, our expectations regarding distributed work trends, related market opportunities and our ability to capitalize on those opportunities.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transition to a Virtual First model with an increasingly distributed workforce and in light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of the recently announced reduction of our workforce;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2022. Additional information will be made available in our quarterly report on Form 10-Q for the quarter ended March 31, 2023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CellMar>
          <w:top w:w="28" w:type="dxa"/>
          <w:left w:w="28" w:type="dxa"/>
          <w:bottom w:w="28" w:type="dxa"/>
          <w:right w:w="28" w:type="dxa"/>
        </w:tblCellMar>
      </w:tblPr>
      <w:tblGrid>
        <w:gridCol w:w="2928"/>
        <w:gridCol w:w="2522"/>
        <w:gridCol w:w="2509"/>
        <w:gridCol w:w="211"/>
        <w:gridCol w:w="616"/>
        <w:gridCol w:w="109"/>
        <w:gridCol w:w="109"/>
        <w:gridCol w:w="109"/>
        <w:gridCol w:w="109"/>
        <w:gridCol w:w="211"/>
        <w:gridCol w:w="616"/>
        <w:gridCol w:w="156"/>
      </w:tblGrid>
      <w:tr>
        <w:trPr/>
        <w:tc>
          <w:tcPr>
            <w:tcW w:w="2928"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25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diluted</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Includes stock-based compensation expense as follows (in millions):</w:t>
      </w:r>
    </w:p>
    <w:tbl>
      <w:tblPr>
        <w:tblW w:w="4391" w:type="dxa"/>
        <w:jc w:val="center"/>
        <w:tblInd w:w="0" w:type="dxa"/>
        <w:tblCellMar>
          <w:top w:w="28" w:type="dxa"/>
          <w:left w:w="28" w:type="dxa"/>
          <w:bottom w:w="28" w:type="dxa"/>
          <w:right w:w="28" w:type="dxa"/>
        </w:tblCellMar>
      </w:tblPr>
      <w:tblGrid>
        <w:gridCol w:w="895"/>
        <w:gridCol w:w="788"/>
        <w:gridCol w:w="792"/>
        <w:gridCol w:w="222"/>
        <w:gridCol w:w="427"/>
        <w:gridCol w:w="114"/>
        <w:gridCol w:w="114"/>
        <w:gridCol w:w="114"/>
        <w:gridCol w:w="114"/>
        <w:gridCol w:w="222"/>
        <w:gridCol w:w="427"/>
        <w:gridCol w:w="162"/>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(2)</w:t>
            </w:r>
          </w:p>
        </w:tc>
        <w:tc>
          <w:tcPr>
            <w:tcW w:w="6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 xml:space="preserve">On March 15, 2023, our President resigned, resulting in the reversal of $6.7 million in stock-based compensation expense. Of the total amount reversed, $4.4 million related to expense recognized prior to January 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7061" w:type="dxa"/>
        <w:jc w:val="center"/>
        <w:tblInd w:w="0" w:type="dxa"/>
        <w:tblCellMar>
          <w:top w:w="28" w:type="dxa"/>
          <w:left w:w="28" w:type="dxa"/>
          <w:bottom w:w="28" w:type="dxa"/>
          <w:right w:w="28" w:type="dxa"/>
        </w:tblCellMar>
      </w:tblPr>
      <w:tblGrid>
        <w:gridCol w:w="1270"/>
        <w:gridCol w:w="1120"/>
        <w:gridCol w:w="1135"/>
        <w:gridCol w:w="279"/>
        <w:gridCol w:w="1016"/>
        <w:gridCol w:w="144"/>
        <w:gridCol w:w="109"/>
        <w:gridCol w:w="109"/>
        <w:gridCol w:w="109"/>
        <w:gridCol w:w="330"/>
        <w:gridCol w:w="1199"/>
        <w:gridCol w:w="241"/>
      </w:tblGrid>
      <w:tr>
        <w:trPr/>
        <w:tc>
          <w:tcPr>
            <w:tcW w:w="127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 non-current</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non-current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(2,827.5)</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(2,772.1)</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8229" w:type="dxa"/>
        <w:jc w:val="center"/>
        <w:tblInd w:w="0" w:type="dxa"/>
        <w:tblCellMar>
          <w:top w:w="28" w:type="dxa"/>
          <w:left w:w="28" w:type="dxa"/>
          <w:bottom w:w="28" w:type="dxa"/>
          <w:right w:w="28" w:type="dxa"/>
        </w:tblCellMar>
      </w:tblPr>
      <w:tblGrid>
        <w:gridCol w:w="2222"/>
        <w:gridCol w:w="1949"/>
        <w:gridCol w:w="1964"/>
        <w:gridCol w:w="196"/>
        <w:gridCol w:w="556"/>
        <w:gridCol w:w="109"/>
        <w:gridCol w:w="109"/>
        <w:gridCol w:w="109"/>
        <w:gridCol w:w="109"/>
        <w:gridCol w:w="196"/>
        <w:gridCol w:w="556"/>
        <w:gridCol w:w="154"/>
      </w:tblGrid>
      <w:tr>
        <w:trPr/>
        <w:tc>
          <w:tcPr>
            <w:tcW w:w="2222"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flows from operating activities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improvement allowance reimbursement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restricted stock units and awards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taxes withheld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period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data:</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finance leases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March 31, 2023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CellMar>
          <w:top w:w="28" w:type="dxa"/>
          <w:left w:w="28" w:type="dxa"/>
          <w:bottom w:w="28" w:type="dxa"/>
          <w:right w:w="28" w:type="dxa"/>
        </w:tblCellMar>
      </w:tblPr>
      <w:tblGrid>
        <w:gridCol w:w="873"/>
        <w:gridCol w:w="394"/>
        <w:gridCol w:w="395"/>
        <w:gridCol w:w="211"/>
        <w:gridCol w:w="616"/>
        <w:gridCol w:w="271"/>
        <w:gridCol w:w="109"/>
        <w:gridCol w:w="109"/>
        <w:gridCol w:w="109"/>
        <w:gridCol w:w="318"/>
        <w:gridCol w:w="769"/>
        <w:gridCol w:w="409"/>
        <w:gridCol w:w="109"/>
        <w:gridCol w:w="109"/>
        <w:gridCol w:w="109"/>
        <w:gridCol w:w="491"/>
        <w:gridCol w:w="946"/>
        <w:gridCol w:w="632"/>
        <w:gridCol w:w="109"/>
        <w:gridCol w:w="109"/>
        <w:gridCol w:w="109"/>
        <w:gridCol w:w="332"/>
        <w:gridCol w:w="663"/>
        <w:gridCol w:w="428"/>
        <w:gridCol w:w="109"/>
        <w:gridCol w:w="109"/>
        <w:gridCol w:w="109"/>
        <w:gridCol w:w="211"/>
        <w:gridCol w:w="616"/>
        <w:gridCol w:w="322"/>
      </w:tblGrid>
      <w:tr>
        <w:trPr/>
        <w:tc>
          <w:tcPr>
            <w:tcW w:w="87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r>
      <w:tr>
        <w:trPr/>
        <w:tc>
          <w:tcPr>
            <w:tcW w:w="1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March 31, 2022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CellMar>
          <w:top w:w="28" w:type="dxa"/>
          <w:left w:w="28" w:type="dxa"/>
          <w:bottom w:w="28" w:type="dxa"/>
          <w:right w:w="28" w:type="dxa"/>
        </w:tblCellMar>
      </w:tblPr>
      <w:tblGrid>
        <w:gridCol w:w="873"/>
        <w:gridCol w:w="394"/>
        <w:gridCol w:w="395"/>
        <w:gridCol w:w="211"/>
        <w:gridCol w:w="616"/>
        <w:gridCol w:w="271"/>
        <w:gridCol w:w="109"/>
        <w:gridCol w:w="109"/>
        <w:gridCol w:w="109"/>
        <w:gridCol w:w="318"/>
        <w:gridCol w:w="769"/>
        <w:gridCol w:w="409"/>
        <w:gridCol w:w="109"/>
        <w:gridCol w:w="109"/>
        <w:gridCol w:w="109"/>
        <w:gridCol w:w="491"/>
        <w:gridCol w:w="946"/>
        <w:gridCol w:w="632"/>
        <w:gridCol w:w="109"/>
        <w:gridCol w:w="109"/>
        <w:gridCol w:w="109"/>
        <w:gridCol w:w="332"/>
        <w:gridCol w:w="663"/>
        <w:gridCol w:w="428"/>
        <w:gridCol w:w="109"/>
        <w:gridCol w:w="109"/>
        <w:gridCol w:w="109"/>
        <w:gridCol w:w="211"/>
        <w:gridCol w:w="616"/>
        <w:gridCol w:w="322"/>
      </w:tblGrid>
      <w:tr>
        <w:trPr/>
        <w:tc>
          <w:tcPr>
            <w:tcW w:w="87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r>
      <w:tr>
        <w:trPr/>
        <w:tc>
          <w:tcPr>
            <w:tcW w:w="1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4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March 31, 2023 and 2022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net income to Non-GAAP net income and Non-GAAP diluted net income per share</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068" w:type="dxa"/>
        <w:jc w:val="center"/>
        <w:tblInd w:w="0" w:type="dxa"/>
        <w:tblCellMar>
          <w:top w:w="28" w:type="dxa"/>
          <w:left w:w="28" w:type="dxa"/>
          <w:bottom w:w="28" w:type="dxa"/>
          <w:right w:w="28" w:type="dxa"/>
        </w:tblCellMar>
      </w:tblPr>
      <w:tblGrid>
        <w:gridCol w:w="2470"/>
        <w:gridCol w:w="2168"/>
        <w:gridCol w:w="2186"/>
        <w:gridCol w:w="211"/>
        <w:gridCol w:w="616"/>
        <w:gridCol w:w="109"/>
        <w:gridCol w:w="109"/>
        <w:gridCol w:w="109"/>
        <w:gridCol w:w="109"/>
        <w:gridCol w:w="211"/>
        <w:gridCol w:w="616"/>
        <w:gridCol w:w="154"/>
      </w:tblGrid>
      <w:tr>
        <w:trPr/>
        <w:tc>
          <w:tcPr>
            <w:tcW w:w="2470"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and other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non-GAAP adjustments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Non-GAAP diluted net income per share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March 31, 2023 and 2022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free cash flow and supplemental cash flow disclosure</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7502" w:type="dxa"/>
        <w:jc w:val="center"/>
        <w:tblInd w:w="0" w:type="dxa"/>
        <w:tblCellMar>
          <w:top w:w="28" w:type="dxa"/>
          <w:left w:w="28" w:type="dxa"/>
          <w:bottom w:w="28" w:type="dxa"/>
          <w:right w:w="28" w:type="dxa"/>
        </w:tblCellMar>
      </w:tblPr>
      <w:tblGrid>
        <w:gridCol w:w="1788"/>
        <w:gridCol w:w="1571"/>
        <w:gridCol w:w="1575"/>
        <w:gridCol w:w="211"/>
        <w:gridCol w:w="616"/>
        <w:gridCol w:w="271"/>
        <w:gridCol w:w="109"/>
        <w:gridCol w:w="109"/>
        <w:gridCol w:w="109"/>
        <w:gridCol w:w="211"/>
        <w:gridCol w:w="616"/>
        <w:gridCol w:w="316"/>
      </w:tblGrid>
      <w:tr>
        <w:trPr/>
        <w:tc>
          <w:tcPr>
            <w:tcW w:w="1788"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reconciliation: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w:t>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Free cash flow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Key employee holdback payments related to acquisitions</w:t>
            </w:r>
            <w:r>
              <w:rPr>
                <w:rFonts w:ascii="Times New Roman;sans-serif" w:hAnsi="Times New Roman;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For the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18"/>
        </w:rPr>
        <w:t xml:space="preserve">quarter ended March 31, 2023, we made payments in the amount of $10.7 million related to employee holdbacks pertaining to our acquisitions. The related expenses are recognized within research and development and sales and marketing expenses over the required service period.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About Non-GAAP Financial Measures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March 31, 2023,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spacing w:before="0" w:after="0"/>
        <w:rPr/>
      </w:pPr>
      <w:r>
        <w:rPr/>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Investors: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Kern Kapoor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ir@dropbox.com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Media: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Alissa Stewart</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press@dropbox.com </w:t>
      </w:r>
      <w:r>
        <w:br w:type="page"/>
      </w:r>
    </w:p>
    <w:p>
      <w:pPr>
        <w:pStyle w:val="TextBody"/>
        <w:spacing w:before="0" w:after="283"/>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4043</Words>
  <CharactersWithSpaces>26168</CharactersWithSpaces>
  <Paragraphs>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