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Regan Timothy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1800 OWENS STREET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DROPBOX,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DBX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Accounting Officer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(Street)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20" w:right="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5"/>
          <w:szCs w:val="35"/>
          <w:color w:val="0000FF"/>
          <w:vertAlign w:val="superscript"/>
        </w:rPr>
        <w:t>SAN</w:t>
      </w:r>
      <w:r>
        <w:rPr>
          <w:rFonts w:ascii="Arial" w:cs="Arial" w:eastAsia="Arial" w:hAnsi="Arial"/>
          <w:sz w:val="18"/>
          <w:szCs w:val="18"/>
          <w:color w:val="0000FF"/>
        </w:rPr>
        <w:t xml:space="preserve"> CA 94158 FRANCISCO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360" w:space="72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01/21/2020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17.97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101,884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shares were sold pursuant to a Rule 10b5-1 trading plan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540" w:firstLine="9"/>
        <w:spacing w:after="0" w:line="29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Certain of these securities are restricted stock units. Each restricted stock unit represents the Reporting Person's right to receive one share of Class A Common Stock, subject to the applicable vesting schedule through February 15, 2023. In the event the Reporting Person ceases to be a Service Provider, the unvested restricted stock units will be cancelled by the Issuer.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Mary Anne Becking,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01/23/2020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0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34440" TargetMode="External"/><Relationship Id="rId13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2020-01-23T17:13:09Z</dcterms:created>
  <dcterms:modified xsi:type="dcterms:W3CDTF">2020-01-23T17:13:09Z</dcterms:modified>
</cp:coreProperties>
</file>