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5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71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67"/>
        <w:spacing w:after="0"/>
        <w:rPr>
          <w:sz w:val="20"/>
          <w:szCs w:val="20"/>
          <w:color w:val="auto"/>
        </w:rPr>
      </w:pPr>
      <w:r>
        <w:rPr>
          <w:rFonts w:ascii="Arial" w:cs="Arial" w:eastAsia="Arial" w:hAnsi="Arial"/>
          <w:sz w:val="17"/>
          <w:szCs w:val="17"/>
          <w:color w:val="0000FF"/>
        </w:rPr>
        <w:t>General Counsel</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6"/>
          </w:tcPr>
          <w:p>
            <w:pPr>
              <w:jc w:val="center"/>
              <w:ind w:right="54"/>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02/15/2019</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8,068</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25.78</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184,140</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02/15/2019</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4,055</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188,195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95"/>
              <w:spacing w:after="0"/>
              <w:rPr>
                <w:sz w:val="20"/>
                <w:szCs w:val="20"/>
                <w:color w:val="auto"/>
              </w:rPr>
            </w:pPr>
            <w:r>
              <w:rPr>
                <w:rFonts w:ascii="Arial" w:cs="Arial" w:eastAsia="Arial" w:hAnsi="Arial"/>
                <w:sz w:val="12"/>
                <w:szCs w:val="12"/>
                <w:b w:val="1"/>
                <w:bCs w:val="1"/>
                <w:color w:val="auto"/>
                <w:w w:val="99"/>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3"/>
                <w:szCs w:val="13"/>
                <w:color w:val="0000FF"/>
              </w:rPr>
              <w:t>2,146</w:t>
            </w:r>
            <w:r>
              <w:rPr>
                <w:rFonts w:ascii="Arial" w:cs="Arial" w:eastAsia="Arial" w:hAnsi="Arial"/>
                <w:sz w:val="22"/>
                <w:szCs w:val="22"/>
                <w:color w:val="008000"/>
                <w:vertAlign w:val="superscript"/>
              </w:rPr>
              <w:t>(1)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(4)</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2,146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283,838</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02/15/2019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5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25.78</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4,055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279,783</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02/15/2019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C</w:t>
            </w:r>
          </w:p>
        </w:tc>
        <w:tc>
          <w:tcPr>
            <w:tcW w:w="1020" w:type="dxa"/>
            <w:vAlign w:val="bottom"/>
          </w:tcPr>
          <w:p>
            <w:pPr>
              <w:jc w:val="right"/>
              <w:ind w:right="119"/>
              <w:spacing w:after="0" w:line="148" w:lineRule="exact"/>
              <w:rPr>
                <w:sz w:val="20"/>
                <w:szCs w:val="20"/>
                <w:color w:val="auto"/>
              </w:rPr>
            </w:pPr>
            <w:r>
              <w:rPr>
                <w:rFonts w:ascii="Arial" w:cs="Arial" w:eastAsia="Arial" w:hAnsi="Arial"/>
                <w:sz w:val="13"/>
                <w:szCs w:val="13"/>
                <w:color w:val="0000FF"/>
              </w:rPr>
              <w:t>4,055</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9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2021.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4,055 shares of Class B Common Stock were converted into 4,055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50"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B Common Stock, subject to the applicable vesting schedule through August 15, 2019. In the event the Reporting Person ceases to be a Service Provider, any then unvested restricted stock units will be cancelled by the Issuer.</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02/20/2019</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2019-12-24T08:02:21Z</dcterms:created>
  <dcterms:modified xsi:type="dcterms:W3CDTF">2019-12-24T08:02:21Z</dcterms:modified>
</cp:coreProperties>
</file>