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6995160" cy="6914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691451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Houston Andrew</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DROPBOX,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DBX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09/19/2024</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3"/>
        <w:spacing w:after="0"/>
        <w:tabs>
          <w:tab w:leader="none" w:pos="1726"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128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28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793"/>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4" w:lineRule="exact"/>
        <w:rPr>
          <w:sz w:val="24"/>
          <w:szCs w:val="24"/>
          <w:color w:val="auto"/>
        </w:rPr>
      </w:pPr>
    </w:p>
    <w:p>
      <w:pPr>
        <w:sectPr>
          <w:pgSz w:w="11900" w:h="16838" w:orient="portrait"/>
          <w:cols w:equalWidth="0" w:num="3">
            <w:col w:w="3180" w:space="720"/>
            <w:col w:w="3107" w:space="720"/>
            <w:col w:w="3353"/>
          </w:cols>
          <w:pgMar w:left="460" w:top="216" w:right="359" w:bottom="0" w:gutter="0" w:footer="0" w:header="0"/>
          <w:type w:val="continuous"/>
        </w:sectPr>
      </w:pPr>
    </w:p>
    <w:tbl>
      <w:tblPr>
        <w:tblLayout w:type="fixed"/>
        <w:tblInd w:w="8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364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3600" w:type="dxa"/>
            <w:vAlign w:val="bottom"/>
            <w:tcBorders>
              <w:top w:val="single" w:sz="8" w:color="2C2C2C"/>
              <w:bottom w:val="single" w:sz="8" w:color="2C2C2C"/>
            </w:tcBorders>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520" w:type="dxa"/>
            <w:vAlign w:val="bottom"/>
            <w:tcBorders>
              <w:top w:val="single" w:sz="8" w:color="2C2C2C"/>
              <w:bottom w:val="single" w:sz="8" w:color="2C2C2C"/>
            </w:tcBorders>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0" w:type="dxa"/>
            <w:vAlign w:val="bottom"/>
            <w:vMerge w:val="continue"/>
          </w:tcPr>
          <w:p>
            <w:pPr>
              <w:spacing w:after="0" w:line="20" w:lineRule="exact"/>
              <w:rPr>
                <w:sz w:val="1"/>
                <w:szCs w:val="1"/>
                <w:color w:val="auto"/>
              </w:rPr>
            </w:pPr>
          </w:p>
        </w:tc>
        <w:tc>
          <w:tcPr>
            <w:tcW w:w="3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6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00" w:type="dxa"/>
            <w:vAlign w:val="bottom"/>
          </w:tcPr>
          <w:p>
            <w:pPr>
              <w:spacing w:after="0"/>
              <w:rPr>
                <w:sz w:val="10"/>
                <w:szCs w:val="10"/>
                <w:color w:val="auto"/>
              </w:rPr>
            </w:pPr>
          </w:p>
        </w:tc>
        <w:tc>
          <w:tcPr>
            <w:tcW w:w="360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3520" w:type="dxa"/>
            <w:vAlign w:val="bottom"/>
            <w:vMerge w:val="restart"/>
          </w:tcPr>
          <w:p>
            <w:pPr>
              <w:ind w:left="280"/>
              <w:spacing w:after="0" w:line="146" w:lineRule="exact"/>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5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00" w:type="dxa"/>
        <w:tblCellMar>
          <w:top w:w="0" w:type="dxa"/>
          <w:left w:w="0" w:type="dxa"/>
          <w:bottom w:w="0" w:type="dxa"/>
          <w:right w:w="0" w:type="dxa"/>
        </w:tblCellMar>
      </w:tblPr>
      <w:tr>
        <w:trPr>
          <w:trHeight w:val="186"/>
        </w:trPr>
        <w:tc>
          <w:tcPr>
            <w:tcW w:w="1100" w:type="dxa"/>
            <w:vAlign w:val="bottom"/>
          </w:tcPr>
          <w:p>
            <w:pPr>
              <w:ind w:left="20"/>
              <w:spacing w:after="0" w:line="186" w:lineRule="exact"/>
              <w:rPr>
                <w:sz w:val="20"/>
                <w:szCs w:val="20"/>
                <w:color w:val="auto"/>
              </w:rPr>
            </w:pPr>
            <w:r>
              <w:rPr>
                <w:rFonts w:ascii="Times New Roman" w:cs="Times New Roman" w:eastAsia="Times New Roman" w:hAnsi="Times New Roman"/>
                <w:sz w:val="17"/>
                <w:szCs w:val="17"/>
                <w:color w:val="0000FF"/>
              </w:rPr>
              <w:t>SAN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94158</w:t>
            </w:r>
          </w:p>
        </w:tc>
        <w:tc>
          <w:tcPr>
            <w:tcW w:w="6740" w:type="dxa"/>
            <w:vAlign w:val="bottom"/>
            <w:vMerge w:val="restart"/>
          </w:tcPr>
          <w:p>
            <w:pPr>
              <w:ind w:left="45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9"/>
        </w:trPr>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6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740" w:type="dxa"/>
            <w:vAlign w:val="bottom"/>
          </w:tcPr>
          <w:p>
            <w:pPr>
              <w:ind w:left="4520"/>
              <w:spacing w:after="0" w:line="141" w:lineRule="exact"/>
              <w:rPr>
                <w:sz w:val="20"/>
                <w:szCs w:val="20"/>
                <w:color w:val="auto"/>
              </w:rPr>
            </w:pPr>
            <w:r>
              <w:rPr>
                <w:rFonts w:ascii="Arial" w:cs="Arial" w:eastAsia="Arial" w:hAnsi="Arial"/>
                <w:sz w:val="13"/>
                <w:szCs w:val="13"/>
                <w:color w:val="auto"/>
                <w:w w:val="97"/>
              </w:rPr>
              <w:t>Form filed by More than One Reporting</w:t>
            </w:r>
          </w:p>
        </w:tc>
        <w:tc>
          <w:tcPr>
            <w:tcW w:w="0" w:type="dxa"/>
            <w:vAlign w:val="bottom"/>
          </w:tcPr>
          <w:p>
            <w:pPr>
              <w:spacing w:after="0"/>
              <w:rPr>
                <w:sz w:val="1"/>
                <w:szCs w:val="1"/>
                <w:color w:val="auto"/>
              </w:rPr>
            </w:pPr>
          </w:p>
        </w:tc>
      </w:tr>
      <w:tr>
        <w:trPr>
          <w:trHeight w:val="133"/>
        </w:trPr>
        <w:tc>
          <w:tcPr>
            <w:tcW w:w="110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6740" w:type="dxa"/>
            <w:vAlign w:val="bottom"/>
          </w:tcPr>
          <w:p>
            <w:pPr>
              <w:ind w:left="4520"/>
              <w:spacing w:after="0" w:line="107" w:lineRule="exact"/>
              <w:rPr>
                <w:sz w:val="20"/>
                <w:szCs w:val="20"/>
                <w:color w:val="auto"/>
              </w:rPr>
            </w:pPr>
            <w:r>
              <w:rPr>
                <w:rFonts w:ascii="Arial" w:cs="Arial" w:eastAsia="Arial" w:hAnsi="Arial"/>
                <w:sz w:val="12"/>
                <w:szCs w:val="12"/>
                <w:color w:val="auto"/>
              </w:rPr>
              <w:t>Person</w:t>
            </w:r>
          </w:p>
        </w:tc>
        <w:tc>
          <w:tcPr>
            <w:tcW w:w="0" w:type="dxa"/>
            <w:vAlign w:val="bottom"/>
          </w:tcPr>
          <w:p>
            <w:pPr>
              <w:spacing w:after="0"/>
              <w:rPr>
                <w:sz w:val="1"/>
                <w:szCs w:val="1"/>
                <w:color w:val="auto"/>
              </w:rPr>
            </w:pPr>
          </w:p>
        </w:tc>
      </w:tr>
      <w:tr>
        <w:trPr>
          <w:trHeight w:val="295"/>
        </w:trPr>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6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4"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60"/>
              <w:spacing w:after="0"/>
              <w:rPr>
                <w:sz w:val="20"/>
                <w:szCs w:val="20"/>
                <w:color w:val="auto"/>
              </w:rPr>
            </w:pPr>
            <w:r>
              <w:rPr>
                <w:rFonts w:ascii="Arial" w:cs="Arial" w:eastAsia="Arial" w:hAnsi="Arial"/>
                <w:sz w:val="11"/>
                <w:szCs w:val="11"/>
                <w:b w:val="1"/>
                <w:bCs w:val="1"/>
                <w:color w:val="auto"/>
              </w:rPr>
              <w:t>2. Transaction</w:t>
            </w: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560"/>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spacing w:after="0"/>
              <w:rPr>
                <w:sz w:val="10"/>
                <w:szCs w:val="10"/>
                <w:color w:val="auto"/>
              </w:rPr>
            </w:pP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120" w:type="dxa"/>
            <w:vAlign w:val="bottom"/>
            <w:gridSpan w:val="4"/>
          </w:tcPr>
          <w:p>
            <w:pPr>
              <w:jc w:val="center"/>
              <w:ind w:right="160"/>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40" w:type="dxa"/>
            <w:vAlign w:val="bottom"/>
            <w:gridSpan w:val="2"/>
          </w:tcPr>
          <w:p>
            <w:pPr>
              <w:ind w:left="56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100"/>
              <w:spacing w:after="0"/>
              <w:rPr>
                <w:sz w:val="20"/>
                <w:szCs w:val="20"/>
                <w:color w:val="auto"/>
              </w:rPr>
            </w:pPr>
            <w:r>
              <w:rPr>
                <w:rFonts w:ascii="Arial" w:cs="Arial" w:eastAsia="Arial" w:hAnsi="Arial"/>
                <w:sz w:val="11"/>
                <w:szCs w:val="11"/>
                <w:b w:val="1"/>
                <w:bCs w:val="1"/>
                <w:color w:val="auto"/>
                <w:w w:val="97"/>
              </w:rPr>
              <w:t>if any</w:t>
            </w:r>
          </w:p>
        </w:tc>
        <w:tc>
          <w:tcPr>
            <w:tcW w:w="7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8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0000FF"/>
              </w:rPr>
              <w:t>09/19/2024</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680" w:type="dxa"/>
            <w:vAlign w:val="bottom"/>
            <w:vMerge w:val="restart"/>
          </w:tcPr>
          <w:p>
            <w:pPr>
              <w:jc w:val="right"/>
              <w:ind w:right="19"/>
              <w:spacing w:after="0"/>
              <w:rPr>
                <w:sz w:val="20"/>
                <w:szCs w:val="20"/>
                <w:color w:val="auto"/>
              </w:rPr>
            </w:pPr>
            <w:r>
              <w:rPr>
                <w:rFonts w:ascii="Times New Roman" w:cs="Times New Roman" w:eastAsia="Times New Roman" w:hAnsi="Times New Roman"/>
                <w:sz w:val="17"/>
                <w:szCs w:val="17"/>
                <w:color w:val="0000FF"/>
              </w:rPr>
              <w:t>3,493</w:t>
            </w:r>
          </w:p>
        </w:tc>
        <w:tc>
          <w:tcPr>
            <w:tcW w:w="6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vMerge w:val="restart"/>
          </w:tcPr>
          <w:p>
            <w:pPr>
              <w:jc w:val="center"/>
              <w:ind w:right="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1"/>
                <w:szCs w:val="21"/>
                <w:color w:val="008000"/>
                <w:vertAlign w:val="superscript"/>
              </w:rPr>
              <w:t>(1)</w:t>
            </w: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3,493</w:t>
            </w:r>
          </w:p>
        </w:tc>
        <w:tc>
          <w:tcPr>
            <w:tcW w:w="320" w:type="dxa"/>
            <w:vAlign w:val="bottom"/>
          </w:tcPr>
          <w:p>
            <w:pPr>
              <w:spacing w:after="0"/>
              <w:rPr>
                <w:sz w:val="21"/>
                <w:szCs w:val="21"/>
                <w:color w:val="auto"/>
              </w:rPr>
            </w:pPr>
          </w:p>
        </w:tc>
        <w:tc>
          <w:tcPr>
            <w:tcW w:w="520" w:type="dxa"/>
            <w:vAlign w:val="bottom"/>
            <w:vMerge w:val="restart"/>
          </w:tcPr>
          <w:p>
            <w:pPr>
              <w:jc w:val="center"/>
              <w:ind w:right="274"/>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0000FF"/>
              </w:rPr>
              <w:t>09/19/2024</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680" w:type="dxa"/>
            <w:vAlign w:val="bottom"/>
            <w:vMerge w:val="restart"/>
          </w:tcPr>
          <w:p>
            <w:pPr>
              <w:jc w:val="right"/>
              <w:ind w:right="19"/>
              <w:spacing w:after="0"/>
              <w:rPr>
                <w:sz w:val="20"/>
                <w:szCs w:val="20"/>
                <w:color w:val="auto"/>
              </w:rPr>
            </w:pPr>
            <w:r>
              <w:rPr>
                <w:rFonts w:ascii="Times New Roman" w:cs="Times New Roman" w:eastAsia="Times New Roman" w:hAnsi="Times New Roman"/>
                <w:sz w:val="17"/>
                <w:szCs w:val="17"/>
                <w:color w:val="0000FF"/>
              </w:rPr>
              <w:t>3,493</w:t>
            </w:r>
          </w:p>
        </w:tc>
        <w:tc>
          <w:tcPr>
            <w:tcW w:w="6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2"/>
            <w:vMerge w:val="restart"/>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25.0005</w:t>
            </w:r>
            <w:r>
              <w:rPr>
                <w:rFonts w:ascii="Times New Roman" w:cs="Times New Roman" w:eastAsia="Times New Roman" w:hAnsi="Times New Roman"/>
                <w:sz w:val="21"/>
                <w:szCs w:val="21"/>
                <w:color w:val="008000"/>
                <w:w w:val="98"/>
                <w:vertAlign w:val="superscript"/>
              </w:rPr>
              <w:t>(4)</w:t>
            </w: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0.00</w:t>
            </w:r>
          </w:p>
        </w:tc>
        <w:tc>
          <w:tcPr>
            <w:tcW w:w="320" w:type="dxa"/>
            <w:vAlign w:val="bottom"/>
          </w:tcPr>
          <w:p>
            <w:pPr>
              <w:spacing w:after="0"/>
              <w:rPr>
                <w:sz w:val="21"/>
                <w:szCs w:val="21"/>
                <w:color w:val="auto"/>
              </w:rPr>
            </w:pPr>
          </w:p>
        </w:tc>
        <w:tc>
          <w:tcPr>
            <w:tcW w:w="520" w:type="dxa"/>
            <w:vAlign w:val="bottom"/>
            <w:vMerge w:val="restart"/>
          </w:tcPr>
          <w:p>
            <w:pPr>
              <w:jc w:val="center"/>
              <w:ind w:right="274"/>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444,444</w:t>
            </w:r>
          </w:p>
        </w:tc>
        <w:tc>
          <w:tcPr>
            <w:tcW w:w="320" w:type="dxa"/>
            <w:vAlign w:val="bottom"/>
          </w:tcPr>
          <w:p>
            <w:pPr>
              <w:spacing w:after="0"/>
              <w:rPr>
                <w:sz w:val="21"/>
                <w:szCs w:val="21"/>
                <w:color w:val="auto"/>
              </w:rPr>
            </w:pPr>
          </w:p>
        </w:tc>
        <w:tc>
          <w:tcPr>
            <w:tcW w:w="520" w:type="dxa"/>
            <w:vAlign w:val="bottom"/>
            <w:vMerge w:val="restart"/>
          </w:tcPr>
          <w:p>
            <w:pPr>
              <w:jc w:val="center"/>
              <w:ind w:right="274"/>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220" w:type="dxa"/>
            <w:vAlign w:val="bottom"/>
            <w:tcBorders>
              <w:top w:val="single" w:sz="8" w:color="2C2C2C"/>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8,266,666</w:t>
            </w:r>
            <w:r>
              <w:rPr>
                <w:rFonts w:ascii="Times New Roman" w:cs="Times New Roman" w:eastAsia="Times New Roman" w:hAnsi="Times New Roman"/>
                <w:sz w:val="21"/>
                <w:szCs w:val="21"/>
                <w:color w:val="008000"/>
                <w:w w:val="92"/>
                <w:vertAlign w:val="superscript"/>
              </w:rPr>
              <w:t>(6)</w:t>
            </w:r>
          </w:p>
        </w:tc>
        <w:tc>
          <w:tcPr>
            <w:tcW w:w="32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jc w:val="center"/>
              <w:ind w:right="294"/>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716,728</w:t>
            </w:r>
          </w:p>
        </w:tc>
        <w:tc>
          <w:tcPr>
            <w:tcW w:w="320" w:type="dxa"/>
            <w:vAlign w:val="bottom"/>
          </w:tcPr>
          <w:p>
            <w:pPr>
              <w:spacing w:after="0"/>
              <w:rPr>
                <w:sz w:val="21"/>
                <w:szCs w:val="21"/>
                <w:color w:val="auto"/>
              </w:rPr>
            </w:pPr>
          </w:p>
        </w:tc>
        <w:tc>
          <w:tcPr>
            <w:tcW w:w="520" w:type="dxa"/>
            <w:vAlign w:val="bottom"/>
            <w:vMerge w:val="restart"/>
          </w:tcPr>
          <w:p>
            <w:pPr>
              <w:jc w:val="center"/>
              <w:ind w:right="274"/>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(7)</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0" w:type="dxa"/>
            <w:vAlign w:val="bottom"/>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144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of (D)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(Instr. 3, 4</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3,493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right"/>
              <w:ind w:right="161"/>
              <w:spacing w:after="0"/>
              <w:rPr>
                <w:sz w:val="20"/>
                <w:szCs w:val="20"/>
                <w:color w:val="auto"/>
              </w:rPr>
            </w:pPr>
            <w:r>
              <w:rPr>
                <w:rFonts w:ascii="Times New Roman" w:cs="Times New Roman" w:eastAsia="Times New Roman" w:hAnsi="Times New Roman"/>
                <w:sz w:val="13"/>
                <w:szCs w:val="13"/>
                <w:color w:val="0000FF"/>
              </w:rPr>
              <w:t>09/19/2024</w:t>
            </w:r>
          </w:p>
        </w:tc>
        <w:tc>
          <w:tcPr>
            <w:tcW w:w="1080" w:type="dxa"/>
            <w:vAlign w:val="bottom"/>
          </w:tcPr>
          <w:p>
            <w:pPr>
              <w:spacing w:after="0"/>
              <w:rPr>
                <w:sz w:val="4"/>
                <w:szCs w:val="4"/>
                <w:color w:val="auto"/>
              </w:rPr>
            </w:pPr>
          </w:p>
        </w:tc>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400" w:type="dxa"/>
            <w:vAlign w:val="bottom"/>
          </w:tcPr>
          <w:p>
            <w:pPr>
              <w:spacing w:after="0"/>
              <w:rPr>
                <w:sz w:val="4"/>
                <w:szCs w:val="4"/>
                <w:color w:val="auto"/>
              </w:rPr>
            </w:pPr>
          </w:p>
        </w:tc>
        <w:tc>
          <w:tcPr>
            <w:tcW w:w="7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3,493</w:t>
            </w:r>
          </w:p>
        </w:tc>
        <w:tc>
          <w:tcPr>
            <w:tcW w:w="7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8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gridSpan w:val="2"/>
            <w:vMerge w:val="restart"/>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70,172,936</w:t>
            </w:r>
          </w:p>
        </w:tc>
        <w:tc>
          <w:tcPr>
            <w:tcW w:w="5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24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Borders>
              <w:right w:val="single" w:sz="8" w:color="2C2C2C"/>
            </w:tcBorders>
            <w:gridSpan w:val="3"/>
            <w:vMerge w:val="restart"/>
          </w:tcPr>
          <w:p>
            <w:pPr>
              <w:ind w:left="60"/>
              <w:spacing w:after="0" w:line="157" w:lineRule="exact"/>
              <w:rPr>
                <w:sz w:val="20"/>
                <w:szCs w:val="20"/>
                <w:color w:val="auto"/>
              </w:rPr>
            </w:pPr>
            <w:r>
              <w:rPr>
                <w:rFonts w:ascii="Times New Roman" w:cs="Times New Roman" w:eastAsia="Times New Roman" w:hAnsi="Times New Roman"/>
                <w:sz w:val="11"/>
                <w:szCs w:val="11"/>
                <w:color w:val="0000FF"/>
              </w:rPr>
              <w:t>foonote</w:t>
            </w:r>
            <w:r>
              <w:rPr>
                <w:rFonts w:ascii="Times New Roman" w:cs="Times New Roman" w:eastAsia="Times New Roman" w:hAnsi="Times New Roman"/>
                <w:sz w:val="18"/>
                <w:szCs w:val="18"/>
                <w:color w:val="008000"/>
                <w:vertAlign w:val="superscript"/>
              </w:rPr>
              <w:t>(2)</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jc w:val="center"/>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7,743,764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vMerge w:val="restart"/>
          </w:tcPr>
          <w:p>
            <w:pPr>
              <w:ind w:left="6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00" w:type="dxa"/>
            <w:vAlign w:val="bottom"/>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8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7,743,764</w:t>
            </w:r>
          </w:p>
        </w:tc>
        <w:tc>
          <w:tcPr>
            <w:tcW w:w="520" w:type="dxa"/>
            <w:vAlign w:val="bottom"/>
            <w:vMerge w:val="restart"/>
          </w:tcPr>
          <w:p>
            <w:pPr>
              <w:ind w:left="380"/>
              <w:spacing w:after="0" w:line="102" w:lineRule="exact"/>
              <w:rPr>
                <w:sz w:val="20"/>
                <w:szCs w:val="20"/>
                <w:color w:val="auto"/>
              </w:rPr>
            </w:pPr>
            <w:r>
              <w:rPr>
                <w:rFonts w:ascii="Times New Roman" w:cs="Times New Roman" w:eastAsia="Times New Roman" w:hAnsi="Times New Roman"/>
                <w:sz w:val="11"/>
                <w:szCs w:val="11"/>
                <w:color w:val="0000FF"/>
              </w:rPr>
              <w:t>I</w:t>
            </w:r>
          </w:p>
        </w:tc>
        <w:tc>
          <w:tcPr>
            <w:tcW w:w="24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Borders>
              <w:right w:val="single" w:sz="8" w:color="2C2C2C"/>
            </w:tcBorders>
            <w:gridSpan w:val="3"/>
          </w:tcPr>
          <w:p>
            <w:pPr>
              <w:ind w:left="60"/>
              <w:spacing w:after="0" w:line="56"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(7)</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500,500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vMerge w:val="restart"/>
          </w:tcPr>
          <w:p>
            <w:pPr>
              <w:ind w:left="6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00" w:type="dxa"/>
            <w:vAlign w:val="bottom"/>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8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500,500</w:t>
            </w:r>
          </w:p>
        </w:tc>
        <w:tc>
          <w:tcPr>
            <w:tcW w:w="520" w:type="dxa"/>
            <w:vAlign w:val="bottom"/>
            <w:vMerge w:val="restart"/>
          </w:tcPr>
          <w:p>
            <w:pPr>
              <w:ind w:left="380"/>
              <w:spacing w:after="0" w:line="102" w:lineRule="exact"/>
              <w:rPr>
                <w:sz w:val="20"/>
                <w:szCs w:val="20"/>
                <w:color w:val="auto"/>
              </w:rPr>
            </w:pPr>
            <w:r>
              <w:rPr>
                <w:rFonts w:ascii="Times New Roman" w:cs="Times New Roman" w:eastAsia="Times New Roman" w:hAnsi="Times New Roman"/>
                <w:sz w:val="11"/>
                <w:szCs w:val="11"/>
                <w:color w:val="0000FF"/>
              </w:rPr>
              <w:t>I</w:t>
            </w:r>
          </w:p>
        </w:tc>
        <w:tc>
          <w:tcPr>
            <w:tcW w:w="24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Borders>
              <w:right w:val="single" w:sz="8" w:color="2C2C2C"/>
            </w:tcBorders>
            <w:gridSpan w:val="3"/>
          </w:tcPr>
          <w:p>
            <w:pPr>
              <w:ind w:left="60"/>
              <w:spacing w:after="0" w:line="56"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(9)</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-2602230</wp:posOffset>
            </wp:positionV>
            <wp:extent cx="28575" cy="26079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26079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3,493 shares of Class B Common Stock were converted into 3,493 shares of Class A Common Stock at the election of the Reporting Person and had no expiration date.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Andrew Houston Revocable Trust u/a/d 9/7/2011, for which Reporting Person serves as trustee.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December 5, 2023</w:t>
      </w:r>
    </w:p>
    <w:p>
      <w:pPr>
        <w:spacing w:after="0" w:line="41" w:lineRule="exact"/>
        <w:rPr>
          <w:rFonts w:ascii="Times New Roman" w:cs="Times New Roman" w:eastAsia="Times New Roman" w:hAnsi="Times New Roman"/>
          <w:sz w:val="13"/>
          <w:szCs w:val="13"/>
          <w:color w:val="008000"/>
        </w:rPr>
      </w:pPr>
    </w:p>
    <w:p>
      <w:pPr>
        <w:ind w:left="40" w:right="32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$25.00 to $25.02.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Erin Yu Houston Revocable Trust u/a/d 1/18/2024, for which the Reporting Person's spouse serves as trustee.</w:t>
      </w:r>
    </w:p>
    <w:p>
      <w:pPr>
        <w:spacing w:after="0" w:line="41" w:lineRule="exact"/>
        <w:rPr>
          <w:rFonts w:ascii="Times New Roman" w:cs="Times New Roman" w:eastAsia="Times New Roman" w:hAnsi="Times New Roman"/>
          <w:sz w:val="13"/>
          <w:szCs w:val="13"/>
          <w:color w:val="008000"/>
        </w:rPr>
      </w:pPr>
    </w:p>
    <w:p>
      <w:pPr>
        <w:ind w:left="40" w:right="44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awards of Class A Common Stock. The restricted stock awards vest over a period of up to ten years following the closing of the Issuer's initial public offering of Class A Common Stock, or March 27, 2028, upon achievement of service-based, market-based, and liquidity event-related performance vesting conditions.</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Houston Remainder Trust u/a/d 12/30/2010, for which Reporting Person serves as trustee.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Issuer's Class B Common Stock is convertible into the Issuer's Class A Common Stock on a one-for-one basis at the Reporting Person's election and has no expiration date.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Houston 2012 Irrevocable Children's Trust u/a/d 4/12/2012, for which Reporting Person serves as trustee.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Cara Angelmar, Attorney-in- 09/23/2024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-10160</wp:posOffset>
            </wp:positionV>
            <wp:extent cx="18796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sectPr>
          <w:pgSz w:w="11900" w:h="16838" w:orient="portrait"/>
          <w:cols w:equalWidth="0" w:num="1">
            <w:col w:w="11080"/>
          </w:cols>
          <w:pgMar w:left="460" w:top="216" w:right="359" w:bottom="0" w:gutter="0" w:footer="0" w:header="0"/>
          <w:type w:val="continuous"/>
        </w:sectPr>
      </w:pPr>
    </w:p>
    <w:bookmarkStart w:id="1" w:name="page2"/>
    <w:bookmarkEnd w:id="1"/>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-10160</wp:posOffset>
            </wp:positionV>
            <wp:extent cx="1809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0975" cy="8255"/>
                    </a:xfrm>
                    <a:prstGeom prst="rect">
                      <a:avLst/>
                    </a:prstGeom>
                    <a:noFill/>
                  </pic:spPr>
                </pic:pic>
              </a:graphicData>
            </a:graphic>
          </wp:anchor>
        </w:drawing>
      </w:r>
    </w:p>
    <w:p>
      <w:pPr>
        <w:spacing w:after="0" w:line="40"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2599"/>
        <w:spacing w:after="0" w:line="332"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59"/>
          </w:cols>
          <w:pgMar w:left="500" w:top="12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190" w:lineRule="exact"/>
        <w:rPr>
          <w:sz w:val="20"/>
          <w:szCs w:val="20"/>
          <w:color w:val="auto"/>
        </w:rPr>
      </w:pPr>
    </w:p>
    <w:p>
      <w:pPr>
        <w:ind w:left="100" w:right="4419" w:hanging="98"/>
        <w:spacing w:after="0" w:line="257" w:lineRule="auto"/>
        <w:rPr>
          <w:sz w:val="20"/>
          <w:szCs w:val="20"/>
          <w:color w:val="auto"/>
        </w:rPr>
      </w:pPr>
      <w:r>
        <w:rPr>
          <w:rFonts w:ascii="Courier New" w:cs="Courier New" w:eastAsia="Courier New" w:hAnsi="Courier New"/>
          <w:sz w:val="16"/>
          <w:szCs w:val="16"/>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w:t>
      </w:r>
    </w:p>
    <w:p>
      <w:pPr>
        <w:spacing w:after="0" w:line="184" w:lineRule="exact"/>
        <w:rPr>
          <w:sz w:val="20"/>
          <w:szCs w:val="20"/>
          <w:color w:val="auto"/>
        </w:rPr>
      </w:pPr>
    </w:p>
    <w:p>
      <w:pPr>
        <w:ind w:left="100" w:right="4239"/>
        <w:spacing w:after="0" w:line="275" w:lineRule="auto"/>
        <w:rPr>
          <w:sz w:val="20"/>
          <w:szCs w:val="20"/>
          <w:color w:val="auto"/>
        </w:rPr>
      </w:pPr>
      <w:r>
        <w:rPr>
          <w:rFonts w:ascii="Courier New" w:cs="Courier New" w:eastAsia="Courier New" w:hAnsi="Courier New"/>
          <w:sz w:val="16"/>
          <w:szCs w:val="16"/>
          <w:color w:val="auto"/>
        </w:rPr>
        <w:t>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79" w:lineRule="exact"/>
        <w:rPr>
          <w:sz w:val="20"/>
          <w:szCs w:val="20"/>
          <w:color w:val="auto"/>
        </w:rPr>
      </w:pPr>
    </w:p>
    <w:p>
      <w:pPr>
        <w:ind w:left="100" w:right="4719" w:hanging="98"/>
        <w:spacing w:after="0" w:line="251"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00" w:lineRule="exact"/>
        <w:rPr>
          <w:sz w:val="20"/>
          <w:szCs w:val="20"/>
          <w:color w:val="auto"/>
        </w:rPr>
      </w:pPr>
    </w:p>
    <w:p>
      <w:pPr>
        <w:ind w:left="100" w:right="4619" w:hanging="98"/>
        <w:spacing w:after="0" w:line="244"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to the foregoing attorneys-in-fact.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Limited Power of Attorney is executed as of</w:t>
      </w:r>
    </w:p>
    <w:p>
      <w:pPr>
        <w:spacing w:after="0" w:line="2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the date set forth below.</w:t>
      </w:r>
    </w:p>
    <w:p>
      <w:pPr>
        <w:spacing w:after="0" w:line="351"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Andrew Houston</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Andrew Houston</w:t>
      </w:r>
    </w:p>
    <w:p>
      <w:pPr>
        <w:spacing w:after="0"/>
        <w:tabs>
          <w:tab w:leader="none" w:pos="78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6"/>
          <w:szCs w:val="16"/>
          <w:color w:val="auto"/>
        </w:rPr>
        <w:t>1/22/2021</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34563"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2024-09-23T16:33:37Z</dcterms:created>
  <dcterms:modified xsi:type="dcterms:W3CDTF">2024-09-23T16:33:37Z</dcterms:modified>
</cp:coreProperties>
</file>