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Arial" w:cs="Arial" w:eastAsia="Arial" w:hAnsi="Arial"/>
          <w:sz w:val="32"/>
          <w:szCs w:val="32"/>
          <w:b w:val="1"/>
          <w:bCs w:val="1"/>
          <w:color w:val="auto"/>
        </w:rPr>
        <w:t>UNITED STATES</w:t>
      </w:r>
    </w:p>
    <w:p>
      <w:pPr>
        <w:spacing w:after="0" w:line="48" w:lineRule="exact"/>
        <w:rPr>
          <w:sz w:val="24"/>
          <w:szCs w:val="24"/>
          <w:color w:val="auto"/>
        </w:rPr>
      </w:pPr>
    </w:p>
    <w:p>
      <w:pPr>
        <w:jc w:val="center"/>
        <w:ind w:right="100"/>
        <w:spacing w:after="0"/>
        <w:rPr>
          <w:sz w:val="20"/>
          <w:szCs w:val="20"/>
          <w:color w:val="auto"/>
        </w:rPr>
      </w:pPr>
      <w:r>
        <w:rPr>
          <w:rFonts w:ascii="Arial" w:cs="Arial" w:eastAsia="Arial" w:hAnsi="Arial"/>
          <w:sz w:val="32"/>
          <w:szCs w:val="32"/>
          <w:b w:val="1"/>
          <w:bCs w:val="1"/>
          <w:color w:val="auto"/>
        </w:rPr>
        <w:t>SECURITIES AND EXCHANGE COMMISSION</w:t>
      </w:r>
    </w:p>
    <w:p>
      <w:pPr>
        <w:spacing w:after="0" w:line="17" w:lineRule="exact"/>
        <w:rPr>
          <w:sz w:val="24"/>
          <w:szCs w:val="24"/>
          <w:color w:val="auto"/>
        </w:rPr>
      </w:pPr>
    </w:p>
    <w:p>
      <w:pPr>
        <w:jc w:val="center"/>
        <w:ind w:right="100"/>
        <w:spacing w:after="0"/>
        <w:rPr>
          <w:sz w:val="20"/>
          <w:szCs w:val="20"/>
          <w:color w:val="auto"/>
        </w:rPr>
      </w:pPr>
      <w:r>
        <w:rPr>
          <w:rFonts w:ascii="Arial" w:cs="Arial" w:eastAsia="Arial" w:hAnsi="Arial"/>
          <w:sz w:val="21"/>
          <w:szCs w:val="21"/>
          <w:b w:val="1"/>
          <w:bCs w:val="1"/>
          <w:color w:val="auto"/>
        </w:rPr>
        <w:t>Washington, D.C. 20549</w:t>
      </w:r>
    </w:p>
    <w:p>
      <w:pPr>
        <w:spacing w:after="0" w:line="223" w:lineRule="exact"/>
        <w:rPr>
          <w:sz w:val="24"/>
          <w:szCs w:val="24"/>
          <w:color w:val="auto"/>
        </w:rPr>
      </w:pPr>
    </w:p>
    <w:p>
      <w:pPr>
        <w:jc w:val="center"/>
        <w:ind w:right="100"/>
        <w:spacing w:after="0"/>
        <w:rPr>
          <w:sz w:val="20"/>
          <w:szCs w:val="20"/>
          <w:color w:val="auto"/>
        </w:rPr>
      </w:pPr>
      <w:r>
        <w:rPr>
          <w:rFonts w:ascii="Arial" w:cs="Arial" w:eastAsia="Arial" w:hAnsi="Arial"/>
          <w:sz w:val="35"/>
          <w:szCs w:val="35"/>
          <w:b w:val="1"/>
          <w:bCs w:val="1"/>
          <w:color w:val="auto"/>
        </w:rPr>
        <w:t>Form 8-K</w:t>
      </w:r>
    </w:p>
    <w:p>
      <w:pPr>
        <w:spacing w:after="0" w:line="270" w:lineRule="exact"/>
        <w:rPr>
          <w:sz w:val="24"/>
          <w:szCs w:val="24"/>
          <w:color w:val="auto"/>
        </w:rPr>
      </w:pPr>
    </w:p>
    <w:p>
      <w:pPr>
        <w:jc w:val="center"/>
        <w:ind w:right="100"/>
        <w:spacing w:after="0"/>
        <w:rPr>
          <w:sz w:val="20"/>
          <w:szCs w:val="20"/>
          <w:color w:val="auto"/>
        </w:rPr>
      </w:pPr>
      <w:r>
        <w:rPr>
          <w:rFonts w:ascii="Arial" w:cs="Arial" w:eastAsia="Arial" w:hAnsi="Arial"/>
          <w:sz w:val="21"/>
          <w:szCs w:val="21"/>
          <w:b w:val="1"/>
          <w:bCs w:val="1"/>
          <w:color w:val="auto"/>
        </w:rPr>
        <w:t>CURRENT REPORT</w:t>
      </w:r>
    </w:p>
    <w:p>
      <w:pPr>
        <w:spacing w:after="0" w:line="35" w:lineRule="exact"/>
        <w:rPr>
          <w:sz w:val="24"/>
          <w:szCs w:val="24"/>
          <w:color w:val="auto"/>
        </w:rPr>
      </w:pPr>
    </w:p>
    <w:p>
      <w:pPr>
        <w:jc w:val="center"/>
        <w:ind w:right="100"/>
        <w:spacing w:after="0"/>
        <w:rPr>
          <w:sz w:val="20"/>
          <w:szCs w:val="20"/>
          <w:color w:val="auto"/>
        </w:rPr>
      </w:pPr>
      <w:r>
        <w:rPr>
          <w:rFonts w:ascii="Arial" w:cs="Arial" w:eastAsia="Arial" w:hAnsi="Arial"/>
          <w:sz w:val="21"/>
          <w:szCs w:val="21"/>
          <w:b w:val="1"/>
          <w:bCs w:val="1"/>
          <w:color w:val="auto"/>
        </w:rPr>
        <w:t>Pursuant to Section 13 or 15(d)</w:t>
      </w:r>
    </w:p>
    <w:p>
      <w:pPr>
        <w:spacing w:after="0" w:line="11" w:lineRule="exact"/>
        <w:rPr>
          <w:sz w:val="24"/>
          <w:szCs w:val="24"/>
          <w:color w:val="auto"/>
        </w:rPr>
      </w:pPr>
    </w:p>
    <w:p>
      <w:pPr>
        <w:jc w:val="center"/>
        <w:ind w:right="100"/>
        <w:spacing w:after="0"/>
        <w:rPr>
          <w:sz w:val="20"/>
          <w:szCs w:val="20"/>
          <w:color w:val="auto"/>
        </w:rPr>
      </w:pPr>
      <w:r>
        <w:rPr>
          <w:rFonts w:ascii="Arial" w:cs="Arial" w:eastAsia="Arial" w:hAnsi="Arial"/>
          <w:sz w:val="21"/>
          <w:szCs w:val="21"/>
          <w:b w:val="1"/>
          <w:bCs w:val="1"/>
          <w:color w:val="auto"/>
        </w:rPr>
        <w:t>of the Securities Exchange Act of 1934</w:t>
      </w:r>
    </w:p>
    <w:p>
      <w:pPr>
        <w:spacing w:after="0" w:line="225" w:lineRule="exact"/>
        <w:rPr>
          <w:sz w:val="24"/>
          <w:szCs w:val="24"/>
          <w:color w:val="auto"/>
        </w:rPr>
      </w:pPr>
    </w:p>
    <w:p>
      <w:pPr>
        <w:jc w:val="center"/>
        <w:ind w:right="100"/>
        <w:spacing w:after="0"/>
        <w:rPr>
          <w:sz w:val="20"/>
          <w:szCs w:val="20"/>
          <w:color w:val="auto"/>
        </w:rPr>
      </w:pPr>
      <w:r>
        <w:rPr>
          <w:rFonts w:ascii="Arial" w:cs="Arial" w:eastAsia="Arial" w:hAnsi="Arial"/>
          <w:sz w:val="21"/>
          <w:szCs w:val="21"/>
          <w:b w:val="1"/>
          <w:bCs w:val="1"/>
          <w:color w:val="auto"/>
        </w:rPr>
        <w:t>August 3, 2023</w:t>
      </w:r>
    </w:p>
    <w:p>
      <w:pPr>
        <w:spacing w:after="0" w:line="36" w:lineRule="exact"/>
        <w:rPr>
          <w:sz w:val="24"/>
          <w:szCs w:val="24"/>
          <w:color w:val="auto"/>
        </w:rPr>
      </w:pPr>
    </w:p>
    <w:p>
      <w:pPr>
        <w:jc w:val="center"/>
        <w:ind w:right="100"/>
        <w:spacing w:after="0"/>
        <w:rPr>
          <w:sz w:val="20"/>
          <w:szCs w:val="20"/>
          <w:color w:val="auto"/>
        </w:rPr>
      </w:pPr>
      <w:r>
        <w:rPr>
          <w:rFonts w:ascii="Arial" w:cs="Arial" w:eastAsia="Arial" w:hAnsi="Arial"/>
          <w:sz w:val="21"/>
          <w:szCs w:val="21"/>
          <w:b w:val="1"/>
          <w:bCs w:val="1"/>
          <w:color w:val="auto"/>
        </w:rPr>
        <w:t>Date of Report (date of earliest event reported)</w:t>
      </w:r>
    </w:p>
    <w:p>
      <w:pPr>
        <w:spacing w:after="0" w:line="228" w:lineRule="exact"/>
        <w:rPr>
          <w:sz w:val="24"/>
          <w:szCs w:val="24"/>
          <w:color w:val="auto"/>
        </w:rPr>
      </w:pPr>
    </w:p>
    <w:p>
      <w:pPr>
        <w:jc w:val="center"/>
        <w:ind w:right="100"/>
        <w:spacing w:after="0"/>
        <w:rPr>
          <w:sz w:val="20"/>
          <w:szCs w:val="20"/>
          <w:color w:val="auto"/>
        </w:rPr>
      </w:pPr>
      <w:r>
        <w:rPr>
          <w:rFonts w:ascii="Arial" w:cs="Arial" w:eastAsia="Arial" w:hAnsi="Arial"/>
          <w:sz w:val="35"/>
          <w:szCs w:val="35"/>
          <w:b w:val="1"/>
          <w:bCs w:val="1"/>
          <w:color w:val="auto"/>
        </w:rPr>
        <w:t>DROPBOX, INC.</w:t>
      </w:r>
    </w:p>
    <w:p>
      <w:pPr>
        <w:spacing w:after="0" w:line="47"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340"/>
          </w:cols>
          <w:pgMar w:left="320" w:top="974" w:right="239" w:bottom="1440" w:gutter="0" w:footer="0" w:header="0"/>
        </w:sectPr>
      </w:pPr>
    </w:p>
    <w:p>
      <w:pPr>
        <w:spacing w:after="0" w:line="25" w:lineRule="exact"/>
        <w:rPr>
          <w:sz w:val="24"/>
          <w:szCs w:val="24"/>
          <w:color w:val="auto"/>
        </w:rPr>
      </w:pPr>
    </w:p>
    <w:p>
      <w:pPr>
        <w:jc w:val="center"/>
        <w:ind w:left="800"/>
        <w:spacing w:after="0"/>
        <w:rPr>
          <w:sz w:val="20"/>
          <w:szCs w:val="20"/>
          <w:color w:val="auto"/>
        </w:rPr>
      </w:pPr>
      <w:r>
        <w:rPr>
          <w:rFonts w:ascii="Arial" w:cs="Arial" w:eastAsia="Arial" w:hAnsi="Arial"/>
          <w:sz w:val="18"/>
          <w:szCs w:val="18"/>
          <w:b w:val="1"/>
          <w:bCs w:val="1"/>
          <w:color w:val="auto"/>
        </w:rPr>
        <w:t>Delaware</w:t>
      </w:r>
    </w:p>
    <w:p>
      <w:pPr>
        <w:spacing w:after="0" w:line="23" w:lineRule="exact"/>
        <w:rPr>
          <w:sz w:val="24"/>
          <w:szCs w:val="24"/>
          <w:color w:val="auto"/>
        </w:rPr>
      </w:pPr>
    </w:p>
    <w:p>
      <w:pPr>
        <w:jc w:val="center"/>
        <w:ind w:left="800"/>
        <w:spacing w:after="0"/>
        <w:rPr>
          <w:sz w:val="20"/>
          <w:szCs w:val="20"/>
          <w:color w:val="auto"/>
        </w:rPr>
      </w:pPr>
      <w:r>
        <w:rPr>
          <w:rFonts w:ascii="Arial" w:cs="Arial" w:eastAsia="Arial" w:hAnsi="Arial"/>
          <w:sz w:val="15"/>
          <w:szCs w:val="15"/>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jc w:val="center"/>
        <w:ind w:right="140"/>
        <w:spacing w:after="0"/>
        <w:rPr>
          <w:sz w:val="20"/>
          <w:szCs w:val="20"/>
          <w:color w:val="auto"/>
        </w:rPr>
      </w:pPr>
      <w:r>
        <w:rPr>
          <w:rFonts w:ascii="Arial" w:cs="Arial" w:eastAsia="Arial" w:hAnsi="Arial"/>
          <w:sz w:val="18"/>
          <w:szCs w:val="18"/>
          <w:b w:val="1"/>
          <w:bCs w:val="1"/>
          <w:color w:val="auto"/>
        </w:rPr>
        <w:t>001-38434</w:t>
      </w:r>
    </w:p>
    <w:p>
      <w:pPr>
        <w:spacing w:after="0" w:line="23" w:lineRule="exact"/>
        <w:rPr>
          <w:sz w:val="24"/>
          <w:szCs w:val="24"/>
          <w:color w:val="auto"/>
        </w:rPr>
      </w:pPr>
    </w:p>
    <w:p>
      <w:pPr>
        <w:jc w:val="center"/>
        <w:ind w:right="140"/>
        <w:spacing w:after="0"/>
        <w:rPr>
          <w:sz w:val="20"/>
          <w:szCs w:val="20"/>
          <w:color w:val="auto"/>
        </w:rPr>
      </w:pPr>
      <w:r>
        <w:rPr>
          <w:rFonts w:ascii="Arial" w:cs="Arial" w:eastAsia="Arial" w:hAnsi="Arial"/>
          <w:sz w:val="15"/>
          <w:szCs w:val="15"/>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26-0138832</w:t>
      </w:r>
    </w:p>
    <w:p>
      <w:pPr>
        <w:spacing w:after="0" w:line="23" w:lineRule="exact"/>
        <w:rPr>
          <w:sz w:val="24"/>
          <w:szCs w:val="24"/>
          <w:color w:val="auto"/>
        </w:rPr>
      </w:pPr>
    </w:p>
    <w:p>
      <w:pPr>
        <w:jc w:val="center"/>
        <w:ind w:right="1040"/>
        <w:spacing w:after="0"/>
        <w:rPr>
          <w:sz w:val="20"/>
          <w:szCs w:val="20"/>
          <w:color w:val="auto"/>
        </w:rPr>
      </w:pPr>
      <w:r>
        <w:rPr>
          <w:rFonts w:ascii="Arial" w:cs="Arial" w:eastAsia="Arial" w:hAnsi="Arial"/>
          <w:sz w:val="15"/>
          <w:szCs w:val="15"/>
          <w:b w:val="1"/>
          <w:bCs w:val="1"/>
          <w:color w:val="auto"/>
        </w:rPr>
        <w:t>(I. R. S. Employer Identification No.)</w:t>
      </w:r>
    </w:p>
    <w:p>
      <w:pPr>
        <w:spacing w:after="0" w:line="53" w:lineRule="exact"/>
        <w:rPr>
          <w:sz w:val="24"/>
          <w:szCs w:val="24"/>
          <w:color w:val="auto"/>
        </w:rPr>
      </w:pPr>
    </w:p>
    <w:p>
      <w:pPr>
        <w:sectPr>
          <w:pgSz w:w="11900" w:h="16838" w:orient="portrait"/>
          <w:cols w:equalWidth="0" w:num="3">
            <w:col w:w="3880" w:space="720"/>
            <w:col w:w="2200" w:space="720"/>
            <w:col w:w="3820"/>
          </w:cols>
          <w:pgMar w:left="320" w:top="974" w:right="239" w:bottom="1440" w:gutter="0" w:footer="0" w:header="0"/>
          <w:type w:val="continuous"/>
        </w:sectPr>
      </w:pPr>
    </w:p>
    <w:p>
      <w:pPr>
        <w:ind w:left="1780"/>
        <w:spacing w:after="0"/>
        <w:rPr>
          <w:sz w:val="20"/>
          <w:szCs w:val="20"/>
          <w:color w:val="auto"/>
        </w:rPr>
      </w:pPr>
      <w:r>
        <w:rPr>
          <w:rFonts w:ascii="Arial" w:cs="Arial" w:eastAsia="Arial" w:hAnsi="Arial"/>
          <w:sz w:val="15"/>
          <w:szCs w:val="15"/>
          <w:b w:val="1"/>
          <w:bCs w:val="1"/>
          <w:color w:val="auto"/>
        </w:rPr>
        <w:t>incorporation)</w:t>
      </w:r>
    </w:p>
    <w:p>
      <w:pPr>
        <w:sectPr>
          <w:pgSz w:w="11900" w:h="16838" w:orient="portrait"/>
          <w:cols w:equalWidth="0" w:num="1">
            <w:col w:w="11340"/>
          </w:cols>
          <w:pgMar w:left="320" w:top="974" w:right="239" w:bottom="1440" w:gutter="0" w:footer="0" w:header="0"/>
          <w:type w:val="continuous"/>
        </w:sectPr>
      </w:pPr>
    </w:p>
    <w:p>
      <w:pPr>
        <w:spacing w:after="0" w:line="314"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1800 Owens St.</w:t>
      </w:r>
    </w:p>
    <w:p>
      <w:pPr>
        <w:spacing w:after="0" w:line="23"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San Francisco, California 94158</w:t>
      </w:r>
    </w:p>
    <w:p>
      <w:pPr>
        <w:spacing w:after="0" w:line="5"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5"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(415) 857-6800</w:t>
      </w:r>
    </w:p>
    <w:p>
      <w:pPr>
        <w:spacing w:after="0" w:line="5"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5"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N/A</w:t>
      </w:r>
    </w:p>
    <w:p>
      <w:pPr>
        <w:spacing w:after="0" w:line="5"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0" w:lineRule="exact"/>
        <w:rPr>
          <w:sz w:val="24"/>
          <w:szCs w:val="24"/>
          <w:color w:val="auto"/>
        </w:rPr>
      </w:pPr>
    </w:p>
    <w:p>
      <w:pPr>
        <w:spacing w:after="0" w:line="272" w:lineRule="exact"/>
        <w:rPr>
          <w:sz w:val="24"/>
          <w:szCs w:val="24"/>
          <w:color w:val="auto"/>
        </w:rPr>
      </w:pPr>
    </w:p>
    <w:p>
      <w:pPr>
        <w:ind w:right="240"/>
        <w:spacing w:after="0" w:line="26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46" w:lineRule="exact"/>
        <w:rPr>
          <w:sz w:val="24"/>
          <w:szCs w:val="24"/>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Written communications pursuant to Rule 425 under the Securities Act (17 CFR 230.425)</w:t>
      </w:r>
    </w:p>
    <w:p>
      <w:pPr>
        <w:spacing w:after="0" w:line="285"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Soliciting material pursuant to Rule 14a-12 under the Exchange Act (17 CFR 240.14a-12)</w:t>
      </w:r>
    </w:p>
    <w:p>
      <w:pPr>
        <w:spacing w:after="0" w:line="272"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Pre-commencement communications pursuant to Rule 14d-2(b) under the Exchange Act (17 CFR 240.14d-2(b))</w:t>
      </w:r>
    </w:p>
    <w:p>
      <w:pPr>
        <w:spacing w:after="0" w:line="272"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Pre-commencement communications pursuant to Rule 13e-4(c) under the Exchange Act (17 CFR 240.13e-4(c))</w:t>
      </w:r>
    </w:p>
    <w:p>
      <w:pPr>
        <w:spacing w:after="0" w:line="23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416560</wp:posOffset>
            </wp:positionH>
            <wp:positionV relativeFrom="paragraph">
              <wp:posOffset>86995</wp:posOffset>
            </wp:positionV>
            <wp:extent cx="62503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50305" cy="8255"/>
                    </a:xfrm>
                    <a:prstGeom prst="rect">
                      <a:avLst/>
                    </a:prstGeom>
                    <a:noFill/>
                  </pic:spPr>
                </pic:pic>
              </a:graphicData>
            </a:graphic>
          </wp:anchor>
        </w:drawing>
      </w:r>
    </w:p>
    <w:p>
      <w:pPr>
        <w:spacing w:after="0" w:line="155" w:lineRule="exact"/>
        <w:rPr>
          <w:sz w:val="24"/>
          <w:szCs w:val="24"/>
          <w:color w:val="auto"/>
        </w:rPr>
      </w:pPr>
    </w:p>
    <w:tbl>
      <w:tblPr>
        <w:tblLayout w:type="fixed"/>
        <w:tblInd w:w="78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7"/>
              </w:rPr>
              <w:t>Title of each class</w:t>
            </w:r>
          </w:p>
        </w:tc>
        <w:tc>
          <w:tcPr>
            <w:tcW w:w="1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1"/>
              </w:rPr>
              <w:t>Trading Symbol(s)</w:t>
            </w:r>
          </w:p>
        </w:tc>
        <w:tc>
          <w:tcPr>
            <w:tcW w:w="3880" w:type="dxa"/>
            <w:vAlign w:val="bottom"/>
            <w:gridSpan w:val="2"/>
          </w:tcPr>
          <w:p>
            <w:pPr>
              <w:jc w:val="center"/>
              <w:ind w:left="1489"/>
              <w:spacing w:after="0"/>
              <w:rPr>
                <w:sz w:val="20"/>
                <w:szCs w:val="20"/>
                <w:color w:val="auto"/>
              </w:rPr>
            </w:pPr>
            <w:r>
              <w:rPr>
                <w:rFonts w:ascii="Arial" w:cs="Arial" w:eastAsia="Arial" w:hAnsi="Arial"/>
                <w:sz w:val="14"/>
                <w:szCs w:val="14"/>
                <w:b w:val="1"/>
                <w:bCs w:val="1"/>
                <w:color w:val="auto"/>
                <w:w w:val="89"/>
              </w:rPr>
              <w:t>Name of exchange on which registered</w:t>
            </w:r>
          </w:p>
        </w:tc>
      </w:tr>
      <w:tr>
        <w:trPr>
          <w:trHeight w:val="20"/>
        </w:trPr>
        <w:tc>
          <w:tcPr>
            <w:tcW w:w="10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r>
      <w:tr>
        <w:trPr>
          <w:trHeight w:val="208"/>
        </w:trPr>
        <w:tc>
          <w:tcPr>
            <w:tcW w:w="3640" w:type="dxa"/>
            <w:vAlign w:val="bottom"/>
            <w:gridSpan w:val="3"/>
          </w:tcPr>
          <w:p>
            <w:pPr>
              <w:jc w:val="center"/>
              <w:ind w:right="580"/>
              <w:spacing w:after="0"/>
              <w:rPr>
                <w:sz w:val="20"/>
                <w:szCs w:val="20"/>
                <w:color w:val="auto"/>
              </w:rPr>
            </w:pPr>
            <w:r>
              <w:rPr>
                <w:rFonts w:ascii="Arial" w:cs="Arial" w:eastAsia="Arial" w:hAnsi="Arial"/>
                <w:sz w:val="14"/>
                <w:szCs w:val="14"/>
                <w:color w:val="auto"/>
                <w:w w:val="90"/>
              </w:rPr>
              <w:t>Class A Common Stock, par value $0.00001 per share</w:t>
            </w:r>
          </w:p>
        </w:tc>
        <w:tc>
          <w:tcPr>
            <w:tcW w:w="6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DBX</w:t>
            </w:r>
          </w:p>
        </w:tc>
        <w:tc>
          <w:tcPr>
            <w:tcW w:w="156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4"/>
                <w:szCs w:val="14"/>
                <w:color w:val="auto"/>
                <w:w w:val="95"/>
              </w:rPr>
              <w:t>The NASDAQ Stock Market LLC</w:t>
            </w:r>
          </w:p>
        </w:tc>
      </w:tr>
      <w:tr>
        <w:trPr>
          <w:trHeight w:val="199"/>
        </w:trPr>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320" w:type="dxa"/>
            <w:vAlign w:val="bottom"/>
          </w:tcPr>
          <w:p>
            <w:pPr>
              <w:jc w:val="center"/>
              <w:spacing w:after="0"/>
              <w:rPr>
                <w:sz w:val="20"/>
                <w:szCs w:val="20"/>
                <w:color w:val="auto"/>
              </w:rPr>
            </w:pPr>
            <w:r>
              <w:rPr>
                <w:rFonts w:ascii="Arial" w:cs="Arial" w:eastAsia="Arial" w:hAnsi="Arial"/>
                <w:sz w:val="14"/>
                <w:szCs w:val="14"/>
                <w:color w:val="auto"/>
                <w:w w:val="91"/>
              </w:rPr>
              <w:t>(Nasdaq Global Select Market)</w:t>
            </w:r>
          </w:p>
        </w:tc>
      </w:tr>
    </w:tbl>
    <w:p>
      <w:pPr>
        <w:spacing w:after="0" w:line="383" w:lineRule="exact"/>
        <w:rPr>
          <w:sz w:val="24"/>
          <w:szCs w:val="24"/>
          <w:color w:val="auto"/>
        </w:rPr>
      </w:pPr>
    </w:p>
    <w:p>
      <w:pPr>
        <w:spacing w:after="0" w:line="26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7"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21"/>
          <w:szCs w:val="21"/>
          <w:color w:val="auto"/>
        </w:rPr>
        <w:t>☐</w:t>
      </w:r>
    </w:p>
    <w:p>
      <w:pPr>
        <w:spacing w:after="0" w:line="299" w:lineRule="exact"/>
        <w:rPr>
          <w:sz w:val="24"/>
          <w:szCs w:val="24"/>
          <w:color w:val="auto"/>
        </w:rPr>
      </w:pPr>
    </w:p>
    <w:p>
      <w:pPr>
        <w:ind w:right="260"/>
        <w:spacing w:after="0" w:line="261"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657860</wp:posOffset>
            </wp:positionV>
            <wp:extent cx="716026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974"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250" w:lineRule="exact"/>
        <w:rPr>
          <w:sz w:val="20"/>
          <w:szCs w:val="20"/>
          <w:color w:val="auto"/>
        </w:rPr>
      </w:pPr>
    </w:p>
    <w:p>
      <w:pPr>
        <w:jc w:val="both"/>
        <w:ind w:right="20"/>
        <w:spacing w:after="0" w:line="366" w:lineRule="auto"/>
        <w:rPr>
          <w:sz w:val="20"/>
          <w:szCs w:val="20"/>
          <w:color w:val="auto"/>
        </w:rPr>
      </w:pPr>
      <w:r>
        <w:rPr>
          <w:rFonts w:ascii="Arial" w:cs="Arial" w:eastAsia="Arial" w:hAnsi="Arial"/>
          <w:sz w:val="15"/>
          <w:szCs w:val="15"/>
          <w:color w:val="auto"/>
        </w:rPr>
        <w:t>On August 3, 2023, Dropbox, Inc. (“Dropbox” or the "Company") issued a press release and will hold a conference call announcing its financial results for the quarter ended June 30, 2023. A copy of the press release is attached as Exhibit 99.1 to this current report on Form 8-K and is incorporated by reference herein.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250" w:lineRule="exact"/>
        <w:rPr>
          <w:sz w:val="20"/>
          <w:szCs w:val="20"/>
          <w:color w:val="auto"/>
        </w:rPr>
      </w:pPr>
    </w:p>
    <w:p>
      <w:pPr>
        <w:ind w:right="100"/>
        <w:spacing w:after="0" w:line="366" w:lineRule="auto"/>
        <w:rPr>
          <w:sz w:val="20"/>
          <w:szCs w:val="20"/>
          <w:color w:val="auto"/>
        </w:rPr>
      </w:pPr>
      <w:r>
        <w:rPr>
          <w:rFonts w:ascii="Arial" w:cs="Arial" w:eastAsia="Arial" w:hAnsi="Arial"/>
          <w:sz w:val="15"/>
          <w:szCs w:val="15"/>
          <w:color w:val="auto"/>
        </w:rPr>
        <w:t>On August 3, 2023, Dropbox posted supplemental investor materials on its investors.dropbox.com website. Dropbox intends to use its investors.dropbox.com website as a means of disclosing material non-public information and for complying with its disclosure obligations under Regulation FD.</w:t>
      </w:r>
    </w:p>
    <w:p>
      <w:pPr>
        <w:spacing w:after="0" w:line="137" w:lineRule="exact"/>
        <w:rPr>
          <w:sz w:val="20"/>
          <w:szCs w:val="20"/>
          <w:color w:val="auto"/>
        </w:rPr>
      </w:pPr>
    </w:p>
    <w:p>
      <w:pPr>
        <w:spacing w:after="0" w:line="330" w:lineRule="auto"/>
        <w:rPr>
          <w:sz w:val="20"/>
          <w:szCs w:val="20"/>
          <w:color w:val="auto"/>
        </w:rPr>
      </w:pPr>
      <w:r>
        <w:rPr>
          <w:rFonts w:ascii="Arial" w:cs="Arial" w:eastAsia="Arial" w:hAnsi="Arial"/>
          <w:sz w:val="15"/>
          <w:szCs w:val="15"/>
          <w:color w:val="auto"/>
        </w:rPr>
        <w:t>The information in this current report on Form 8-K and the exhibits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14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85"/>
        </w:trPr>
        <w:tc>
          <w:tcPr>
            <w:tcW w:w="2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Exhibit No.</w:t>
            </w:r>
          </w:p>
        </w:tc>
        <w:tc>
          <w:tcPr>
            <w:tcW w:w="2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Exhibit Description</w:t>
            </w:r>
          </w:p>
        </w:tc>
        <w:tc>
          <w:tcPr>
            <w:tcW w:w="20" w:type="dxa"/>
            <w:vAlign w:val="bottom"/>
          </w:tcPr>
          <w:p>
            <w:pPr>
              <w:spacing w:after="0"/>
              <w:rPr>
                <w:sz w:val="24"/>
                <w:szCs w:val="24"/>
                <w:color w:val="auto"/>
              </w:rPr>
            </w:pPr>
          </w:p>
        </w:tc>
      </w:tr>
      <w:tr>
        <w:trPr>
          <w:trHeight w:val="180"/>
        </w:trPr>
        <w:tc>
          <w:tcPr>
            <w:tcW w:w="1140" w:type="dxa"/>
            <w:vAlign w:val="bottom"/>
            <w:gridSpan w:val="2"/>
          </w:tcPr>
          <w:p>
            <w:pPr>
              <w:jc w:val="right"/>
              <w:ind w:right="332"/>
              <w:spacing w:after="0" w:line="180" w:lineRule="exact"/>
              <w:rPr>
                <w:sz w:val="20"/>
                <w:szCs w:val="20"/>
                <w:color w:val="auto"/>
              </w:rPr>
            </w:pPr>
            <w:r>
              <w:rPr>
                <w:rFonts w:ascii="Arial" w:cs="Arial" w:eastAsia="Arial" w:hAnsi="Arial"/>
                <w:sz w:val="18"/>
                <w:szCs w:val="18"/>
                <w:color w:val="auto"/>
              </w:rPr>
              <w:t>99.1</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40" w:type="dxa"/>
            <w:vAlign w:val="bottom"/>
            <w:gridSpan w:val="3"/>
          </w:tcPr>
          <w:p>
            <w:pPr>
              <w:spacing w:after="0" w:line="180" w:lineRule="exact"/>
              <w:rPr>
                <w:sz w:val="20"/>
                <w:szCs w:val="20"/>
                <w:color w:val="auto"/>
              </w:rPr>
            </w:pPr>
            <w:r>
              <w:rPr>
                <w:rFonts w:ascii="Arial" w:cs="Arial" w:eastAsia="Arial" w:hAnsi="Arial"/>
                <w:sz w:val="18"/>
                <w:szCs w:val="18"/>
                <w:color w:val="0000FF"/>
              </w:rPr>
              <w:t>Press Release entitled "Dropbox Announces Fiscal 2023 Second Quarter Results" dated August 3, 2023</w:t>
            </w:r>
          </w:p>
        </w:tc>
      </w:tr>
      <w:tr>
        <w:trPr>
          <w:trHeight w:val="1220"/>
        </w:trPr>
        <w:tc>
          <w:tcPr>
            <w:tcW w:w="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300" w:type="dxa"/>
            <w:vAlign w:val="bottom"/>
            <w:tcBorders>
              <w:top w:val="single" w:sz="8" w:color="0000FF"/>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50"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Dated: August 3, 2023</w:t>
      </w:r>
    </w:p>
    <w:p>
      <w:pPr>
        <w:spacing w:after="0" w:line="344"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Dropbox, Inc.</w:t>
      </w:r>
    </w:p>
    <w:p>
      <w:pPr>
        <w:spacing w:after="0" w:line="25"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/s/ Timothy J. Regan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2177415</wp:posOffset>
            </wp:positionH>
            <wp:positionV relativeFrom="paragraph">
              <wp:posOffset>11430</wp:posOffset>
            </wp:positionV>
            <wp:extent cx="27882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88285" cy="8255"/>
                    </a:xfrm>
                    <a:prstGeom prst="rect">
                      <a:avLst/>
                    </a:prstGeom>
                    <a:noFill/>
                  </pic:spPr>
                </pic:pic>
              </a:graphicData>
            </a:graphic>
          </wp:anchor>
        </w:drawing>
      </w:r>
    </w:p>
    <w:p>
      <w:pPr>
        <w:spacing w:after="0" w:line="12"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Timothy J. Regan</w:t>
      </w:r>
    </w:p>
    <w:p>
      <w:pPr>
        <w:spacing w:after="0" w:line="32"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060"/>
          </w:cols>
          <w:pgMar w:left="320" w:top="877" w:right="519" w:bottom="1440" w:gutter="0" w:footer="0" w:header="0"/>
        </w:sectPr>
      </w:pPr>
    </w:p>
    <w:bookmarkStart w:id="3" w:name="page4"/>
    <w:bookmarkEnd w:id="3"/>
    <w:p>
      <w:pPr>
        <w:ind w:left="3820"/>
        <w:spacing w:after="0"/>
        <w:rPr>
          <w:sz w:val="20"/>
          <w:szCs w:val="20"/>
          <w:color w:val="auto"/>
        </w:rPr>
      </w:pPr>
      <w:r>
        <w:rPr>
          <w:rFonts w:ascii="Arial" w:cs="Arial" w:eastAsia="Arial" w:hAnsi="Arial"/>
          <w:sz w:val="18"/>
          <w:szCs w:val="18"/>
          <w:b w:val="1"/>
          <w:bCs w:val="1"/>
          <w:color w:val="auto"/>
        </w:rPr>
        <w:t>Dropbox Announces Fiscal 2023 Second Quarter Results</w:t>
      </w: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Second Quarter Revenue of $622.5 Million, up 8.7% year-over-year; on a constant currency basis, up 11.2% year-over-year</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Net Cash Provided by Operating Activities of $187.6 Million and Free Cash Flow of $184.6 Million</w:t>
      </w:r>
    </w:p>
    <w:p>
      <w:pPr>
        <w:spacing w:after="0" w:line="22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SAN FRANCISCO, Calif. </w:t>
      </w:r>
      <w:r>
        <w:rPr>
          <w:rFonts w:ascii="Arial" w:cs="Arial" w:eastAsia="Arial" w:hAnsi="Arial"/>
          <w:sz w:val="15"/>
          <w:szCs w:val="15"/>
          <w:color w:val="auto"/>
        </w:rPr>
        <w:t>- August 3, 2023 - Dropbox, Inc. (NASDAQ: DBX), today announced financial results for its second quarter ended June 30, 2023.</w:t>
      </w:r>
    </w:p>
    <w:p>
      <w:pPr>
        <w:spacing w:after="0" w:line="285" w:lineRule="exact"/>
        <w:rPr>
          <w:sz w:val="20"/>
          <w:szCs w:val="20"/>
          <w:color w:val="auto"/>
        </w:rPr>
      </w:pPr>
    </w:p>
    <w:p>
      <w:pPr>
        <w:ind w:right="500"/>
        <w:spacing w:after="0" w:line="252" w:lineRule="auto"/>
        <w:rPr>
          <w:sz w:val="20"/>
          <w:szCs w:val="20"/>
          <w:color w:val="auto"/>
        </w:rPr>
      </w:pPr>
      <w:r>
        <w:rPr>
          <w:rFonts w:ascii="Arial" w:cs="Arial" w:eastAsia="Arial" w:hAnsi="Arial"/>
          <w:sz w:val="18"/>
          <w:szCs w:val="18"/>
          <w:color w:val="auto"/>
        </w:rPr>
        <w:t>“In Q2, we delivered a solid quarter beating our guidance across all metrics, and introduced exciting AI-powered product experiences to our customers, including Dropbox Dash and Dropbox AI,” said Co-Founder and Chief Executive Officer Drew Houston. “As we navigate this period of economic uncertainty, we remain focused on improving the product experience within core Dropbox and creating more value across workflows and AI driven capabilities.”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Fiscal 2023 Results</w:t>
      </w:r>
    </w:p>
    <w:p>
      <w:pPr>
        <w:spacing w:after="0" w:line="250" w:lineRule="exact"/>
        <w:rPr>
          <w:sz w:val="20"/>
          <w:szCs w:val="20"/>
          <w:color w:val="auto"/>
        </w:rPr>
      </w:pPr>
    </w:p>
    <w:p>
      <w:pPr>
        <w:ind w:left="640" w:right="280" w:hanging="316"/>
        <w:spacing w:after="0" w:line="282"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revenue was $622.5 million, an increase of 8.7% from the same period last year. On a constant currency basis, year-over-year growth would have been 11.2%.</w:t>
      </w:r>
      <w:r>
        <w:rPr>
          <w:rFonts w:ascii="Arial" w:cs="Arial" w:eastAsia="Arial" w:hAnsi="Arial"/>
          <w:sz w:val="22"/>
          <w:szCs w:val="22"/>
          <w:color w:val="auto"/>
          <w:vertAlign w:val="superscript"/>
        </w:rPr>
        <w:t>(1)</w:t>
      </w:r>
    </w:p>
    <w:p>
      <w:pPr>
        <w:spacing w:after="0" w:line="122" w:lineRule="exact"/>
        <w:rPr>
          <w:rFonts w:ascii="Arial" w:cs="Arial" w:eastAsia="Arial" w:hAnsi="Arial"/>
          <w:sz w:val="18"/>
          <w:szCs w:val="18"/>
          <w:color w:val="auto"/>
        </w:rPr>
      </w:pPr>
    </w:p>
    <w:p>
      <w:pPr>
        <w:ind w:left="640" w:right="120" w:hanging="316"/>
        <w:spacing w:after="0" w:line="282"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ARR ended at $2.500 billion, an increase of 7.2% from the same period last year. On a constant currency basis, Total ARR grew $32.6 million quarter-over-quarter, and year-over-year growth would have been 10.9%.</w:t>
      </w:r>
      <w:r>
        <w:rPr>
          <w:rFonts w:ascii="Arial" w:cs="Arial" w:eastAsia="Arial" w:hAnsi="Arial"/>
          <w:sz w:val="22"/>
          <w:szCs w:val="22"/>
          <w:color w:val="auto"/>
          <w:vertAlign w:val="superscript"/>
        </w:rPr>
        <w:t>(2)</w:t>
      </w:r>
    </w:p>
    <w:p>
      <w:pPr>
        <w:spacing w:after="0" w:line="122" w:lineRule="exact"/>
        <w:rPr>
          <w:rFonts w:ascii="Arial" w:cs="Arial" w:eastAsia="Arial" w:hAnsi="Arial"/>
          <w:sz w:val="18"/>
          <w:szCs w:val="18"/>
          <w:color w:val="auto"/>
        </w:rPr>
      </w:pPr>
    </w:p>
    <w:p>
      <w:pPr>
        <w:ind w:left="640" w:right="260" w:hanging="316"/>
        <w:spacing w:after="0" w:line="265"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Paying users ended at 18.04 million, as compared to 17.37 million for the same period last year. Average revenue per paying user was $138.94, as compared to $133.34 for the same period last year.</w:t>
      </w:r>
    </w:p>
    <w:p>
      <w:pPr>
        <w:spacing w:after="0" w:line="206" w:lineRule="exact"/>
        <w:rPr>
          <w:rFonts w:ascii="Arial" w:cs="Arial" w:eastAsia="Arial" w:hAnsi="Arial"/>
          <w:sz w:val="18"/>
          <w:szCs w:val="18"/>
          <w:color w:val="auto"/>
        </w:rPr>
      </w:pPr>
    </w:p>
    <w:p>
      <w:pPr>
        <w:ind w:left="640" w:hanging="316"/>
        <w:spacing w:after="0" w:line="265"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GAAP gross margin was 80.7%, as compared to 81.5% for the same period last year. Non-GAAP gross margin was 82.7%, as compared to 83.0% for the same period last year.</w:t>
      </w:r>
    </w:p>
    <w:p>
      <w:pPr>
        <w:spacing w:after="0" w:line="206" w:lineRule="exact"/>
        <w:rPr>
          <w:rFonts w:ascii="Arial" w:cs="Arial" w:eastAsia="Arial" w:hAnsi="Arial"/>
          <w:sz w:val="18"/>
          <w:szCs w:val="18"/>
          <w:color w:val="auto"/>
        </w:rPr>
      </w:pPr>
    </w:p>
    <w:p>
      <w:pPr>
        <w:ind w:left="640" w:right="120" w:hanging="316"/>
        <w:spacing w:after="0" w:line="277" w:lineRule="auto"/>
        <w:tabs>
          <w:tab w:leader="none" w:pos="640" w:val="left"/>
        </w:tabs>
        <w:numPr>
          <w:ilvl w:val="0"/>
          <w:numId w:val="2"/>
        </w:numPr>
        <w:rPr>
          <w:rFonts w:ascii="Arial" w:cs="Arial" w:eastAsia="Arial" w:hAnsi="Arial"/>
          <w:sz w:val="17"/>
          <w:szCs w:val="17"/>
          <w:color w:val="auto"/>
        </w:rPr>
      </w:pPr>
      <w:r>
        <w:rPr>
          <w:rFonts w:ascii="Arial" w:cs="Arial" w:eastAsia="Arial" w:hAnsi="Arial"/>
          <w:sz w:val="17"/>
          <w:szCs w:val="17"/>
          <w:color w:val="auto"/>
        </w:rPr>
        <w:t>GAAP operating margin was 9.1%, as compared to 14.5% for the same period last year, with such change partially due to $37.5 million in expenses related to the Company's reduction in workforce, such as severance, benefits and other related items, which were incurred in the second quarter of 2023. Non-GAAP operating margin was 34.2%, as compared to 31.9% for the same period last year.</w:t>
      </w:r>
    </w:p>
    <w:p>
      <w:pPr>
        <w:spacing w:after="0" w:line="198" w:lineRule="exact"/>
        <w:rPr>
          <w:rFonts w:ascii="Arial" w:cs="Arial" w:eastAsia="Arial" w:hAnsi="Arial"/>
          <w:sz w:val="17"/>
          <w:szCs w:val="17"/>
          <w:color w:val="auto"/>
        </w:rPr>
      </w:pPr>
    </w:p>
    <w:p>
      <w:pPr>
        <w:jc w:val="both"/>
        <w:ind w:left="640" w:right="700" w:hanging="316"/>
        <w:spacing w:after="0" w:line="255"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GAAP net income was $43.2 million, as compared to $62.0 million for the same period last year due to expenses related to the reduction in workforce in the second quarter of 2023, such as severance, benefits and other related items. Non-GAAP net income was $174.0 million, as compared to $138.1 million for the same period last year.</w:t>
      </w:r>
    </w:p>
    <w:p>
      <w:pPr>
        <w:spacing w:after="0" w:line="215" w:lineRule="exact"/>
        <w:rPr>
          <w:rFonts w:ascii="Arial" w:cs="Arial" w:eastAsia="Arial" w:hAnsi="Arial"/>
          <w:sz w:val="18"/>
          <w:szCs w:val="18"/>
          <w:color w:val="auto"/>
        </w:rPr>
      </w:pPr>
    </w:p>
    <w:p>
      <w:pPr>
        <w:jc w:val="both"/>
        <w:ind w:left="640" w:hanging="316"/>
        <w:spacing w:after="0" w:line="229" w:lineRule="auto"/>
        <w:tabs>
          <w:tab w:leader="none" w:pos="640" w:val="left"/>
        </w:tabs>
        <w:numPr>
          <w:ilvl w:val="0"/>
          <w:numId w:val="2"/>
        </w:numPr>
        <w:rPr>
          <w:rFonts w:ascii="Arial" w:cs="Arial" w:eastAsia="Arial" w:hAnsi="Arial"/>
          <w:sz w:val="23"/>
          <w:szCs w:val="23"/>
          <w:color w:val="auto"/>
          <w:vertAlign w:val="superscript"/>
        </w:rPr>
      </w:pPr>
      <w:r>
        <w:rPr>
          <w:rFonts w:ascii="Arial" w:cs="Arial" w:eastAsia="Arial" w:hAnsi="Arial"/>
          <w:sz w:val="18"/>
          <w:szCs w:val="18"/>
          <w:color w:val="auto"/>
        </w:rPr>
        <w:t>Net cash provided by operating activities was $187.6 million, as compared to $209.9 million for the same period last year. Free cash flow was $184.6 million, as compared to $205.9 million for the same period last year. Cash flows in the second quarter of 2023 included $34.0 million of expenditures relating to the reduction in workforce.</w:t>
      </w:r>
    </w:p>
    <w:p>
      <w:pPr>
        <w:spacing w:after="0" w:line="228" w:lineRule="exact"/>
        <w:rPr>
          <w:rFonts w:ascii="Arial" w:cs="Arial" w:eastAsia="Arial" w:hAnsi="Arial"/>
          <w:sz w:val="23"/>
          <w:szCs w:val="23"/>
          <w:color w:val="auto"/>
          <w:vertAlign w:val="superscript"/>
        </w:rPr>
      </w:pPr>
    </w:p>
    <w:p>
      <w:pPr>
        <w:ind w:left="640" w:right="160" w:hanging="316"/>
        <w:spacing w:after="0" w:line="335" w:lineRule="auto"/>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GAAP diluted net income per share attributable to common stockholders was $0.13, as compared to $0.17 in the same period last year. Non-GAAP diluted net income per share attributable to common stockholders was $0.51, as compared to $0.38 in the same period last year.</w:t>
      </w:r>
      <w:r>
        <w:rPr>
          <w:rFonts w:ascii="Arial" w:cs="Arial" w:eastAsia="Arial" w:hAnsi="Arial"/>
          <w:sz w:val="20"/>
          <w:szCs w:val="20"/>
          <w:color w:val="auto"/>
          <w:vertAlign w:val="superscript"/>
        </w:rPr>
        <w:t>(3)</w:t>
      </w:r>
    </w:p>
    <w:p>
      <w:pPr>
        <w:spacing w:after="0" w:line="85" w:lineRule="exact"/>
        <w:rPr>
          <w:rFonts w:ascii="Arial" w:cs="Arial" w:eastAsia="Arial" w:hAnsi="Arial"/>
          <w:sz w:val="16"/>
          <w:szCs w:val="16"/>
          <w:color w:val="auto"/>
        </w:rPr>
      </w:pPr>
    </w:p>
    <w:p>
      <w:pPr>
        <w:ind w:left="640" w:hanging="316"/>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Cash, cash equivalents and short-term investments ended at $1.228 billion.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Authorization</w:t>
      </w:r>
    </w:p>
    <w:p>
      <w:pPr>
        <w:spacing w:after="0" w:line="250" w:lineRule="exact"/>
        <w:rPr>
          <w:sz w:val="20"/>
          <w:szCs w:val="20"/>
          <w:color w:val="auto"/>
        </w:rPr>
      </w:pPr>
    </w:p>
    <w:p>
      <w:pPr>
        <w:ind w:left="640" w:right="40" w:hanging="316"/>
        <w:spacing w:after="0" w:line="330" w:lineRule="auto"/>
        <w:tabs>
          <w:tab w:leader="none" w:pos="640" w:val="left"/>
        </w:tabs>
        <w:numPr>
          <w:ilvl w:val="1"/>
          <w:numId w:val="3"/>
        </w:numPr>
        <w:rPr>
          <w:rFonts w:ascii="Arial" w:cs="Arial" w:eastAsia="Arial" w:hAnsi="Arial"/>
          <w:sz w:val="15"/>
          <w:szCs w:val="15"/>
          <w:color w:val="auto"/>
        </w:rPr>
      </w:pPr>
      <w:r>
        <w:rPr>
          <w:rFonts w:ascii="Arial" w:cs="Arial" w:eastAsia="Arial" w:hAnsi="Arial"/>
          <w:sz w:val="15"/>
          <w:szCs w:val="15"/>
          <w:color w:val="auto"/>
        </w:rPr>
        <w:t>On July 26, 2023, the Board of Directors authorized Dropbox to repurchase an additional $1.2 billion of its Class A common stock. Repurchases will be made from time-to-time, subject to general business and market conditions, other investment opportunities and applicable legal requirements. Repurchases may be made through open market purchases or in privately negotiated transactions, including through Rule 10b5-1 plans.</w:t>
      </w:r>
    </w:p>
    <w:p>
      <w:pPr>
        <w:spacing w:after="0" w:line="163" w:lineRule="exact"/>
        <w:rPr>
          <w:rFonts w:ascii="Arial" w:cs="Arial" w:eastAsia="Arial" w:hAnsi="Arial"/>
          <w:sz w:val="15"/>
          <w:szCs w:val="15"/>
          <w:color w:val="auto"/>
        </w:rPr>
      </w:pPr>
    </w:p>
    <w:p>
      <w:pPr>
        <w:ind w:left="160" w:hanging="154"/>
        <w:spacing w:after="0"/>
        <w:tabs>
          <w:tab w:leader="none" w:pos="160"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We calculate constant currency revenue growth rates by applying the prior period weighted average exchange rates to current period results.</w:t>
      </w:r>
    </w:p>
    <w:p>
      <w:pPr>
        <w:spacing w:after="0" w:line="220" w:lineRule="exact"/>
        <w:rPr>
          <w:rFonts w:ascii="Arial" w:cs="Arial" w:eastAsia="Arial" w:hAnsi="Arial"/>
          <w:sz w:val="18"/>
          <w:szCs w:val="18"/>
          <w:color w:val="auto"/>
          <w:vertAlign w:val="superscript"/>
        </w:rPr>
      </w:pPr>
    </w:p>
    <w:p>
      <w:pPr>
        <w:ind w:right="160" w:firstLine="6"/>
        <w:spacing w:after="0" w:line="305" w:lineRule="auto"/>
        <w:tabs>
          <w:tab w:leader="none" w:pos="146" w:val="left"/>
        </w:tabs>
        <w:numPr>
          <w:ilvl w:val="0"/>
          <w:numId w:val="3"/>
        </w:numPr>
        <w:rPr>
          <w:rFonts w:ascii="Arial" w:cs="Arial" w:eastAsia="Arial" w:hAnsi="Arial"/>
          <w:sz w:val="17"/>
          <w:szCs w:val="17"/>
          <w:color w:val="auto"/>
          <w:vertAlign w:val="superscript"/>
        </w:rPr>
      </w:pPr>
      <w:r>
        <w:rPr>
          <w:rFonts w:ascii="Arial" w:cs="Arial" w:eastAsia="Arial" w:hAnsi="Arial"/>
          <w:sz w:val="13"/>
          <w:szCs w:val="13"/>
          <w:color w:val="auto"/>
        </w:rPr>
        <w:t>We calculate total annual recurring revenue ("Total ARR") as the number of users who have active paid licenses for access to our platform as of the end of the period, multiplied by their annualized subscription price to our platform. We adjust our exchange rates used to calculate Total ARR on an annual basis, at the beginning of each fiscal year. We calculate constant currency Total ARR growth rates by applying the current period exchange rate to prior period results.</w:t>
      </w:r>
    </w:p>
    <w:p>
      <w:pPr>
        <w:sectPr>
          <w:pgSz w:w="11900" w:h="16838" w:orient="portrait"/>
          <w:cols w:equalWidth="0" w:num="1">
            <w:col w:w="11220"/>
          </w:cols>
          <w:pgMar w:left="320" w:top="877" w:right="359" w:bottom="1440" w:gutter="0" w:footer="0" w:header="0"/>
        </w:sectPr>
      </w:pPr>
    </w:p>
    <w:bookmarkStart w:id="4" w:name="page5"/>
    <w:bookmarkEnd w:id="4"/>
    <w:p>
      <w:pPr>
        <w:ind w:left="-6" w:firstLine="6"/>
        <w:spacing w:after="0" w:line="274" w:lineRule="auto"/>
        <w:tabs>
          <w:tab w:leader="none" w:pos="156" w:val="left"/>
        </w:tabs>
        <w:numPr>
          <w:ilvl w:val="0"/>
          <w:numId w:val="4"/>
        </w:numPr>
        <w:rPr>
          <w:rFonts w:ascii="Arial" w:cs="Arial" w:eastAsia="Arial" w:hAnsi="Arial"/>
          <w:sz w:val="19"/>
          <w:szCs w:val="19"/>
          <w:color w:val="auto"/>
          <w:vertAlign w:val="superscript"/>
        </w:rPr>
      </w:pPr>
      <w:r>
        <w:rPr>
          <w:rFonts w:ascii="Arial" w:cs="Arial" w:eastAsia="Arial" w:hAnsi="Arial"/>
          <w:sz w:val="13"/>
          <w:szCs w:val="13"/>
          <w:color w:val="auto"/>
        </w:rPr>
        <w:t>GAAP and Non-GAAP diluted net income per share attributable to common stockholders is calculated based upon 343.8 million and 365.7 million diluted weighted-average shares of common stock for the three months ended June 30, 2023 and 2022, respectively.</w:t>
      </w:r>
    </w:p>
    <w:p>
      <w:pPr>
        <w:sectPr>
          <w:pgSz w:w="11900" w:h="16838" w:orient="portrait"/>
          <w:cols w:equalWidth="0" w:num="1">
            <w:col w:w="11174"/>
          </w:cols>
          <w:pgMar w:left="326" w:top="1124" w:right="3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Financial Outlook</w:t>
      </w:r>
    </w:p>
    <w:p>
      <w:pPr>
        <w:spacing w:after="0" w:line="250" w:lineRule="exact"/>
        <w:rPr>
          <w:sz w:val="20"/>
          <w:szCs w:val="20"/>
          <w:color w:val="auto"/>
        </w:rPr>
      </w:pPr>
    </w:p>
    <w:p>
      <w:pPr>
        <w:ind w:right="160"/>
        <w:spacing w:after="0" w:line="265" w:lineRule="auto"/>
        <w:rPr>
          <w:sz w:val="20"/>
          <w:szCs w:val="20"/>
          <w:color w:val="auto"/>
        </w:rPr>
      </w:pPr>
      <w:r>
        <w:rPr>
          <w:rFonts w:ascii="Arial" w:cs="Arial" w:eastAsia="Arial" w:hAnsi="Arial"/>
          <w:sz w:val="18"/>
          <w:szCs w:val="18"/>
          <w:color w:val="auto"/>
        </w:rPr>
        <w:t xml:space="preserve">Dropbox will provide forward-looking guidance in connection with this quarterly earnings announcement on its conference call, webcast, and on its investor relations website at </w:t>
      </w:r>
      <w:r>
        <w:rPr>
          <w:rFonts w:ascii="Arial" w:cs="Arial" w:eastAsia="Arial" w:hAnsi="Arial"/>
          <w:sz w:val="18"/>
          <w:szCs w:val="18"/>
          <w:u w:val="single" w:color="auto"/>
          <w:color w:val="auto"/>
        </w:rPr>
        <w:t>http://investors.dropbox.com</w:t>
      </w:r>
      <w:r>
        <w:rPr>
          <w:rFonts w:ascii="Arial" w:cs="Arial" w:eastAsia="Arial" w:hAnsi="Arial"/>
          <w:sz w:val="18"/>
          <w:szCs w:val="18"/>
          <w:color w:val="auto"/>
        </w:rPr>
        <w: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50" w:lineRule="exact"/>
        <w:rPr>
          <w:sz w:val="20"/>
          <w:szCs w:val="20"/>
          <w:color w:val="auto"/>
        </w:rPr>
      </w:pPr>
    </w:p>
    <w:p>
      <w:pPr>
        <w:ind w:right="100"/>
        <w:spacing w:after="0" w:line="265" w:lineRule="auto"/>
        <w:rPr>
          <w:sz w:val="20"/>
          <w:szCs w:val="20"/>
          <w:color w:val="auto"/>
        </w:rPr>
      </w:pPr>
      <w:r>
        <w:rPr>
          <w:rFonts w:ascii="Arial" w:cs="Arial" w:eastAsia="Arial" w:hAnsi="Arial"/>
          <w:sz w:val="18"/>
          <w:szCs w:val="18"/>
          <w:color w:val="auto"/>
        </w:rPr>
        <w:t>Dropbox plans to host a conference call today to review its second quarter financial results and to discuss its financial outlook. This call is scheduled to begin at 2:00 p.m. PT / 5:00 p.m. ET and can be accessed by using the web link at http://investors.dropbox.com.</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Upcoming Events</w:t>
      </w:r>
    </w:p>
    <w:p>
      <w:pPr>
        <w:spacing w:after="0" w:line="250" w:lineRule="exact"/>
        <w:rPr>
          <w:sz w:val="20"/>
          <w:szCs w:val="20"/>
          <w:color w:val="auto"/>
        </w:rPr>
      </w:pPr>
    </w:p>
    <w:p>
      <w:pPr>
        <w:ind w:left="640" w:right="380" w:hanging="316"/>
        <w:spacing w:after="0" w:line="265"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Drew Houston, Co-Founder and Chief Executive Officer, will be presenting at the Goldman Sachs Communacopia + Technology Conference on Tuesday, September 5th, 2023.</w:t>
      </w:r>
    </w:p>
    <w:p>
      <w:pPr>
        <w:spacing w:after="0" w:line="206" w:lineRule="exact"/>
        <w:rPr>
          <w:sz w:val="20"/>
          <w:szCs w:val="20"/>
          <w:color w:val="auto"/>
        </w:rPr>
      </w:pPr>
    </w:p>
    <w:p>
      <w:pPr>
        <w:ind w:right="340"/>
        <w:spacing w:after="0" w:line="265" w:lineRule="auto"/>
        <w:rPr>
          <w:sz w:val="20"/>
          <w:szCs w:val="20"/>
          <w:color w:val="auto"/>
        </w:rPr>
      </w:pPr>
      <w:r>
        <w:rPr>
          <w:rFonts w:ascii="Arial" w:cs="Arial" w:eastAsia="Arial" w:hAnsi="Arial"/>
          <w:sz w:val="18"/>
          <w:szCs w:val="18"/>
          <w:color w:val="auto"/>
        </w:rPr>
        <w:t>During these events, a live webcast will be accessible from the Dropbox investor relations website at http://investors.dropbox.com. Following the event, a replay will be made available at the same location.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Dropbox</w:t>
      </w:r>
    </w:p>
    <w:p>
      <w:pPr>
        <w:spacing w:after="0" w:line="25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Dropbox is the one place to keep life organized and keep work moving. With more than 700 million registered users across approximately 180 countries, we're on a mission to design a more enlightened way of working. Dropbox is headquartered in San Francisco, CA, and has employees around the world. For more information on our mission and products, visit </w:t>
      </w:r>
      <w:r>
        <w:rPr>
          <w:rFonts w:ascii="Arial" w:cs="Arial" w:eastAsia="Arial" w:hAnsi="Arial"/>
          <w:sz w:val="18"/>
          <w:szCs w:val="18"/>
          <w:u w:val="single" w:color="auto"/>
          <w:color w:val="auto"/>
        </w:rPr>
        <w:t>http://dropbox.com</w:t>
      </w:r>
      <w:r>
        <w:rPr>
          <w:rFonts w:ascii="Arial" w:cs="Arial" w:eastAsia="Arial" w:hAnsi="Arial"/>
          <w:sz w:val="18"/>
          <w:szCs w:val="18"/>
          <w:color w:val="auto"/>
        </w:rPr>
        <w: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250"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Reconciliations of non-GAAP financial measures to the most directly comparable financial results as determined in accordance with GAAP are included at the end of this press release following the accompanying financial data. For a description of these non-GAAP financial measures, including the reasons management uses each measure, please see the section of the tables titled "About Non-GAAP Financial Measures."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0" w:lineRule="exact"/>
        <w:rPr>
          <w:sz w:val="20"/>
          <w:szCs w:val="20"/>
          <w:color w:val="auto"/>
        </w:rPr>
      </w:pPr>
    </w:p>
    <w:p>
      <w:pPr>
        <w:ind w:right="40"/>
        <w:spacing w:after="0" w:line="299" w:lineRule="auto"/>
        <w:rPr>
          <w:sz w:val="20"/>
          <w:szCs w:val="20"/>
          <w:color w:val="auto"/>
        </w:rPr>
      </w:pPr>
      <w:r>
        <w:rPr>
          <w:rFonts w:ascii="Arial" w:cs="Arial" w:eastAsia="Arial" w:hAnsi="Arial"/>
          <w:sz w:val="15"/>
          <w:szCs w:val="15"/>
          <w:color w:val="auto"/>
        </w:rPr>
        <w:t>This press release contains forward-looking statements within the meaning of the Private Securities Litigation Reform Act of 1995 including, among other things, our expectations regarding distributed work trends, related market opportunities and our ability to capitalize on those opportunities. Words such as "believe," "may," "will," "estimate," "continue," "anticipate," "intend," "expect," "plans," and similar expressions are intended to identify forward-looking statements.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press release and are subject to risks, uncertainties, and assumptions including, but not limited to: (i) our ability to retain and upgrade paying users, and increase our recurring revenue; (ii) our ability to attract new users or convert registered users to paying users; (iii) our expectations regarding general economic, political, and market trends and their respective impacts on our business; (iv) impacts to our financial results and business operations as a result of pricing and packaging changes to our subscription plans; (v) our future financial performance, including trends in revenue, costs of revenue, gross profit or gross margin, operating expenses, paying users, and free cash flow; (vi) our ability to achieve or maintain profitability; (vii) our liability for any unauthorized access to our data or our users’ content, including through privacy and data security breaches; (viii) significant disruption of service on our platform or loss of content; (ix) any decline in demand for our platform or for content collaboration solutions in general; (x) changes in the interoperability of our platform across devices, operating systems, and third-party applications that we do not control; (xi) competition in our markets; (xii) our ability to respond to rapid technological changes, extend our platform, develop new features or products, or gain market acceptance for such new features or products; (xiii) our ability to improve quality and ease of adoption of our new and enhanced product experiences, features, and capabilities; (xiv) our ability to manage our growth or plan for future growth; (xv) our various acquisitions of businesses and the potential of such acquisitions to require significant management attention, disrupt our business, or dilute stockholder value; (xvi) our ability to attract, retain, integrate, and manage key and other highly qualified personnel, including as a result of our transition to a Virtual First model with an increasingly distributed workforce and in light of the recently announced reduction of our workforce; (xvii) our capital allocation plans with respect to our stock repurchase program and other investments; and (xviii) the dual class structure of our common stock and its effect of concentrating voting</w:t>
      </w:r>
    </w:p>
    <w:p>
      <w:pPr>
        <w:sectPr>
          <w:pgSz w:w="11900" w:h="16838" w:orient="portrait"/>
          <w:cols w:equalWidth="0" w:num="1">
            <w:col w:w="11240"/>
          </w:cols>
          <w:pgMar w:left="320" w:top="877" w:right="339" w:bottom="1440" w:gutter="0" w:footer="0" w:header="0"/>
        </w:sectPr>
      </w:pPr>
    </w:p>
    <w:bookmarkStart w:id="6" w:name="page7"/>
    <w:bookmarkEnd w:id="6"/>
    <w:p>
      <w:pPr>
        <w:spacing w:after="0" w:line="309" w:lineRule="auto"/>
        <w:rPr>
          <w:sz w:val="20"/>
          <w:szCs w:val="20"/>
          <w:color w:val="auto"/>
        </w:rPr>
      </w:pPr>
      <w:r>
        <w:rPr>
          <w:rFonts w:ascii="Arial" w:cs="Arial" w:eastAsia="Arial" w:hAnsi="Arial"/>
          <w:sz w:val="15"/>
          <w:szCs w:val="15"/>
          <w:color w:val="auto"/>
        </w:rPr>
        <w:t>control with certain stockholders who held our capital stock prior to the completion of our initial public offering. Further information on risks that could affect Dropbox’s results is included in our filings with the Securities and Exchange Commission ("SEC"), including our Form 10-Q for the quarter ended March 31, 2023. Additional information will be made available in our quarterly report on Form 10-Q for the quarter ended June 30, 2023 and other reports that we may file with the SEC from time to time, which could cause actual results to vary from expectations. If the risks materialize or assumptions prove incorrect, actual results could differ materially from the results implied by these forward-looking statements. Dropbox assumes no obligation to, and does not currently intend to, update any such forward-looking statements after the date of this release, except as required by applicable law.</w:t>
      </w:r>
    </w:p>
    <w:p>
      <w:pPr>
        <w:sectPr>
          <w:pgSz w:w="11900" w:h="16838" w:orient="portrait"/>
          <w:cols w:equalWidth="0" w:num="1">
            <w:col w:w="11200"/>
          </w:cols>
          <w:pgMar w:left="320" w:top="883" w:right="379" w:bottom="1440" w:gutter="0" w:footer="0" w:header="0"/>
        </w:sectPr>
      </w:pPr>
    </w:p>
    <w:bookmarkStart w:id="7" w:name="page8"/>
    <w:bookmarkEnd w:id="7"/>
    <w:p>
      <w:pPr>
        <w:jc w:val="center"/>
        <w:ind w:right="-13"/>
        <w:spacing w:after="0"/>
        <w:rPr>
          <w:sz w:val="20"/>
          <w:szCs w:val="20"/>
          <w:color w:val="auto"/>
        </w:rPr>
      </w:pPr>
      <w:r>
        <w:rPr>
          <w:rFonts w:ascii="Arial" w:cs="Arial" w:eastAsia="Arial" w:hAnsi="Arial"/>
          <w:sz w:val="21"/>
          <w:szCs w:val="21"/>
          <w:b w:val="1"/>
          <w:bCs w:val="1"/>
          <w:color w:val="auto"/>
        </w:rPr>
        <w:t>Dropbox, Inc.</w:t>
      </w:r>
    </w:p>
    <w:p>
      <w:pPr>
        <w:spacing w:after="0" w:line="35" w:lineRule="exact"/>
        <w:rPr>
          <w:sz w:val="20"/>
          <w:szCs w:val="20"/>
          <w:color w:val="auto"/>
        </w:rPr>
      </w:pPr>
    </w:p>
    <w:p>
      <w:pPr>
        <w:jc w:val="center"/>
        <w:ind w:right="-13"/>
        <w:spacing w:after="0"/>
        <w:rPr>
          <w:sz w:val="20"/>
          <w:szCs w:val="20"/>
          <w:color w:val="auto"/>
        </w:rPr>
      </w:pPr>
      <w:r>
        <w:rPr>
          <w:rFonts w:ascii="Arial" w:cs="Arial" w:eastAsia="Arial" w:hAnsi="Arial"/>
          <w:sz w:val="21"/>
          <w:szCs w:val="21"/>
          <w:b w:val="1"/>
          <w:bCs w:val="1"/>
          <w:color w:val="auto"/>
        </w:rPr>
        <w:t>Condensed Consolidated Statements of Operations</w:t>
      </w:r>
    </w:p>
    <w:p>
      <w:pPr>
        <w:spacing w:after="0" w:line="2" w:lineRule="exact"/>
        <w:rPr>
          <w:sz w:val="20"/>
          <w:szCs w:val="20"/>
          <w:color w:val="auto"/>
        </w:rPr>
      </w:pPr>
    </w:p>
    <w:p>
      <w:pPr>
        <w:jc w:val="center"/>
        <w:ind w:right="-13"/>
        <w:spacing w:after="0"/>
        <w:rPr>
          <w:sz w:val="20"/>
          <w:szCs w:val="20"/>
          <w:color w:val="auto"/>
        </w:rPr>
      </w:pPr>
      <w:r>
        <w:rPr>
          <w:rFonts w:ascii="Arial" w:cs="Arial" w:eastAsia="Arial" w:hAnsi="Arial"/>
          <w:sz w:val="18"/>
          <w:szCs w:val="18"/>
          <w:i w:val="1"/>
          <w:iCs w:val="1"/>
          <w:color w:val="auto"/>
        </w:rPr>
        <w:t>(In millions, except per share data)</w:t>
      </w:r>
    </w:p>
    <w:p>
      <w:pPr>
        <w:spacing w:after="0" w:line="3" w:lineRule="exact"/>
        <w:rPr>
          <w:sz w:val="20"/>
          <w:szCs w:val="20"/>
          <w:color w:val="auto"/>
        </w:rPr>
      </w:pPr>
    </w:p>
    <w:p>
      <w:pPr>
        <w:jc w:val="center"/>
        <w:ind w:right="-13"/>
        <w:spacing w:after="0"/>
        <w:rPr>
          <w:sz w:val="20"/>
          <w:szCs w:val="20"/>
          <w:color w:val="auto"/>
        </w:rPr>
      </w:pPr>
      <w:r>
        <w:rPr>
          <w:rFonts w:ascii="Arial" w:cs="Arial" w:eastAsia="Arial" w:hAnsi="Arial"/>
          <w:sz w:val="18"/>
          <w:szCs w:val="18"/>
          <w:i w:val="1"/>
          <w:iCs w:val="1"/>
          <w:color w:val="auto"/>
        </w:rPr>
        <w:t>(Unaudited)</w:t>
      </w:r>
    </w:p>
    <w:p>
      <w:pPr>
        <w:spacing w:after="0" w:line="91" w:lineRule="exact"/>
        <w:rPr>
          <w:sz w:val="20"/>
          <w:szCs w:val="20"/>
          <w:color w:val="auto"/>
        </w:rPr>
      </w:pPr>
    </w:p>
    <w:tbl>
      <w:tblPr>
        <w:tblLayout w:type="fixed"/>
        <w:tblInd w:w="14" w:type="dxa"/>
        <w:tblCellMar>
          <w:top w:w="0" w:type="dxa"/>
          <w:left w:w="0" w:type="dxa"/>
          <w:bottom w:w="0" w:type="dxa"/>
          <w:right w:w="0" w:type="dxa"/>
        </w:tblCellMar>
      </w:tblPr>
      <w:tr>
        <w:trPr>
          <w:trHeight w:val="207"/>
        </w:trPr>
        <w:tc>
          <w:tcPr>
            <w:tcW w:w="3760" w:type="dxa"/>
            <w:vAlign w:val="bottom"/>
          </w:tcPr>
          <w:p>
            <w:pPr>
              <w:spacing w:after="0"/>
              <w:rPr>
                <w:sz w:val="17"/>
                <w:szCs w:val="17"/>
                <w:color w:val="auto"/>
              </w:rPr>
            </w:pPr>
          </w:p>
        </w:tc>
        <w:tc>
          <w:tcPr>
            <w:tcW w:w="3080" w:type="dxa"/>
            <w:vAlign w:val="bottom"/>
            <w:gridSpan w:val="4"/>
          </w:tcPr>
          <w:p>
            <w:pPr>
              <w:jc w:val="right"/>
              <w:ind w:right="352"/>
              <w:spacing w:after="0"/>
              <w:rPr>
                <w:sz w:val="20"/>
                <w:szCs w:val="20"/>
                <w:color w:val="auto"/>
              </w:rPr>
            </w:pPr>
            <w:r>
              <w:rPr>
                <w:rFonts w:ascii="Arial" w:cs="Arial" w:eastAsia="Arial" w:hAnsi="Arial"/>
                <w:sz w:val="18"/>
                <w:szCs w:val="18"/>
                <w:b w:val="1"/>
                <w:bCs w:val="1"/>
                <w:color w:val="auto"/>
              </w:rPr>
              <w:t>Three Months Ended</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6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 Ended</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6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ind w:right="832"/>
              <w:spacing w:after="0"/>
              <w:rPr>
                <w:sz w:val="20"/>
                <w:szCs w:val="20"/>
                <w:color w:val="auto"/>
              </w:rPr>
            </w:pPr>
            <w:r>
              <w:rPr>
                <w:rFonts w:ascii="Arial" w:cs="Arial" w:eastAsia="Arial" w:hAnsi="Arial"/>
                <w:sz w:val="18"/>
                <w:szCs w:val="18"/>
                <w:b w:val="1"/>
                <w:bCs w:val="1"/>
                <w:color w:val="auto"/>
              </w:rPr>
              <w:t>June 30,</w:t>
            </w:r>
          </w:p>
        </w:tc>
        <w:tc>
          <w:tcPr>
            <w:tcW w:w="5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right"/>
              <w:ind w:right="332"/>
              <w:spacing w:after="0"/>
              <w:rPr>
                <w:sz w:val="20"/>
                <w:szCs w:val="20"/>
                <w:color w:val="auto"/>
              </w:rPr>
            </w:pPr>
            <w:r>
              <w:rPr>
                <w:rFonts w:ascii="Arial" w:cs="Arial" w:eastAsia="Arial" w:hAnsi="Arial"/>
                <w:sz w:val="18"/>
                <w:szCs w:val="18"/>
                <w:b w:val="1"/>
                <w:bCs w:val="1"/>
                <w:color w:val="auto"/>
              </w:rPr>
              <w:t>June 30,</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60" w:type="dxa"/>
            <w:vAlign w:val="bottom"/>
          </w:tcPr>
          <w:p>
            <w:pPr>
              <w:spacing w:after="0"/>
              <w:rPr>
                <w:sz w:val="19"/>
                <w:szCs w:val="19"/>
                <w:color w:val="auto"/>
              </w:rPr>
            </w:pPr>
          </w:p>
        </w:tc>
        <w:tc>
          <w:tcPr>
            <w:tcW w:w="12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2023</w:t>
            </w:r>
          </w:p>
        </w:tc>
        <w:tc>
          <w:tcPr>
            <w:tcW w:w="5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2022</w:t>
            </w:r>
          </w:p>
        </w:tc>
        <w:tc>
          <w:tcPr>
            <w:tcW w:w="5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612"/>
              <w:spacing w:after="0"/>
              <w:rPr>
                <w:sz w:val="20"/>
                <w:szCs w:val="20"/>
                <w:color w:val="auto"/>
              </w:rPr>
            </w:pPr>
            <w:r>
              <w:rPr>
                <w:rFonts w:ascii="Arial" w:cs="Arial" w:eastAsia="Arial" w:hAnsi="Arial"/>
                <w:sz w:val="18"/>
                <w:szCs w:val="18"/>
                <w:b w:val="1"/>
                <w:bCs w:val="1"/>
                <w:color w:val="auto"/>
                <w:w w:val="89"/>
              </w:rPr>
              <w:t>2022</w:t>
            </w:r>
          </w:p>
        </w:tc>
        <w:tc>
          <w:tcPr>
            <w:tcW w:w="0" w:type="dxa"/>
            <w:vAlign w:val="bottom"/>
          </w:tcPr>
          <w:p>
            <w:pPr>
              <w:spacing w:after="0"/>
              <w:rPr>
                <w:sz w:val="1"/>
                <w:szCs w:val="1"/>
                <w:color w:val="auto"/>
              </w:rPr>
            </w:pPr>
          </w:p>
        </w:tc>
      </w:tr>
      <w:tr>
        <w:trPr>
          <w:trHeight w:val="219"/>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0" w:type="dxa"/>
            <w:vAlign w:val="bottom"/>
            <w:shd w:val="clear" w:color="auto" w:fill="CCEEFF"/>
          </w:tcPr>
          <w:p>
            <w:pPr>
              <w:jc w:val="right"/>
              <w:ind w:right="992"/>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622.5</w:t>
            </w:r>
          </w:p>
        </w:tc>
        <w:tc>
          <w:tcPr>
            <w:tcW w:w="1300" w:type="dxa"/>
            <w:vAlign w:val="bottom"/>
            <w:gridSpan w:val="2"/>
            <w:shd w:val="clear" w:color="auto" w:fill="CCEEFF"/>
          </w:tcPr>
          <w:p>
            <w:pPr>
              <w:jc w:val="right"/>
              <w:ind w:right="99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572.7</w:t>
            </w:r>
          </w:p>
        </w:tc>
        <w:tc>
          <w:tcPr>
            <w:tcW w:w="54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1,233.6</w:t>
            </w:r>
          </w:p>
        </w:tc>
        <w:tc>
          <w:tcPr>
            <w:tcW w:w="80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1,135.1</w:t>
            </w:r>
          </w:p>
        </w:tc>
        <w:tc>
          <w:tcPr>
            <w:tcW w:w="0" w:type="dxa"/>
            <w:vAlign w:val="bottom"/>
          </w:tcPr>
          <w:p>
            <w:pPr>
              <w:spacing w:after="0"/>
              <w:rPr>
                <w:sz w:val="1"/>
                <w:szCs w:val="1"/>
                <w:color w:val="auto"/>
              </w:rPr>
            </w:pPr>
          </w:p>
        </w:tc>
      </w:tr>
      <w:tr>
        <w:trPr>
          <w:trHeight w:val="239"/>
        </w:trPr>
        <w:tc>
          <w:tcPr>
            <w:tcW w:w="3760" w:type="dxa"/>
            <w:vAlign w:val="bottom"/>
            <w:tcBorders>
              <w:bottom w:val="single" w:sz="8" w:color="CCEEFF"/>
            </w:tcBorders>
          </w:tcPr>
          <w:p>
            <w:pPr>
              <w:ind w:left="260"/>
              <w:spacing w:after="0" w:line="239" w:lineRule="exact"/>
              <w:rPr>
                <w:sz w:val="20"/>
                <w:szCs w:val="20"/>
                <w:color w:val="auto"/>
              </w:rPr>
            </w:pPr>
            <w:r>
              <w:rPr>
                <w:rFonts w:ascii="Arial" w:cs="Arial" w:eastAsia="Arial" w:hAnsi="Arial"/>
                <w:sz w:val="18"/>
                <w:szCs w:val="18"/>
                <w:color w:val="auto"/>
              </w:rPr>
              <w:t>Cost of revenue</w:t>
            </w:r>
            <w:r>
              <w:rPr>
                <w:rFonts w:ascii="Arial" w:cs="Arial" w:eastAsia="Arial" w:hAnsi="Arial"/>
                <w:sz w:val="22"/>
                <w:szCs w:val="22"/>
                <w:color w:val="auto"/>
                <w:vertAlign w:val="superscript"/>
              </w:rPr>
              <w:t>(1)(2)</w:t>
            </w:r>
          </w:p>
        </w:tc>
        <w:tc>
          <w:tcPr>
            <w:tcW w:w="12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w:t>
            </w:r>
          </w:p>
        </w:tc>
        <w:tc>
          <w:tcPr>
            <w:tcW w:w="12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w:t>
            </w: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236.9</w:t>
            </w:r>
          </w:p>
        </w:tc>
        <w:tc>
          <w:tcPr>
            <w:tcW w:w="12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218.7</w:t>
            </w:r>
          </w:p>
        </w:tc>
        <w:tc>
          <w:tcPr>
            <w:tcW w:w="0" w:type="dxa"/>
            <w:vAlign w:val="bottom"/>
          </w:tcPr>
          <w:p>
            <w:pPr>
              <w:spacing w:after="0"/>
              <w:rPr>
                <w:sz w:val="1"/>
                <w:szCs w:val="1"/>
                <w:color w:val="auto"/>
              </w:rPr>
            </w:pPr>
          </w:p>
        </w:tc>
      </w:tr>
      <w:tr>
        <w:trPr>
          <w:trHeight w:val="219"/>
        </w:trPr>
        <w:tc>
          <w:tcPr>
            <w:tcW w:w="376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Gross profit</w:t>
            </w:r>
          </w:p>
        </w:tc>
        <w:tc>
          <w:tcPr>
            <w:tcW w:w="1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502.4</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996.7</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916.4</w:t>
            </w:r>
          </w:p>
        </w:tc>
        <w:tc>
          <w:tcPr>
            <w:tcW w:w="0" w:type="dxa"/>
            <w:vAlign w:val="bottom"/>
          </w:tcPr>
          <w:p>
            <w:pPr>
              <w:spacing w:after="0"/>
              <w:rPr>
                <w:sz w:val="1"/>
                <w:szCs w:val="1"/>
                <w:color w:val="auto"/>
              </w:rPr>
            </w:pPr>
          </w:p>
        </w:tc>
      </w:tr>
      <w:tr>
        <w:trPr>
          <w:trHeight w:val="226"/>
        </w:trPr>
        <w:tc>
          <w:tcPr>
            <w:tcW w:w="3760" w:type="dxa"/>
            <w:vAlign w:val="bottom"/>
          </w:tcPr>
          <w:p>
            <w:pPr>
              <w:ind w:left="20"/>
              <w:spacing w:after="0" w:line="225" w:lineRule="exact"/>
              <w:rPr>
                <w:sz w:val="20"/>
                <w:szCs w:val="20"/>
                <w:color w:val="auto"/>
              </w:rPr>
            </w:pPr>
            <w:r>
              <w:rPr>
                <w:rFonts w:ascii="Arial" w:cs="Arial" w:eastAsia="Arial" w:hAnsi="Arial"/>
                <w:sz w:val="18"/>
                <w:szCs w:val="18"/>
                <w:color w:val="auto"/>
              </w:rPr>
              <w:t>Operating expenses</w:t>
            </w:r>
            <w:r>
              <w:rPr>
                <w:rFonts w:ascii="Arial" w:cs="Arial" w:eastAsia="Arial" w:hAnsi="Arial"/>
                <w:sz w:val="22"/>
                <w:szCs w:val="22"/>
                <w:color w:val="auto"/>
                <w:vertAlign w:val="superscript"/>
              </w:rPr>
              <w:t>(1)(2)</w:t>
            </w:r>
            <w:r>
              <w:rPr>
                <w:rFonts w:ascii="Arial" w:cs="Arial" w:eastAsia="Arial" w:hAnsi="Arial"/>
                <w:sz w:val="18"/>
                <w:szCs w:val="18"/>
                <w:color w:val="auto"/>
              </w:rPr>
              <w:t>:</w:t>
            </w:r>
          </w:p>
        </w:tc>
        <w:tc>
          <w:tcPr>
            <w:tcW w:w="1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12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262.8</w:t>
            </w: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498.0</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425.8</w:t>
            </w:r>
          </w:p>
        </w:tc>
        <w:tc>
          <w:tcPr>
            <w:tcW w:w="0" w:type="dxa"/>
            <w:vAlign w:val="bottom"/>
          </w:tcPr>
          <w:p>
            <w:pPr>
              <w:spacing w:after="0"/>
              <w:rPr>
                <w:sz w:val="1"/>
                <w:szCs w:val="1"/>
                <w:color w:val="auto"/>
              </w:rPr>
            </w:pPr>
          </w:p>
        </w:tc>
      </w:tr>
      <w:tr>
        <w:trPr>
          <w:trHeight w:val="225"/>
        </w:trPr>
        <w:tc>
          <w:tcPr>
            <w:tcW w:w="3760" w:type="dxa"/>
            <w:vAlign w:val="bottom"/>
          </w:tcPr>
          <w:p>
            <w:pPr>
              <w:ind w:left="220"/>
              <w:spacing w:after="0"/>
              <w:rPr>
                <w:sz w:val="20"/>
                <w:szCs w:val="20"/>
                <w:color w:val="auto"/>
              </w:rPr>
            </w:pPr>
            <w:r>
              <w:rPr>
                <w:rFonts w:ascii="Arial" w:cs="Arial" w:eastAsia="Arial" w:hAnsi="Arial"/>
                <w:sz w:val="18"/>
                <w:szCs w:val="18"/>
                <w:color w:val="auto"/>
              </w:rPr>
              <w:t>Sales and marketing</w:t>
            </w:r>
          </w:p>
        </w:tc>
        <w:tc>
          <w:tcPr>
            <w:tcW w:w="1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120.9</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105.0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240.1</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226"/>
        </w:trPr>
        <w:tc>
          <w:tcPr>
            <w:tcW w:w="3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1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39"/>
        </w:trPr>
        <w:tc>
          <w:tcPr>
            <w:tcW w:w="3760" w:type="dxa"/>
            <w:vAlign w:val="bottom"/>
            <w:tcBorders>
              <w:bottom w:val="single" w:sz="8" w:color="CCEEFF"/>
            </w:tcBorders>
          </w:tcPr>
          <w:p>
            <w:pPr>
              <w:ind w:left="220"/>
              <w:spacing w:after="0" w:line="239" w:lineRule="exact"/>
              <w:rPr>
                <w:sz w:val="20"/>
                <w:szCs w:val="20"/>
                <w:color w:val="auto"/>
              </w:rPr>
            </w:pPr>
            <w:r>
              <w:rPr>
                <w:rFonts w:ascii="Arial" w:cs="Arial" w:eastAsia="Arial" w:hAnsi="Arial"/>
                <w:sz w:val="18"/>
                <w:szCs w:val="18"/>
                <w:color w:val="auto"/>
              </w:rPr>
              <w:t>Impairment related to real estate assets</w:t>
            </w:r>
            <w:r>
              <w:rPr>
                <w:rFonts w:ascii="Arial" w:cs="Arial" w:eastAsia="Arial" w:hAnsi="Arial"/>
                <w:sz w:val="22"/>
                <w:szCs w:val="22"/>
                <w:color w:val="auto"/>
                <w:vertAlign w:val="superscript"/>
              </w:rPr>
              <w:t>(3)</w:t>
            </w:r>
          </w:p>
        </w:tc>
        <w:tc>
          <w:tcPr>
            <w:tcW w:w="12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9"/>
        </w:trPr>
        <w:tc>
          <w:tcPr>
            <w:tcW w:w="376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Total operating expenses</w:t>
            </w:r>
          </w:p>
        </w:tc>
        <w:tc>
          <w:tcPr>
            <w:tcW w:w="12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445.9</w:t>
            </w:r>
          </w:p>
        </w:tc>
        <w:tc>
          <w:tcPr>
            <w:tcW w:w="12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384.0</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856.1</w:t>
            </w:r>
          </w:p>
        </w:tc>
        <w:tc>
          <w:tcPr>
            <w:tcW w:w="1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744.0</w:t>
            </w:r>
          </w:p>
        </w:tc>
        <w:tc>
          <w:tcPr>
            <w:tcW w:w="0" w:type="dxa"/>
            <w:vAlign w:val="bottom"/>
          </w:tcPr>
          <w:p>
            <w:pPr>
              <w:spacing w:after="0"/>
              <w:rPr>
                <w:sz w:val="1"/>
                <w:szCs w:val="1"/>
                <w:color w:val="auto"/>
              </w:rPr>
            </w:pPr>
          </w:p>
        </w:tc>
      </w:tr>
      <w:tr>
        <w:trPr>
          <w:trHeight w:val="218"/>
        </w:trPr>
        <w:tc>
          <w:tcPr>
            <w:tcW w:w="3760" w:type="dxa"/>
            <w:vAlign w:val="bottom"/>
          </w:tcPr>
          <w:p>
            <w:pPr>
              <w:ind w:left="20"/>
              <w:spacing w:after="0" w:line="205" w:lineRule="exact"/>
              <w:rPr>
                <w:sz w:val="20"/>
                <w:szCs w:val="20"/>
                <w:color w:val="auto"/>
              </w:rPr>
            </w:pPr>
            <w:r>
              <w:rPr>
                <w:rFonts w:ascii="Arial" w:cs="Arial" w:eastAsia="Arial" w:hAnsi="Arial"/>
                <w:sz w:val="18"/>
                <w:szCs w:val="18"/>
                <w:color w:val="auto"/>
              </w:rPr>
              <w:t>Income from operations</w:t>
            </w:r>
          </w:p>
        </w:tc>
        <w:tc>
          <w:tcPr>
            <w:tcW w:w="1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56.5</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140.6</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172.4</w:t>
            </w:r>
          </w:p>
        </w:tc>
        <w:tc>
          <w:tcPr>
            <w:tcW w:w="0" w:type="dxa"/>
            <w:vAlign w:val="bottom"/>
          </w:tcPr>
          <w:p>
            <w:pPr>
              <w:spacing w:after="0"/>
              <w:rPr>
                <w:sz w:val="1"/>
                <w:szCs w:val="1"/>
                <w:color w:val="auto"/>
              </w:rPr>
            </w:pPr>
          </w:p>
        </w:tc>
      </w:tr>
      <w:tr>
        <w:trPr>
          <w:trHeight w:val="239"/>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(expense), net</w:t>
            </w:r>
          </w:p>
        </w:tc>
        <w:tc>
          <w:tcPr>
            <w:tcW w:w="12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5"/>
        </w:trPr>
        <w:tc>
          <w:tcPr>
            <w:tcW w:w="3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net</w:t>
            </w:r>
          </w:p>
        </w:tc>
        <w:tc>
          <w:tcPr>
            <w:tcW w:w="1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9"/>
        </w:trPr>
        <w:tc>
          <w:tcPr>
            <w:tcW w:w="376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Income before income taxes</w:t>
            </w:r>
          </w:p>
        </w:tc>
        <w:tc>
          <w:tcPr>
            <w:tcW w:w="1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w:t>
            </w:r>
          </w:p>
        </w:tc>
        <w:tc>
          <w:tcPr>
            <w:tcW w:w="0" w:type="dxa"/>
            <w:vAlign w:val="bottom"/>
          </w:tcPr>
          <w:p>
            <w:pPr>
              <w:spacing w:after="0"/>
              <w:rPr>
                <w:sz w:val="1"/>
                <w:szCs w:val="1"/>
                <w:color w:val="auto"/>
              </w:rPr>
            </w:pPr>
          </w:p>
        </w:tc>
      </w:tr>
      <w:tr>
        <w:trPr>
          <w:trHeight w:val="232"/>
        </w:trPr>
        <w:tc>
          <w:tcPr>
            <w:tcW w:w="3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12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45"/>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00" w:type="dxa"/>
            <w:vAlign w:val="bottom"/>
            <w:tcBorders>
              <w:bottom w:val="single" w:sz="8" w:color="auto"/>
            </w:tcBorders>
            <w:shd w:val="clear" w:color="auto" w:fill="CCEEFF"/>
          </w:tcPr>
          <w:p>
            <w:pPr>
              <w:jc w:val="right"/>
              <w:ind w:right="992"/>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992"/>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9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0" w:type="dxa"/>
            <w:vAlign w:val="bottom"/>
          </w:tcPr>
          <w:p>
            <w:pPr>
              <w:spacing w:after="0"/>
              <w:rPr>
                <w:sz w:val="1"/>
                <w:szCs w:val="1"/>
                <w:color w:val="auto"/>
              </w:rPr>
            </w:pPr>
          </w:p>
        </w:tc>
      </w:tr>
      <w:tr>
        <w:trPr>
          <w:trHeight w:val="20"/>
        </w:trPr>
        <w:tc>
          <w:tcPr>
            <w:tcW w:w="3760" w:type="dxa"/>
            <w:vAlign w:val="bottom"/>
            <w:vMerge w:val="restart"/>
          </w:tcPr>
          <w:p>
            <w:pPr>
              <w:ind w:left="20"/>
              <w:spacing w:after="0"/>
              <w:rPr>
                <w:sz w:val="20"/>
                <w:szCs w:val="20"/>
                <w:color w:val="auto"/>
              </w:rPr>
            </w:pPr>
            <w:r>
              <w:rPr>
                <w:rFonts w:ascii="Arial" w:cs="Arial" w:eastAsia="Arial" w:hAnsi="Arial"/>
                <w:sz w:val="18"/>
                <w:szCs w:val="18"/>
                <w:color w:val="auto"/>
              </w:rPr>
              <w:t>Basic net income per share</w:t>
            </w:r>
          </w:p>
        </w:tc>
        <w:tc>
          <w:tcPr>
            <w:tcW w:w="1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760" w:type="dxa"/>
            <w:vAlign w:val="bottom"/>
            <w:vMerge w:val="continue"/>
          </w:tcPr>
          <w:p>
            <w:pPr>
              <w:spacing w:after="0"/>
              <w:rPr>
                <w:sz w:val="17"/>
                <w:szCs w:val="17"/>
                <w:color w:val="auto"/>
              </w:rPr>
            </w:pPr>
          </w:p>
        </w:tc>
        <w:tc>
          <w:tcPr>
            <w:tcW w:w="1200" w:type="dxa"/>
            <w:vAlign w:val="bottom"/>
          </w:tcPr>
          <w:p>
            <w:pPr>
              <w:jc w:val="right"/>
              <w:ind w:right="992"/>
              <w:spacing w:after="0" w:line="199" w:lineRule="exact"/>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line="199" w:lineRule="exact"/>
              <w:rPr>
                <w:sz w:val="20"/>
                <w:szCs w:val="20"/>
                <w:color w:val="auto"/>
              </w:rPr>
            </w:pPr>
            <w:r>
              <w:rPr>
                <w:rFonts w:ascii="Arial" w:cs="Arial" w:eastAsia="Arial" w:hAnsi="Arial"/>
                <w:sz w:val="18"/>
                <w:szCs w:val="18"/>
                <w:color w:val="auto"/>
              </w:rPr>
              <w:t>0.13</w:t>
            </w:r>
          </w:p>
        </w:tc>
        <w:tc>
          <w:tcPr>
            <w:tcW w:w="1300" w:type="dxa"/>
            <w:vAlign w:val="bottom"/>
            <w:gridSpan w:val="2"/>
          </w:tcPr>
          <w:p>
            <w:pPr>
              <w:jc w:val="right"/>
              <w:ind w:right="992"/>
              <w:spacing w:after="0" w:line="199"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199" w:lineRule="exact"/>
              <w:rPr>
                <w:sz w:val="20"/>
                <w:szCs w:val="20"/>
                <w:color w:val="auto"/>
              </w:rPr>
            </w:pPr>
            <w:r>
              <w:rPr>
                <w:rFonts w:ascii="Arial" w:cs="Arial" w:eastAsia="Arial" w:hAnsi="Arial"/>
                <w:sz w:val="18"/>
                <w:szCs w:val="18"/>
                <w:color w:val="auto"/>
              </w:rPr>
              <w:t>0.17</w:t>
            </w:r>
          </w:p>
        </w:tc>
        <w:tc>
          <w:tcPr>
            <w:tcW w:w="540" w:type="dxa"/>
            <w:vAlign w:val="bottom"/>
            <w:gridSpan w:val="2"/>
          </w:tcPr>
          <w:p>
            <w:pPr>
              <w:jc w:val="right"/>
              <w:ind w:right="232"/>
              <w:spacing w:after="0" w:line="199"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199" w:lineRule="exact"/>
              <w:rPr>
                <w:sz w:val="20"/>
                <w:szCs w:val="20"/>
                <w:color w:val="auto"/>
              </w:rPr>
            </w:pPr>
            <w:r>
              <w:rPr>
                <w:rFonts w:ascii="Arial" w:cs="Arial" w:eastAsia="Arial" w:hAnsi="Arial"/>
                <w:sz w:val="18"/>
                <w:szCs w:val="18"/>
                <w:color w:val="auto"/>
              </w:rPr>
              <w:t>0.33</w:t>
            </w:r>
          </w:p>
        </w:tc>
        <w:tc>
          <w:tcPr>
            <w:tcW w:w="800" w:type="dxa"/>
            <w:vAlign w:val="bottom"/>
            <w:gridSpan w:val="2"/>
          </w:tcPr>
          <w:p>
            <w:pPr>
              <w:jc w:val="right"/>
              <w:ind w:right="492"/>
              <w:spacing w:after="0" w:line="199"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99" w:lineRule="exact"/>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0"/>
        </w:trPr>
        <w:tc>
          <w:tcPr>
            <w:tcW w:w="376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376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Diluted net income per share</w:t>
            </w:r>
          </w:p>
        </w:tc>
        <w:tc>
          <w:tcPr>
            <w:tcW w:w="1200" w:type="dxa"/>
            <w:vAlign w:val="bottom"/>
            <w:shd w:val="clear" w:color="auto" w:fill="CCEEFF"/>
          </w:tcPr>
          <w:p>
            <w:pPr>
              <w:jc w:val="right"/>
              <w:ind w:right="992"/>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300" w:type="dxa"/>
            <w:vAlign w:val="bottom"/>
            <w:gridSpan w:val="2"/>
            <w:shd w:val="clear" w:color="auto" w:fill="CCEEFF"/>
          </w:tcPr>
          <w:p>
            <w:pPr>
              <w:jc w:val="right"/>
              <w:ind w:right="99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54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80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bottom w:val="single" w:sz="8" w:color="CCEEFF"/>
            </w:tcBorders>
            <w:vMerge w:val="restart"/>
          </w:tcPr>
          <w:p>
            <w:pPr>
              <w:ind w:left="20"/>
              <w:spacing w:after="0" w:line="167" w:lineRule="exact"/>
              <w:rPr>
                <w:sz w:val="20"/>
                <w:szCs w:val="20"/>
                <w:color w:val="auto"/>
              </w:rPr>
            </w:pPr>
            <w:r>
              <w:rPr>
                <w:rFonts w:ascii="Arial" w:cs="Arial" w:eastAsia="Arial" w:hAnsi="Arial"/>
                <w:sz w:val="18"/>
                <w:szCs w:val="18"/>
                <w:color w:val="auto"/>
                <w:w w:val="96"/>
              </w:rPr>
              <w:t>Weighted-average shares used in computing net</w:t>
            </w: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760" w:type="dxa"/>
            <w:vAlign w:val="bottom"/>
            <w:vMerge w:val="continue"/>
          </w:tcPr>
          <w:p>
            <w:pPr>
              <w:spacing w:after="0"/>
              <w:rPr>
                <w:sz w:val="11"/>
                <w:szCs w:val="11"/>
                <w:color w:val="auto"/>
              </w:rPr>
            </w:pPr>
          </w:p>
        </w:tc>
        <w:tc>
          <w:tcPr>
            <w:tcW w:w="1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3760" w:type="dxa"/>
            <w:vAlign w:val="bottom"/>
          </w:tcPr>
          <w:p>
            <w:pPr>
              <w:ind w:left="180"/>
              <w:spacing w:after="0" w:line="172" w:lineRule="exact"/>
              <w:rPr>
                <w:sz w:val="20"/>
                <w:szCs w:val="20"/>
                <w:color w:val="auto"/>
              </w:rPr>
            </w:pPr>
            <w:r>
              <w:rPr>
                <w:rFonts w:ascii="Arial" w:cs="Arial" w:eastAsia="Arial" w:hAnsi="Arial"/>
                <w:sz w:val="18"/>
                <w:szCs w:val="18"/>
                <w:color w:val="auto"/>
              </w:rPr>
              <w:t>income per share attributable to common</w:t>
            </w:r>
          </w:p>
        </w:tc>
        <w:tc>
          <w:tcPr>
            <w:tcW w:w="120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341.4</w:t>
            </w: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364.1</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344.2</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367.4</w:t>
            </w:r>
          </w:p>
        </w:tc>
        <w:tc>
          <w:tcPr>
            <w:tcW w:w="0" w:type="dxa"/>
            <w:vAlign w:val="bottom"/>
          </w:tcPr>
          <w:p>
            <w:pPr>
              <w:spacing w:after="0"/>
              <w:rPr>
                <w:sz w:val="1"/>
                <w:szCs w:val="1"/>
                <w:color w:val="auto"/>
              </w:rPr>
            </w:pPr>
          </w:p>
        </w:tc>
      </w:tr>
      <w:tr>
        <w:trPr>
          <w:trHeight w:val="211"/>
        </w:trPr>
        <w:tc>
          <w:tcPr>
            <w:tcW w:w="3760" w:type="dxa"/>
            <w:vAlign w:val="bottom"/>
          </w:tcPr>
          <w:p>
            <w:pPr>
              <w:ind w:left="180"/>
              <w:spacing w:after="0"/>
              <w:rPr>
                <w:sz w:val="20"/>
                <w:szCs w:val="20"/>
                <w:color w:val="auto"/>
              </w:rPr>
            </w:pPr>
            <w:r>
              <w:rPr>
                <w:rFonts w:ascii="Arial" w:cs="Arial" w:eastAsia="Arial" w:hAnsi="Arial"/>
                <w:sz w:val="18"/>
                <w:szCs w:val="18"/>
                <w:color w:val="auto"/>
              </w:rPr>
              <w:t>stockholders, basic</w:t>
            </w:r>
          </w:p>
        </w:tc>
        <w:tc>
          <w:tcPr>
            <w:tcW w:w="1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760" w:type="dxa"/>
            <w:vAlign w:val="bottom"/>
            <w:shd w:val="clear" w:color="auto" w:fill="CCEEFF"/>
          </w:tcPr>
          <w:p>
            <w:pPr>
              <w:ind w:left="20"/>
              <w:spacing w:after="0" w:line="140" w:lineRule="exact"/>
              <w:rPr>
                <w:sz w:val="20"/>
                <w:szCs w:val="20"/>
                <w:color w:val="auto"/>
              </w:rPr>
            </w:pPr>
            <w:r>
              <w:rPr>
                <w:rFonts w:ascii="Arial" w:cs="Arial" w:eastAsia="Arial" w:hAnsi="Arial"/>
                <w:sz w:val="15"/>
                <w:szCs w:val="15"/>
                <w:color w:val="auto"/>
              </w:rPr>
              <w:t>Weighted-average shares used in computing net</w:t>
            </w:r>
          </w:p>
        </w:tc>
        <w:tc>
          <w:tcPr>
            <w:tcW w:w="1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760" w:type="dxa"/>
            <w:vAlign w:val="bottom"/>
            <w:shd w:val="clear" w:color="auto" w:fill="CCEEFF"/>
          </w:tcPr>
          <w:p>
            <w:pPr>
              <w:ind w:left="180"/>
              <w:spacing w:after="0" w:line="172" w:lineRule="exact"/>
              <w:rPr>
                <w:sz w:val="20"/>
                <w:szCs w:val="20"/>
                <w:color w:val="auto"/>
              </w:rPr>
            </w:pPr>
            <w:r>
              <w:rPr>
                <w:rFonts w:ascii="Arial" w:cs="Arial" w:eastAsia="Arial" w:hAnsi="Arial"/>
                <w:sz w:val="18"/>
                <w:szCs w:val="18"/>
                <w:color w:val="auto"/>
              </w:rPr>
              <w:t>income per share attributable to common</w:t>
            </w:r>
          </w:p>
        </w:tc>
        <w:tc>
          <w:tcPr>
            <w:tcW w:w="120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343.8</w:t>
            </w: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365.7</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346.8</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369.6</w:t>
            </w:r>
          </w:p>
        </w:tc>
        <w:tc>
          <w:tcPr>
            <w:tcW w:w="0" w:type="dxa"/>
            <w:vAlign w:val="bottom"/>
          </w:tcPr>
          <w:p>
            <w:pPr>
              <w:spacing w:after="0"/>
              <w:rPr>
                <w:sz w:val="1"/>
                <w:szCs w:val="1"/>
                <w:color w:val="auto"/>
              </w:rPr>
            </w:pPr>
          </w:p>
        </w:tc>
      </w:tr>
      <w:tr>
        <w:trPr>
          <w:trHeight w:val="231"/>
        </w:trPr>
        <w:tc>
          <w:tcPr>
            <w:tcW w:w="3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stockholders, diluted</w:t>
            </w:r>
          </w:p>
        </w:tc>
        <w:tc>
          <w:tcPr>
            <w:tcW w:w="120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left="154" w:hanging="154"/>
        <w:spacing w:after="0"/>
        <w:tabs>
          <w:tab w:leader="none" w:pos="154" w:val="left"/>
        </w:tabs>
        <w:numPr>
          <w:ilvl w:val="0"/>
          <w:numId w:val="6"/>
        </w:numPr>
        <w:rPr>
          <w:rFonts w:ascii="Arial" w:cs="Arial" w:eastAsia="Arial" w:hAnsi="Arial"/>
          <w:sz w:val="18"/>
          <w:szCs w:val="18"/>
          <w:color w:val="auto"/>
          <w:vertAlign w:val="superscript"/>
        </w:rPr>
      </w:pPr>
      <w:r>
        <w:rPr>
          <w:rFonts w:ascii="Arial" w:cs="Arial" w:eastAsia="Arial" w:hAnsi="Arial"/>
          <w:sz w:val="13"/>
          <w:szCs w:val="13"/>
          <w:color w:val="auto"/>
        </w:rPr>
        <w:t>Includes stock-based compensation expense as follows (in millions):</w:t>
      </w:r>
    </w:p>
    <w:p>
      <w:pPr>
        <w:spacing w:after="0" w:line="85" w:lineRule="exact"/>
        <w:rPr>
          <w:sz w:val="20"/>
          <w:szCs w:val="20"/>
          <w:color w:val="auto"/>
        </w:rPr>
      </w:pPr>
    </w:p>
    <w:tbl>
      <w:tblPr>
        <w:tblLayout w:type="fixed"/>
        <w:tblInd w:w="34" w:type="dxa"/>
        <w:tblCellMar>
          <w:top w:w="0" w:type="dxa"/>
          <w:left w:w="0" w:type="dxa"/>
          <w:bottom w:w="0" w:type="dxa"/>
          <w:right w:w="0" w:type="dxa"/>
        </w:tblCellMar>
      </w:tblPr>
      <w:tr>
        <w:trPr>
          <w:trHeight w:val="207"/>
        </w:trPr>
        <w:tc>
          <w:tcPr>
            <w:tcW w:w="3720" w:type="dxa"/>
            <w:vAlign w:val="bottom"/>
          </w:tcPr>
          <w:p>
            <w:pPr>
              <w:spacing w:after="0"/>
              <w:rPr>
                <w:sz w:val="18"/>
                <w:szCs w:val="18"/>
                <w:color w:val="auto"/>
              </w:rPr>
            </w:pPr>
          </w:p>
        </w:tc>
        <w:tc>
          <w:tcPr>
            <w:tcW w:w="3120" w:type="dxa"/>
            <w:vAlign w:val="bottom"/>
            <w:gridSpan w:val="4"/>
          </w:tcPr>
          <w:p>
            <w:pPr>
              <w:jc w:val="center"/>
              <w:ind w:left="472"/>
              <w:spacing w:after="0"/>
              <w:rPr>
                <w:sz w:val="20"/>
                <w:szCs w:val="20"/>
                <w:color w:val="auto"/>
              </w:rPr>
            </w:pPr>
            <w:r>
              <w:rPr>
                <w:rFonts w:ascii="Arial" w:cs="Arial" w:eastAsia="Arial" w:hAnsi="Arial"/>
                <w:sz w:val="18"/>
                <w:szCs w:val="18"/>
                <w:b w:val="1"/>
                <w:bCs w:val="1"/>
                <w:color w:val="auto"/>
                <w:w w:val="89"/>
              </w:rPr>
              <w:t>Three Months Ended</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Six Months Ended</w:t>
            </w:r>
          </w:p>
        </w:tc>
        <w:tc>
          <w:tcPr>
            <w:tcW w:w="1120" w:type="dxa"/>
            <w:vAlign w:val="bottom"/>
          </w:tcPr>
          <w:p>
            <w:pPr>
              <w:spacing w:after="0"/>
              <w:rPr>
                <w:sz w:val="18"/>
                <w:szCs w:val="18"/>
                <w:color w:val="auto"/>
              </w:rPr>
            </w:pPr>
          </w:p>
        </w:tc>
      </w:tr>
      <w:tr>
        <w:trPr>
          <w:trHeight w:val="230"/>
        </w:trPr>
        <w:tc>
          <w:tcPr>
            <w:tcW w:w="372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center"/>
              <w:ind w:right="592"/>
              <w:spacing w:after="0"/>
              <w:rPr>
                <w:sz w:val="20"/>
                <w:szCs w:val="20"/>
                <w:color w:val="auto"/>
              </w:rPr>
            </w:pPr>
            <w:r>
              <w:rPr>
                <w:rFonts w:ascii="Arial" w:cs="Arial" w:eastAsia="Arial" w:hAnsi="Arial"/>
                <w:sz w:val="18"/>
                <w:szCs w:val="18"/>
                <w:b w:val="1"/>
                <w:bCs w:val="1"/>
                <w:color w:val="auto"/>
                <w:w w:val="88"/>
              </w:rPr>
              <w:t>June 30,</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5"/>
              </w:rPr>
              <w:t>June 30,</w:t>
            </w:r>
          </w:p>
        </w:tc>
        <w:tc>
          <w:tcPr>
            <w:tcW w:w="1120" w:type="dxa"/>
            <w:vAlign w:val="bottom"/>
            <w:tcBorders>
              <w:bottom w:val="single" w:sz="8" w:color="auto"/>
            </w:tcBorders>
          </w:tcPr>
          <w:p>
            <w:pPr>
              <w:spacing w:after="0"/>
              <w:rPr>
                <w:sz w:val="20"/>
                <w:szCs w:val="20"/>
                <w:color w:val="auto"/>
              </w:rPr>
            </w:pPr>
          </w:p>
        </w:tc>
      </w:tr>
      <w:tr>
        <w:trPr>
          <w:trHeight w:val="219"/>
        </w:trPr>
        <w:tc>
          <w:tcPr>
            <w:tcW w:w="3720" w:type="dxa"/>
            <w:vAlign w:val="bottom"/>
          </w:tcPr>
          <w:p>
            <w:pPr>
              <w:spacing w:after="0"/>
              <w:rPr>
                <w:sz w:val="19"/>
                <w:szCs w:val="19"/>
                <w:color w:val="auto"/>
              </w:rPr>
            </w:pP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2023</w:t>
            </w:r>
          </w:p>
        </w:tc>
        <w:tc>
          <w:tcPr>
            <w:tcW w:w="5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b w:val="1"/>
                <w:bCs w:val="1"/>
                <w:color w:val="auto"/>
                <w:w w:val="94"/>
              </w:rPr>
              <w:t>2022</w:t>
            </w:r>
          </w:p>
        </w:tc>
      </w:tr>
      <w:tr>
        <w:trPr>
          <w:trHeight w:val="232"/>
        </w:trPr>
        <w:tc>
          <w:tcPr>
            <w:tcW w:w="3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revenue</w:t>
            </w:r>
          </w:p>
        </w:tc>
        <w:tc>
          <w:tcPr>
            <w:tcW w:w="1240" w:type="dxa"/>
            <w:vAlign w:val="bottom"/>
            <w:shd w:val="clear" w:color="auto" w:fill="CCEEFF"/>
          </w:tcPr>
          <w:p>
            <w:pPr>
              <w:jc w:val="right"/>
              <w:ind w:right="1032"/>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340" w:type="dxa"/>
            <w:vAlign w:val="bottom"/>
            <w:gridSpan w:val="2"/>
            <w:shd w:val="clear" w:color="auto" w:fill="CCEEFF"/>
          </w:tcPr>
          <w:p>
            <w:pPr>
              <w:jc w:val="right"/>
              <w:ind w:right="103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0" w:type="dxa"/>
            <w:vAlign w:val="bottom"/>
            <w:gridSpan w:val="2"/>
            <w:shd w:val="clear" w:color="auto" w:fill="CCEEFF"/>
          </w:tcPr>
          <w:p>
            <w:pPr>
              <w:jc w:val="right"/>
              <w:ind w:right="91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7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26"/>
        </w:trPr>
        <w:tc>
          <w:tcPr>
            <w:tcW w:w="3720" w:type="dxa"/>
            <w:vAlign w:val="bottom"/>
          </w:tcPr>
          <w:p>
            <w:pPr>
              <w:ind w:left="220"/>
              <w:spacing w:after="0" w:line="225"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2"/>
                <w:szCs w:val="22"/>
                <w:color w:val="auto"/>
                <w:vertAlign w:val="superscript"/>
              </w:rPr>
              <w:t>(4)</w:t>
            </w:r>
          </w:p>
        </w:tc>
        <w:tc>
          <w:tcPr>
            <w:tcW w:w="1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67.4</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120.3</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109.0</w:t>
            </w:r>
          </w:p>
        </w:tc>
      </w:tr>
      <w:tr>
        <w:trPr>
          <w:trHeight w:val="226"/>
        </w:trPr>
        <w:tc>
          <w:tcPr>
            <w:tcW w:w="3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12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24"/>
        </w:trPr>
        <w:tc>
          <w:tcPr>
            <w:tcW w:w="372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1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25.5</w:t>
            </w:r>
          </w:p>
        </w:tc>
      </w:tr>
    </w:tbl>
    <w:p>
      <w:pPr>
        <w:spacing w:after="0" w:line="320" w:lineRule="exact"/>
        <w:rPr>
          <w:sz w:val="20"/>
          <w:szCs w:val="20"/>
          <w:color w:val="auto"/>
        </w:rPr>
      </w:pPr>
    </w:p>
    <w:p>
      <w:pPr>
        <w:ind w:left="154" w:hanging="154"/>
        <w:spacing w:after="0"/>
        <w:tabs>
          <w:tab w:leader="none" w:pos="154"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Includes expenses related to our reduction in workforce such as severance, benefits and other related items during the three and six months ended June 30, 2023.</w:t>
      </w:r>
    </w:p>
    <w:p>
      <w:pPr>
        <w:spacing w:after="0" w:line="230" w:lineRule="exact"/>
        <w:rPr>
          <w:rFonts w:ascii="Arial" w:cs="Arial" w:eastAsia="Arial" w:hAnsi="Arial"/>
          <w:sz w:val="18"/>
          <w:szCs w:val="18"/>
          <w:color w:val="auto"/>
          <w:vertAlign w:val="superscript"/>
        </w:rPr>
      </w:pPr>
    </w:p>
    <w:p>
      <w:pPr>
        <w:ind w:left="154" w:hanging="154"/>
        <w:spacing w:after="0"/>
        <w:tabs>
          <w:tab w:leader="none" w:pos="154"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Includes impairment charges related to real estate assets as a result of our Virtual First work model.</w:t>
      </w:r>
    </w:p>
    <w:p>
      <w:pPr>
        <w:spacing w:after="0" w:line="220" w:lineRule="exact"/>
        <w:rPr>
          <w:rFonts w:ascii="Arial" w:cs="Arial" w:eastAsia="Arial" w:hAnsi="Arial"/>
          <w:sz w:val="18"/>
          <w:szCs w:val="18"/>
          <w:color w:val="auto"/>
          <w:vertAlign w:val="superscript"/>
        </w:rPr>
      </w:pPr>
    </w:p>
    <w:p>
      <w:pPr>
        <w:ind w:left="-6" w:right="320" w:firstLine="6"/>
        <w:spacing w:after="0" w:line="311" w:lineRule="auto"/>
        <w:tabs>
          <w:tab w:leader="none" w:pos="140" w:val="left"/>
        </w:tabs>
        <w:numPr>
          <w:ilvl w:val="0"/>
          <w:numId w:val="7"/>
        </w:numPr>
        <w:rPr>
          <w:rFonts w:ascii="Arial" w:cs="Arial" w:eastAsia="Arial" w:hAnsi="Arial"/>
          <w:sz w:val="17"/>
          <w:szCs w:val="17"/>
          <w:color w:val="auto"/>
          <w:vertAlign w:val="superscript"/>
        </w:rPr>
      </w:pPr>
      <w:r>
        <w:rPr>
          <w:rFonts w:ascii="Arial" w:cs="Arial" w:eastAsia="Arial" w:hAnsi="Arial"/>
          <w:sz w:val="13"/>
          <w:szCs w:val="13"/>
          <w:color w:val="auto"/>
        </w:rPr>
        <w:t>On March 15, 2023, the Company's President resigned, resulting in the reversal of $6.7 million in stock-based compensation expense. Of the total amount reversed, $4.4 million related to expense recognized prior to January 1, 2023.</w:t>
      </w:r>
    </w:p>
    <w:p>
      <w:pPr>
        <w:sectPr>
          <w:pgSz w:w="11900" w:h="16838" w:orient="portrait"/>
          <w:cols w:equalWidth="0" w:num="1">
            <w:col w:w="11214"/>
          </w:cols>
          <w:pgMar w:left="326" w:top="881" w:right="359" w:bottom="1440" w:gutter="0" w:footer="0" w:header="0"/>
        </w:sectPr>
      </w:pPr>
    </w:p>
    <w:bookmarkStart w:id="8" w:name="page9"/>
    <w:bookmarkEnd w:id="8"/>
    <w:p>
      <w:pPr>
        <w:jc w:val="center"/>
        <w:spacing w:after="0"/>
        <w:rPr>
          <w:sz w:val="20"/>
          <w:szCs w:val="20"/>
          <w:color w:val="auto"/>
        </w:rPr>
      </w:pPr>
      <w:r>
        <w:rPr>
          <w:rFonts w:ascii="Arial" w:cs="Arial" w:eastAsia="Arial" w:hAnsi="Arial"/>
          <w:sz w:val="21"/>
          <w:szCs w:val="21"/>
          <w:b w:val="1"/>
          <w:bCs w:val="1"/>
          <w:color w:val="auto"/>
        </w:rPr>
        <w:t>Dropbox, Inc.</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Condensed Consolidated Balance Sheets</w:t>
      </w:r>
    </w:p>
    <w:p>
      <w:pPr>
        <w:spacing w:after="0" w:line="2" w:lineRule="exact"/>
        <w:rPr>
          <w:sz w:val="20"/>
          <w:szCs w:val="20"/>
          <w:color w:val="auto"/>
        </w:rPr>
      </w:pPr>
    </w:p>
    <w:p>
      <w:pPr>
        <w:ind w:left="5160"/>
        <w:spacing w:after="0"/>
        <w:rPr>
          <w:sz w:val="20"/>
          <w:szCs w:val="20"/>
          <w:color w:val="auto"/>
        </w:rPr>
      </w:pPr>
      <w:r>
        <w:rPr>
          <w:rFonts w:ascii="Arial" w:cs="Arial" w:eastAsia="Arial" w:hAnsi="Arial"/>
          <w:sz w:val="18"/>
          <w:szCs w:val="18"/>
          <w:i w:val="1"/>
          <w:iCs w:val="1"/>
          <w:color w:val="auto"/>
        </w:rPr>
        <w:t>(In millions)</w:t>
      </w:r>
    </w:p>
    <w:p>
      <w:pPr>
        <w:spacing w:after="0" w:line="3" w:lineRule="exact"/>
        <w:rPr>
          <w:sz w:val="20"/>
          <w:szCs w:val="20"/>
          <w:color w:val="auto"/>
        </w:rPr>
      </w:pPr>
    </w:p>
    <w:p>
      <w:pPr>
        <w:ind w:left="5180"/>
        <w:spacing w:after="0"/>
        <w:rPr>
          <w:sz w:val="20"/>
          <w:szCs w:val="20"/>
          <w:color w:val="auto"/>
        </w:rPr>
      </w:pPr>
      <w:r>
        <w:rPr>
          <w:rFonts w:ascii="Arial" w:cs="Arial" w:eastAsia="Arial" w:hAnsi="Arial"/>
          <w:sz w:val="18"/>
          <w:szCs w:val="18"/>
          <w:i w:val="1"/>
          <w:iCs w:val="1"/>
          <w:color w:val="auto"/>
        </w:rPr>
        <w:t>(Unaudited)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6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As of</w:t>
            </w:r>
          </w:p>
        </w:tc>
        <w:tc>
          <w:tcPr>
            <w:tcW w:w="1940" w:type="dxa"/>
            <w:vAlign w:val="bottom"/>
            <w:tcBorders>
              <w:bottom w:val="single" w:sz="8" w:color="auto"/>
            </w:tcBorders>
          </w:tcPr>
          <w:p>
            <w:pPr>
              <w:spacing w:after="0"/>
              <w:rPr>
                <w:sz w:val="20"/>
                <w:szCs w:val="20"/>
                <w:color w:val="auto"/>
              </w:rPr>
            </w:pPr>
          </w:p>
        </w:tc>
      </w:tr>
      <w:tr>
        <w:trPr>
          <w:trHeight w:val="226"/>
        </w:trPr>
        <w:tc>
          <w:tcPr>
            <w:tcW w:w="66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June 30, 2023</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w w:val="94"/>
              </w:rPr>
              <w:t>December 31, 2022</w:t>
            </w:r>
          </w:p>
        </w:tc>
      </w:tr>
      <w:tr>
        <w:trPr>
          <w:trHeight w:val="21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25"/>
        </w:trPr>
        <w:tc>
          <w:tcPr>
            <w:tcW w:w="66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39"/>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510.3</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w:t>
            </w:r>
          </w:p>
        </w:tc>
      </w:tr>
      <w:tr>
        <w:trPr>
          <w:trHeight w:val="225"/>
        </w:trPr>
        <w:tc>
          <w:tcPr>
            <w:tcW w:w="666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3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717.2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1,110.6</w:t>
            </w:r>
          </w:p>
        </w:tc>
      </w:tr>
      <w:tr>
        <w:trPr>
          <w:trHeight w:val="22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Trade and other receivables, net</w:t>
            </w:r>
          </w:p>
        </w:tc>
        <w:tc>
          <w:tcPr>
            <w:tcW w:w="36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r>
      <w:tr>
        <w:trPr>
          <w:trHeight w:val="232"/>
        </w:trPr>
        <w:tc>
          <w:tcPr>
            <w:tcW w:w="66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w:t>
            </w:r>
          </w:p>
        </w:tc>
      </w:tr>
      <w:tr>
        <w:trPr>
          <w:trHeight w:val="22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36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1,489.8</w:t>
            </w:r>
          </w:p>
        </w:tc>
      </w:tr>
      <w:tr>
        <w:trPr>
          <w:trHeight w:val="225"/>
        </w:trPr>
        <w:tc>
          <w:tcPr>
            <w:tcW w:w="666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298.5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308.4</w:t>
            </w:r>
          </w:p>
        </w:tc>
      </w:tr>
      <w:tr>
        <w:trPr>
          <w:trHeight w:val="22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w:t>
            </w:r>
          </w:p>
        </w:tc>
        <w:tc>
          <w:tcPr>
            <w:tcW w:w="36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w:t>
            </w:r>
          </w:p>
        </w:tc>
      </w:tr>
      <w:tr>
        <w:trPr>
          <w:trHeight w:val="232"/>
        </w:trPr>
        <w:tc>
          <w:tcPr>
            <w:tcW w:w="666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36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73.5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88.3</w:t>
            </w:r>
          </w:p>
        </w:tc>
      </w:tr>
      <w:tr>
        <w:trPr>
          <w:trHeight w:val="233"/>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6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402.1</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403.3</w:t>
            </w:r>
          </w:p>
        </w:tc>
      </w:tr>
      <w:tr>
        <w:trPr>
          <w:trHeight w:val="225"/>
        </w:trPr>
        <w:tc>
          <w:tcPr>
            <w:tcW w:w="666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3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491.2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498.7</w:t>
            </w:r>
          </w:p>
        </w:tc>
      </w:tr>
      <w:tr>
        <w:trPr>
          <w:trHeight w:val="23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auto"/>
            </w:tcBorders>
            <w:shd w:val="clear" w:color="auto" w:fill="CCEEFF"/>
          </w:tcPr>
          <w:p>
            <w:pPr>
              <w:spacing w:after="0"/>
              <w:rPr>
                <w:sz w:val="20"/>
                <w:szCs w:val="20"/>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w:t>
            </w:r>
          </w:p>
        </w:tc>
      </w:tr>
      <w:tr>
        <w:trPr>
          <w:trHeight w:val="218"/>
        </w:trPr>
        <w:tc>
          <w:tcPr>
            <w:tcW w:w="666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2,938.6</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3,110.1</w:t>
            </w: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r>
      <w:tr>
        <w:trPr>
          <w:trHeight w:val="193"/>
        </w:trPr>
        <w:tc>
          <w:tcPr>
            <w:tcW w:w="6660" w:type="dxa"/>
            <w:vAlign w:val="bottom"/>
            <w:shd w:val="clear" w:color="auto" w:fill="CCEEFF"/>
          </w:tcPr>
          <w:p>
            <w:pPr>
              <w:ind w:left="20"/>
              <w:spacing w:after="0" w:line="193" w:lineRule="exact"/>
              <w:rPr>
                <w:sz w:val="20"/>
                <w:szCs w:val="20"/>
                <w:color w:val="auto"/>
              </w:rPr>
            </w:pPr>
            <w:r>
              <w:rPr>
                <w:rFonts w:ascii="Arial" w:cs="Arial" w:eastAsia="Arial" w:hAnsi="Arial"/>
                <w:sz w:val="18"/>
                <w:szCs w:val="18"/>
                <w:b w:val="1"/>
                <w:bCs w:val="1"/>
                <w:color w:val="auto"/>
              </w:rPr>
              <w:t>Liabilities and stockholders' deficit</w:t>
            </w:r>
          </w:p>
        </w:tc>
        <w:tc>
          <w:tcPr>
            <w:tcW w:w="36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r>
      <w:tr>
        <w:trPr>
          <w:trHeight w:val="232"/>
        </w:trPr>
        <w:tc>
          <w:tcPr>
            <w:tcW w:w="66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33"/>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r>
      <w:tr>
        <w:trPr>
          <w:trHeight w:val="225"/>
        </w:trPr>
        <w:tc>
          <w:tcPr>
            <w:tcW w:w="6660" w:type="dxa"/>
            <w:vAlign w:val="bottom"/>
          </w:tcPr>
          <w:p>
            <w:pPr>
              <w:ind w:left="220"/>
              <w:spacing w:after="0"/>
              <w:rPr>
                <w:sz w:val="20"/>
                <w:szCs w:val="20"/>
                <w:color w:val="auto"/>
              </w:rPr>
            </w:pPr>
            <w:r>
              <w:rPr>
                <w:rFonts w:ascii="Arial" w:cs="Arial" w:eastAsia="Arial" w:hAnsi="Arial"/>
                <w:sz w:val="18"/>
                <w:szCs w:val="18"/>
                <w:color w:val="auto"/>
              </w:rPr>
              <w:t>Accrued and other current liabilities</w:t>
            </w:r>
          </w:p>
        </w:tc>
        <w:tc>
          <w:tcPr>
            <w:tcW w:w="3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151.1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139.9</w:t>
            </w:r>
          </w:p>
        </w:tc>
      </w:tr>
      <w:tr>
        <w:trPr>
          <w:trHeight w:val="239"/>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compensation and benefits</w:t>
            </w:r>
          </w:p>
        </w:tc>
        <w:tc>
          <w:tcPr>
            <w:tcW w:w="36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r>
      <w:tr>
        <w:trPr>
          <w:trHeight w:val="225"/>
        </w:trPr>
        <w:tc>
          <w:tcPr>
            <w:tcW w:w="6660" w:type="dxa"/>
            <w:vAlign w:val="bottom"/>
          </w:tcPr>
          <w:p>
            <w:pPr>
              <w:ind w:left="220"/>
              <w:spacing w:after="0"/>
              <w:rPr>
                <w:sz w:val="20"/>
                <w:szCs w:val="20"/>
                <w:color w:val="auto"/>
              </w:rPr>
            </w:pPr>
            <w:r>
              <w:rPr>
                <w:rFonts w:ascii="Arial" w:cs="Arial" w:eastAsia="Arial" w:hAnsi="Arial"/>
                <w:sz w:val="18"/>
                <w:szCs w:val="18"/>
                <w:color w:val="auto"/>
              </w:rPr>
              <w:t>Operating lease liability</w:t>
            </w:r>
          </w:p>
        </w:tc>
        <w:tc>
          <w:tcPr>
            <w:tcW w:w="3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67.4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68.9</w:t>
            </w:r>
          </w:p>
        </w:tc>
      </w:tr>
      <w:tr>
        <w:trPr>
          <w:trHeight w:val="22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Finance lease obligation</w:t>
            </w:r>
          </w:p>
        </w:tc>
        <w:tc>
          <w:tcPr>
            <w:tcW w:w="36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w:t>
            </w:r>
          </w:p>
        </w:tc>
      </w:tr>
      <w:tr>
        <w:trPr>
          <w:trHeight w:val="232"/>
        </w:trPr>
        <w:tc>
          <w:tcPr>
            <w:tcW w:w="66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Deferred revenue</w:t>
            </w:r>
          </w:p>
        </w:tc>
        <w:tc>
          <w:tcPr>
            <w:tcW w:w="3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734.5</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702.6</w:t>
            </w:r>
          </w:p>
        </w:tc>
      </w:tr>
      <w:tr>
        <w:trPr>
          <w:trHeight w:val="22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36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1,196.5</w:t>
            </w:r>
          </w:p>
        </w:tc>
      </w:tr>
      <w:tr>
        <w:trPr>
          <w:trHeight w:val="225"/>
        </w:trPr>
        <w:tc>
          <w:tcPr>
            <w:tcW w:w="6660" w:type="dxa"/>
            <w:vAlign w:val="bottom"/>
          </w:tcPr>
          <w:p>
            <w:pPr>
              <w:ind w:left="20"/>
              <w:spacing w:after="0"/>
              <w:rPr>
                <w:sz w:val="20"/>
                <w:szCs w:val="20"/>
                <w:color w:val="auto"/>
              </w:rPr>
            </w:pPr>
            <w:r>
              <w:rPr>
                <w:rFonts w:ascii="Arial" w:cs="Arial" w:eastAsia="Arial" w:hAnsi="Arial"/>
                <w:sz w:val="18"/>
                <w:szCs w:val="18"/>
                <w:color w:val="auto"/>
              </w:rPr>
              <w:t>Operating lease liability, non-current</w:t>
            </w:r>
          </w:p>
        </w:tc>
        <w:tc>
          <w:tcPr>
            <w:tcW w:w="3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553.8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585.2</w:t>
            </w:r>
          </w:p>
        </w:tc>
      </w:tr>
      <w:tr>
        <w:trPr>
          <w:trHeight w:val="23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obligation, non-current</w:t>
            </w:r>
          </w:p>
        </w:tc>
        <w:tc>
          <w:tcPr>
            <w:tcW w:w="36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w:t>
            </w:r>
          </w:p>
        </w:tc>
      </w:tr>
      <w:tr>
        <w:trPr>
          <w:trHeight w:val="225"/>
        </w:trPr>
        <w:tc>
          <w:tcPr>
            <w:tcW w:w="6660" w:type="dxa"/>
            <w:vAlign w:val="bottom"/>
          </w:tcPr>
          <w:p>
            <w:pPr>
              <w:ind w:left="20"/>
              <w:spacing w:after="0"/>
              <w:rPr>
                <w:sz w:val="20"/>
                <w:szCs w:val="20"/>
                <w:color w:val="auto"/>
              </w:rPr>
            </w:pPr>
            <w:r>
              <w:rPr>
                <w:rFonts w:ascii="Arial" w:cs="Arial" w:eastAsia="Arial" w:hAnsi="Arial"/>
                <w:sz w:val="18"/>
                <w:szCs w:val="18"/>
                <w:color w:val="auto"/>
              </w:rPr>
              <w:t>Convertible senior notes, net, non-current</w:t>
            </w:r>
          </w:p>
        </w:tc>
        <w:tc>
          <w:tcPr>
            <w:tcW w:w="3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1,375.9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1,374.0</w:t>
            </w:r>
          </w:p>
        </w:tc>
      </w:tr>
      <w:tr>
        <w:trPr>
          <w:trHeight w:val="226"/>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w:t>
            </w:r>
          </w:p>
        </w:tc>
      </w:tr>
      <w:tr>
        <w:trPr>
          <w:trHeight w:val="225"/>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3,350.5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3,419.5</w:t>
            </w:r>
          </w:p>
        </w:tc>
      </w:tr>
      <w:tr>
        <w:trPr>
          <w:trHeight w:val="22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deficit:</w:t>
            </w:r>
          </w:p>
        </w:tc>
        <w:tc>
          <w:tcPr>
            <w:tcW w:w="3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25"/>
        </w:trPr>
        <w:tc>
          <w:tcPr>
            <w:tcW w:w="6660" w:type="dxa"/>
            <w:vAlign w:val="bottom"/>
          </w:tcPr>
          <w:p>
            <w:pPr>
              <w:ind w:left="220"/>
              <w:spacing w:after="0"/>
              <w:rPr>
                <w:sz w:val="20"/>
                <w:szCs w:val="20"/>
                <w:color w:val="auto"/>
              </w:rPr>
            </w:pPr>
            <w:r>
              <w:rPr>
                <w:rFonts w:ascii="Arial" w:cs="Arial" w:eastAsia="Arial" w:hAnsi="Arial"/>
                <w:sz w:val="18"/>
                <w:szCs w:val="18"/>
                <w:color w:val="auto"/>
              </w:rPr>
              <w:t>Additional paid-in-capital</w:t>
            </w:r>
          </w:p>
        </w:tc>
        <w:tc>
          <w:tcPr>
            <w:tcW w:w="3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2,521.9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2,511.6</w:t>
            </w:r>
          </w:p>
        </w:tc>
      </w:tr>
      <w:tr>
        <w:trPr>
          <w:trHeight w:val="22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deficit</w:t>
            </w:r>
          </w:p>
        </w:tc>
        <w:tc>
          <w:tcPr>
            <w:tcW w:w="36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(2,895.6)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(2,772.1)</w:t>
            </w:r>
          </w:p>
        </w:tc>
      </w:tr>
      <w:tr>
        <w:trPr>
          <w:trHeight w:val="232"/>
        </w:trPr>
        <w:tc>
          <w:tcPr>
            <w:tcW w:w="66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w:t>
            </w:r>
          </w:p>
        </w:tc>
      </w:tr>
      <w:tr>
        <w:trPr>
          <w:trHeight w:val="22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deficit</w:t>
            </w:r>
          </w:p>
        </w:tc>
        <w:tc>
          <w:tcPr>
            <w:tcW w:w="36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(309.4)</w:t>
            </w:r>
          </w:p>
        </w:tc>
      </w:tr>
      <w:tr>
        <w:trPr>
          <w:trHeight w:val="218"/>
        </w:trPr>
        <w:tc>
          <w:tcPr>
            <w:tcW w:w="666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stockholders' deficit</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2,938.6</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3,110.1</w:t>
            </w:r>
          </w:p>
        </w:tc>
      </w:tr>
      <w:tr>
        <w:trPr>
          <w:trHeight w:val="20"/>
        </w:trPr>
        <w:tc>
          <w:tcPr>
            <w:tcW w:w="66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200"/>
          </w:cols>
          <w:pgMar w:left="340" w:top="881" w:right="359" w:bottom="1440" w:gutter="0" w:footer="0" w:header="0"/>
        </w:sectPr>
      </w:pPr>
    </w:p>
    <w:bookmarkStart w:id="9" w:name="page10"/>
    <w:bookmarkEnd w:id="9"/>
    <w:p>
      <w:pPr>
        <w:jc w:val="center"/>
        <w:spacing w:after="0"/>
        <w:rPr>
          <w:sz w:val="20"/>
          <w:szCs w:val="20"/>
          <w:color w:val="auto"/>
        </w:rPr>
      </w:pPr>
      <w:r>
        <w:rPr>
          <w:rFonts w:ascii="Arial" w:cs="Arial" w:eastAsia="Arial" w:hAnsi="Arial"/>
          <w:sz w:val="21"/>
          <w:szCs w:val="21"/>
          <w:b w:val="1"/>
          <w:bCs w:val="1"/>
          <w:color w:val="auto"/>
        </w:rPr>
        <w:t>Dropbox, Inc.</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Condensed Consolidated Statements of Cash Flows</w:t>
      </w:r>
    </w:p>
    <w:p>
      <w:pPr>
        <w:spacing w:after="0" w:line="2" w:lineRule="exact"/>
        <w:rPr>
          <w:sz w:val="20"/>
          <w:szCs w:val="20"/>
          <w:color w:val="auto"/>
        </w:rPr>
      </w:pPr>
    </w:p>
    <w:p>
      <w:pPr>
        <w:ind w:left="5180"/>
        <w:spacing w:after="0"/>
        <w:rPr>
          <w:sz w:val="20"/>
          <w:szCs w:val="20"/>
          <w:color w:val="auto"/>
        </w:rPr>
      </w:pPr>
      <w:r>
        <w:rPr>
          <w:rFonts w:ascii="Arial" w:cs="Arial" w:eastAsia="Arial" w:hAnsi="Arial"/>
          <w:sz w:val="18"/>
          <w:szCs w:val="18"/>
          <w:i w:val="1"/>
          <w:iCs w:val="1"/>
          <w:color w:val="auto"/>
        </w:rPr>
        <w:t>(In millions)</w:t>
      </w:r>
    </w:p>
    <w:p>
      <w:pPr>
        <w:spacing w:after="0" w:line="3" w:lineRule="exact"/>
        <w:rPr>
          <w:sz w:val="20"/>
          <w:szCs w:val="20"/>
          <w:color w:val="auto"/>
        </w:rPr>
      </w:pPr>
    </w:p>
    <w:p>
      <w:pPr>
        <w:ind w:left="5200"/>
        <w:spacing w:after="0"/>
        <w:rPr>
          <w:sz w:val="20"/>
          <w:szCs w:val="20"/>
          <w:color w:val="auto"/>
        </w:rPr>
      </w:pPr>
      <w:r>
        <w:rPr>
          <w:rFonts w:ascii="Arial" w:cs="Arial" w:eastAsia="Arial" w:hAnsi="Arial"/>
          <w:sz w:val="18"/>
          <w:szCs w:val="18"/>
          <w:i w:val="1"/>
          <w:iCs w:val="1"/>
          <w:color w:val="auto"/>
        </w:rPr>
        <w:t>(Unaudited)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gridSpan w:val="4"/>
          </w:tcPr>
          <w:p>
            <w:pPr>
              <w:jc w:val="right"/>
              <w:ind w:right="220"/>
              <w:spacing w:after="0"/>
              <w:rPr>
                <w:sz w:val="20"/>
                <w:szCs w:val="20"/>
                <w:color w:val="auto"/>
              </w:rPr>
            </w:pPr>
            <w:r>
              <w:rPr>
                <w:rFonts w:ascii="Arial" w:cs="Arial" w:eastAsia="Arial" w:hAnsi="Arial"/>
                <w:sz w:val="16"/>
                <w:szCs w:val="16"/>
                <w:b w:val="1"/>
                <w:bCs w:val="1"/>
                <w:color w:val="auto"/>
                <w:w w:val="96"/>
              </w:rPr>
              <w:t>Three Months Ended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gridSpan w:val="4"/>
          </w:tcPr>
          <w:p>
            <w:pPr>
              <w:jc w:val="right"/>
              <w:ind w:right="320"/>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70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June 30,</w:t>
            </w:r>
          </w:p>
        </w:tc>
        <w:tc>
          <w:tcPr>
            <w:tcW w:w="6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June 30,</w:t>
            </w:r>
          </w:p>
        </w:tc>
        <w:tc>
          <w:tcPr>
            <w:tcW w:w="700" w:type="dxa"/>
            <w:vAlign w:val="bottom"/>
            <w:tcBorders>
              <w:bottom w:val="single" w:sz="8" w:color="auto"/>
            </w:tcBorders>
          </w:tcPr>
          <w:p>
            <w:pPr>
              <w:spacing w:after="0"/>
              <w:rPr>
                <w:sz w:val="18"/>
                <w:szCs w:val="18"/>
                <w:color w:val="auto"/>
              </w:rPr>
            </w:pPr>
          </w:p>
        </w:tc>
      </w:tr>
      <w:tr>
        <w:trPr>
          <w:trHeight w:val="206"/>
        </w:trPr>
        <w:tc>
          <w:tcPr>
            <w:tcW w:w="70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w w:val="95"/>
              </w:rPr>
              <w:t>2022</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2022</w:t>
            </w:r>
          </w:p>
        </w:tc>
      </w:tr>
      <w:tr>
        <w:trPr>
          <w:trHeight w:val="208"/>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0"/>
        </w:trPr>
        <w:tc>
          <w:tcPr>
            <w:tcW w:w="70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43.2</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62.0</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112.2</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141.7</w:t>
            </w:r>
          </w:p>
        </w:tc>
      </w:tr>
      <w:tr>
        <w:trPr>
          <w:trHeight w:val="215"/>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0"/>
        </w:trPr>
        <w:tc>
          <w:tcPr>
            <w:tcW w:w="702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42.7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39.2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85.2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78.6</w:t>
            </w:r>
          </w:p>
        </w:tc>
      </w:tr>
      <w:tr>
        <w:trPr>
          <w:trHeight w:val="215"/>
        </w:trPr>
        <w:tc>
          <w:tcPr>
            <w:tcW w:w="7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compensation</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157.3</w:t>
            </w:r>
          </w:p>
        </w:tc>
      </w:tr>
      <w:tr>
        <w:trPr>
          <w:trHeight w:val="210"/>
        </w:trPr>
        <w:tc>
          <w:tcPr>
            <w:tcW w:w="7020" w:type="dxa"/>
            <w:vAlign w:val="bottom"/>
          </w:tcPr>
          <w:p>
            <w:pPr>
              <w:ind w:left="220"/>
              <w:spacing w:after="0"/>
              <w:rPr>
                <w:sz w:val="20"/>
                <w:szCs w:val="20"/>
                <w:color w:val="auto"/>
              </w:rPr>
            </w:pPr>
            <w:r>
              <w:rPr>
                <w:rFonts w:ascii="Arial" w:cs="Arial" w:eastAsia="Arial" w:hAnsi="Arial"/>
                <w:sz w:val="16"/>
                <w:szCs w:val="16"/>
                <w:color w:val="auto"/>
              </w:rPr>
              <w:t>Impairment related to real estate assets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215"/>
        </w:trPr>
        <w:tc>
          <w:tcPr>
            <w:tcW w:w="7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debt issuance costs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10"/>
        </w:trPr>
        <w:tc>
          <w:tcPr>
            <w:tcW w:w="7020" w:type="dxa"/>
            <w:vAlign w:val="bottom"/>
          </w:tcPr>
          <w:p>
            <w:pPr>
              <w:ind w:left="220"/>
              <w:spacing w:after="0"/>
              <w:rPr>
                <w:sz w:val="20"/>
                <w:szCs w:val="20"/>
                <w:color w:val="auto"/>
              </w:rPr>
            </w:pPr>
            <w:r>
              <w:rPr>
                <w:rFonts w:ascii="Arial" w:cs="Arial" w:eastAsia="Arial" w:hAnsi="Arial"/>
                <w:sz w:val="16"/>
                <w:szCs w:val="16"/>
                <w:color w:val="auto"/>
              </w:rPr>
              <w:t>Net gains on equity investments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15"/>
        </w:trPr>
        <w:tc>
          <w:tcPr>
            <w:tcW w:w="7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deferred commissions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w:t>
            </w:r>
          </w:p>
        </w:tc>
      </w:tr>
      <w:tr>
        <w:trPr>
          <w:trHeight w:val="210"/>
        </w:trPr>
        <w:tc>
          <w:tcPr>
            <w:tcW w:w="7020" w:type="dxa"/>
            <w:vAlign w:val="bottom"/>
          </w:tcPr>
          <w:p>
            <w:pPr>
              <w:ind w:left="220"/>
              <w:spacing w:after="0"/>
              <w:rPr>
                <w:sz w:val="20"/>
                <w:szCs w:val="20"/>
                <w:color w:val="auto"/>
              </w:rPr>
            </w:pPr>
            <w:r>
              <w:rPr>
                <w:rFonts w:ascii="Arial" w:cs="Arial" w:eastAsia="Arial" w:hAnsi="Arial"/>
                <w:sz w:val="16"/>
                <w:szCs w:val="16"/>
                <w:color w:val="auto"/>
              </w:rPr>
              <w:t>Non-cash operating lease expense</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32.9</w:t>
            </w:r>
          </w:p>
        </w:tc>
      </w:tr>
      <w:tr>
        <w:trPr>
          <w:trHeight w:val="215"/>
        </w:trPr>
        <w:tc>
          <w:tcPr>
            <w:tcW w:w="7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taxes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r>
      <w:tr>
        <w:trPr>
          <w:trHeight w:val="210"/>
        </w:trPr>
        <w:tc>
          <w:tcPr>
            <w:tcW w:w="7020" w:type="dxa"/>
            <w:vAlign w:val="bottom"/>
          </w:tcPr>
          <w:p>
            <w:pPr>
              <w:ind w:left="220"/>
              <w:spacing w:after="0"/>
              <w:rPr>
                <w:sz w:val="20"/>
                <w:szCs w:val="20"/>
                <w:color w:val="auto"/>
              </w:rPr>
            </w:pPr>
            <w:r>
              <w:rPr>
                <w:rFonts w:ascii="Arial" w:cs="Arial" w:eastAsia="Arial" w:hAnsi="Arial"/>
                <w:sz w:val="16"/>
                <w:szCs w:val="16"/>
                <w:color w:val="auto"/>
              </w:rPr>
              <w:t>Other</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15"/>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0"/>
        </w:trPr>
        <w:tc>
          <w:tcPr>
            <w:tcW w:w="7020" w:type="dxa"/>
            <w:vAlign w:val="bottom"/>
          </w:tcPr>
          <w:p>
            <w:pPr>
              <w:ind w:left="220"/>
              <w:spacing w:after="0"/>
              <w:rPr>
                <w:sz w:val="20"/>
                <w:szCs w:val="20"/>
                <w:color w:val="auto"/>
              </w:rPr>
            </w:pPr>
            <w:r>
              <w:rPr>
                <w:rFonts w:ascii="Arial" w:cs="Arial" w:eastAsia="Arial" w:hAnsi="Arial"/>
                <w:sz w:val="16"/>
                <w:szCs w:val="16"/>
                <w:color w:val="auto"/>
              </w:rPr>
              <w:t>Trade and other receivables, net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15"/>
        </w:trPr>
        <w:tc>
          <w:tcPr>
            <w:tcW w:w="7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w:t>
            </w:r>
          </w:p>
        </w:tc>
      </w:tr>
      <w:tr>
        <w:trPr>
          <w:trHeight w:val="210"/>
        </w:trPr>
        <w:tc>
          <w:tcPr>
            <w:tcW w:w="7020" w:type="dxa"/>
            <w:vAlign w:val="bottom"/>
          </w:tcPr>
          <w:p>
            <w:pPr>
              <w:ind w:left="220"/>
              <w:spacing w:after="0"/>
              <w:rPr>
                <w:sz w:val="20"/>
                <w:szCs w:val="20"/>
                <w:color w:val="auto"/>
              </w:rPr>
            </w:pPr>
            <w:r>
              <w:rPr>
                <w:rFonts w:ascii="Arial" w:cs="Arial" w:eastAsia="Arial" w:hAnsi="Arial"/>
                <w:sz w:val="16"/>
                <w:szCs w:val="16"/>
                <w:color w:val="auto"/>
              </w:rPr>
              <w:t>Other assets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15"/>
        </w:trPr>
        <w:tc>
          <w:tcPr>
            <w:tcW w:w="7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10"/>
        </w:trPr>
        <w:tc>
          <w:tcPr>
            <w:tcW w:w="7020" w:type="dxa"/>
            <w:vAlign w:val="bottom"/>
          </w:tcPr>
          <w:p>
            <w:pPr>
              <w:ind w:left="220"/>
              <w:spacing w:after="0"/>
              <w:rPr>
                <w:sz w:val="20"/>
                <w:szCs w:val="20"/>
                <w:color w:val="auto"/>
              </w:rPr>
            </w:pPr>
            <w:r>
              <w:rPr>
                <w:rFonts w:ascii="Arial" w:cs="Arial" w:eastAsia="Arial" w:hAnsi="Arial"/>
                <w:sz w:val="16"/>
                <w:szCs w:val="16"/>
                <w:color w:val="auto"/>
              </w:rPr>
              <w:t>Accrued and other current liabilities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(33.2)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215"/>
        </w:trPr>
        <w:tc>
          <w:tcPr>
            <w:tcW w:w="7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compensation and benefits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w:t>
            </w:r>
          </w:p>
        </w:tc>
      </w:tr>
      <w:tr>
        <w:trPr>
          <w:trHeight w:val="210"/>
        </w:trPr>
        <w:tc>
          <w:tcPr>
            <w:tcW w:w="7020" w:type="dxa"/>
            <w:vAlign w:val="bottom"/>
          </w:tcPr>
          <w:p>
            <w:pPr>
              <w:ind w:left="220"/>
              <w:spacing w:after="0"/>
              <w:rPr>
                <w:sz w:val="20"/>
                <w:szCs w:val="20"/>
                <w:color w:val="auto"/>
              </w:rPr>
            </w:pPr>
            <w:r>
              <w:rPr>
                <w:rFonts w:ascii="Arial" w:cs="Arial" w:eastAsia="Arial" w:hAnsi="Arial"/>
                <w:sz w:val="16"/>
                <w:szCs w:val="16"/>
                <w:color w:val="auto"/>
              </w:rPr>
              <w:t>Deferred revenue</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19.3</w:t>
            </w:r>
          </w:p>
        </w:tc>
      </w:tr>
      <w:tr>
        <w:trPr>
          <w:trHeight w:val="215"/>
        </w:trPr>
        <w:tc>
          <w:tcPr>
            <w:tcW w:w="7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non-current liabilities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r>
      <w:tr>
        <w:trPr>
          <w:trHeight w:val="210"/>
        </w:trPr>
        <w:tc>
          <w:tcPr>
            <w:tcW w:w="7020" w:type="dxa"/>
            <w:vAlign w:val="bottom"/>
          </w:tcPr>
          <w:p>
            <w:pPr>
              <w:ind w:left="220"/>
              <w:spacing w:after="0"/>
              <w:rPr>
                <w:sz w:val="20"/>
                <w:szCs w:val="20"/>
                <w:color w:val="auto"/>
              </w:rPr>
            </w:pPr>
            <w:r>
              <w:rPr>
                <w:rFonts w:ascii="Arial" w:cs="Arial" w:eastAsia="Arial" w:hAnsi="Arial"/>
                <w:sz w:val="16"/>
                <w:szCs w:val="16"/>
                <w:color w:val="auto"/>
              </w:rPr>
              <w:t>Operating lease liabilities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(23.6)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(35.3)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(43.9)</w:t>
            </w:r>
          </w:p>
        </w:tc>
      </w:tr>
      <w:tr>
        <w:trPr>
          <w:trHeight w:val="215"/>
        </w:trPr>
        <w:tc>
          <w:tcPr>
            <w:tcW w:w="7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Tenant improvement allowance reimbursement</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03"/>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187.6</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209.9</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351.3</w:t>
            </w:r>
          </w:p>
        </w:tc>
      </w:tr>
      <w:tr>
        <w:trPr>
          <w:trHeight w:val="195"/>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210"/>
        </w:trPr>
        <w:tc>
          <w:tcPr>
            <w:tcW w:w="7020" w:type="dxa"/>
            <w:vAlign w:val="bottom"/>
          </w:tcPr>
          <w:p>
            <w:pPr>
              <w:ind w:left="220"/>
              <w:spacing w:after="0"/>
              <w:rPr>
                <w:sz w:val="20"/>
                <w:szCs w:val="20"/>
                <w:color w:val="auto"/>
              </w:rPr>
            </w:pPr>
            <w:r>
              <w:rPr>
                <w:rFonts w:ascii="Arial" w:cs="Arial" w:eastAsia="Arial" w:hAnsi="Arial"/>
                <w:sz w:val="16"/>
                <w:szCs w:val="16"/>
                <w:color w:val="auto"/>
              </w:rPr>
              <w:t>Capital expenditures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(14.7)</w:t>
            </w:r>
          </w:p>
        </w:tc>
      </w:tr>
      <w:tr>
        <w:trPr>
          <w:trHeight w:val="215"/>
        </w:trPr>
        <w:tc>
          <w:tcPr>
            <w:tcW w:w="7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Purchases of short-term investments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(301.5)</w:t>
            </w:r>
          </w:p>
        </w:tc>
      </w:tr>
      <w:tr>
        <w:trPr>
          <w:trHeight w:val="210"/>
        </w:trPr>
        <w:tc>
          <w:tcPr>
            <w:tcW w:w="7020" w:type="dxa"/>
            <w:vAlign w:val="bottom"/>
          </w:tcPr>
          <w:p>
            <w:pPr>
              <w:ind w:left="220"/>
              <w:spacing w:after="0"/>
              <w:rPr>
                <w:sz w:val="20"/>
                <w:szCs w:val="20"/>
                <w:color w:val="auto"/>
              </w:rPr>
            </w:pPr>
            <w:r>
              <w:rPr>
                <w:rFonts w:ascii="Arial" w:cs="Arial" w:eastAsia="Arial" w:hAnsi="Arial"/>
                <w:sz w:val="16"/>
                <w:szCs w:val="16"/>
                <w:color w:val="auto"/>
              </w:rPr>
              <w:t>Proceeds from sales of short-term investments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178.9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64.8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331.6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116.6</w:t>
            </w:r>
          </w:p>
        </w:tc>
      </w:tr>
      <w:tr>
        <w:trPr>
          <w:trHeight w:val="215"/>
        </w:trPr>
        <w:tc>
          <w:tcPr>
            <w:tcW w:w="7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maturities of short-term investments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239.2</w:t>
            </w:r>
          </w:p>
        </w:tc>
      </w:tr>
      <w:tr>
        <w:trPr>
          <w:trHeight w:val="210"/>
        </w:trPr>
        <w:tc>
          <w:tcPr>
            <w:tcW w:w="7020" w:type="dxa"/>
            <w:vAlign w:val="bottom"/>
          </w:tcPr>
          <w:p>
            <w:pPr>
              <w:ind w:left="22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r>
      <w:tr>
        <w:trPr>
          <w:trHeight w:val="206"/>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(used in) investing activities</w:t>
            </w: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206.1</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(51.9)</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406.9</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49.1</w:t>
            </w:r>
          </w:p>
        </w:tc>
      </w:tr>
      <w:tr>
        <w:trPr>
          <w:trHeight w:val="206"/>
        </w:trPr>
        <w:tc>
          <w:tcPr>
            <w:tcW w:w="702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4"/>
        </w:trPr>
        <w:tc>
          <w:tcPr>
            <w:tcW w:w="7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Payments of debt issuance costs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020" w:type="dxa"/>
            <w:vAlign w:val="bottom"/>
          </w:tcPr>
          <w:p>
            <w:pPr>
              <w:ind w:left="220"/>
              <w:spacing w:after="0"/>
              <w:rPr>
                <w:sz w:val="20"/>
                <w:szCs w:val="20"/>
                <w:color w:val="auto"/>
              </w:rPr>
            </w:pPr>
            <w:r>
              <w:rPr>
                <w:rFonts w:ascii="Arial" w:cs="Arial" w:eastAsia="Arial" w:hAnsi="Arial"/>
                <w:sz w:val="16"/>
                <w:szCs w:val="16"/>
                <w:color w:val="auto"/>
              </w:rPr>
              <w:t>Payments for taxes related to net share settlement of restricted stock units and awards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(66.2)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(61.4)</w:t>
            </w:r>
          </w:p>
        </w:tc>
      </w:tr>
      <w:tr>
        <w:trPr>
          <w:trHeight w:val="215"/>
        </w:trPr>
        <w:tc>
          <w:tcPr>
            <w:tcW w:w="7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issuance of common stock, net of taxes withheld</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10"/>
        </w:trPr>
        <w:tc>
          <w:tcPr>
            <w:tcW w:w="7020" w:type="dxa"/>
            <w:vAlign w:val="bottom"/>
          </w:tcPr>
          <w:p>
            <w:pPr>
              <w:ind w:left="220"/>
              <w:spacing w:after="0"/>
              <w:rPr>
                <w:sz w:val="20"/>
                <w:szCs w:val="20"/>
                <w:color w:val="auto"/>
              </w:rPr>
            </w:pPr>
            <w:r>
              <w:rPr>
                <w:rFonts w:ascii="Arial" w:cs="Arial" w:eastAsia="Arial" w:hAnsi="Arial"/>
                <w:sz w:val="16"/>
                <w:szCs w:val="16"/>
                <w:color w:val="auto"/>
              </w:rPr>
              <w:t>Principal payments on finance lease obligations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(32.0)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(63.9)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(64.4)</w:t>
            </w:r>
          </w:p>
        </w:tc>
      </w:tr>
      <w:tr>
        <w:trPr>
          <w:trHeight w:val="215"/>
        </w:trPr>
        <w:tc>
          <w:tcPr>
            <w:tcW w:w="7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Common stock repurchases</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(154.2)</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(189.8)</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(449.7)</w:t>
            </w:r>
          </w:p>
        </w:tc>
      </w:tr>
      <w:tr>
        <w:trPr>
          <w:trHeight w:val="203"/>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(used in) financing activities</w:t>
            </w: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(217.3)</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(246.4)</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(575.2)</w:t>
            </w:r>
          </w:p>
        </w:tc>
      </w:tr>
      <w:tr>
        <w:trPr>
          <w:trHeight w:val="208"/>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r>
      <w:tr>
        <w:trPr>
          <w:trHeight w:val="210"/>
        </w:trPr>
        <w:tc>
          <w:tcPr>
            <w:tcW w:w="7020" w:type="dxa"/>
            <w:vAlign w:val="bottom"/>
          </w:tcPr>
          <w:p>
            <w:pPr>
              <w:ind w:left="20"/>
              <w:spacing w:after="0"/>
              <w:rPr>
                <w:sz w:val="20"/>
                <w:szCs w:val="20"/>
                <w:color w:val="auto"/>
              </w:rPr>
            </w:pPr>
            <w:r>
              <w:rPr>
                <w:rFonts w:ascii="Arial" w:cs="Arial" w:eastAsia="Arial" w:hAnsi="Arial"/>
                <w:sz w:val="16"/>
                <w:szCs w:val="16"/>
                <w:color w:val="auto"/>
              </w:rPr>
              <w:t>Change in cash and cash equivalents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177.6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(93.4)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277.5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(180.9)</w:t>
            </w:r>
          </w:p>
        </w:tc>
      </w:tr>
      <w:tr>
        <w:trPr>
          <w:trHeight w:val="215"/>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 beginning of period</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332.7</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445.5</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533.0</w:t>
            </w:r>
          </w:p>
        </w:tc>
      </w:tr>
      <w:tr>
        <w:trPr>
          <w:trHeight w:val="203"/>
        </w:trPr>
        <w:tc>
          <w:tcPr>
            <w:tcW w:w="702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 - end of period</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510.3</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352.1</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510.3</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352.1</w:t>
            </w:r>
          </w:p>
        </w:tc>
      </w:tr>
      <w:tr>
        <w:trPr>
          <w:trHeight w:val="74"/>
        </w:trPr>
        <w:tc>
          <w:tcPr>
            <w:tcW w:w="7020" w:type="dxa"/>
            <w:vAlign w:val="bottom"/>
            <w:tcBorders>
              <w:bottom w:val="single" w:sz="8" w:color="CCEEFF"/>
            </w:tcBorders>
          </w:tcPr>
          <w:p>
            <w:pPr>
              <w:spacing w:after="0"/>
              <w:rPr>
                <w:sz w:val="5"/>
                <w:szCs w:val="5"/>
                <w:color w:val="auto"/>
              </w:rPr>
            </w:pPr>
          </w:p>
        </w:tc>
        <w:tc>
          <w:tcPr>
            <w:tcW w:w="200" w:type="dxa"/>
            <w:vAlign w:val="bottom"/>
            <w:tcBorders>
              <w:top w:val="single" w:sz="8" w:color="auto"/>
              <w:bottom w:val="single" w:sz="8" w:color="auto"/>
            </w:tcBorders>
          </w:tcPr>
          <w:p>
            <w:pPr>
              <w:spacing w:after="0"/>
              <w:rPr>
                <w:sz w:val="5"/>
                <w:szCs w:val="5"/>
                <w:color w:val="auto"/>
              </w:rPr>
            </w:pPr>
          </w:p>
        </w:tc>
        <w:tc>
          <w:tcPr>
            <w:tcW w:w="760" w:type="dxa"/>
            <w:vAlign w:val="bottom"/>
            <w:tcBorders>
              <w:top w:val="single" w:sz="8" w:color="auto"/>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top w:val="single" w:sz="8" w:color="auto"/>
              <w:bottom w:val="single" w:sz="8" w:color="auto"/>
            </w:tcBorders>
          </w:tcPr>
          <w:p>
            <w:pPr>
              <w:spacing w:after="0"/>
              <w:rPr>
                <w:sz w:val="5"/>
                <w:szCs w:val="5"/>
                <w:color w:val="auto"/>
              </w:rPr>
            </w:pPr>
          </w:p>
        </w:tc>
        <w:tc>
          <w:tcPr>
            <w:tcW w:w="680" w:type="dxa"/>
            <w:vAlign w:val="bottom"/>
            <w:tcBorders>
              <w:top w:val="single" w:sz="8" w:color="auto"/>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top w:val="single" w:sz="8" w:color="auto"/>
              <w:bottom w:val="single" w:sz="8" w:color="auto"/>
            </w:tcBorders>
          </w:tcPr>
          <w:p>
            <w:pPr>
              <w:spacing w:after="0"/>
              <w:rPr>
                <w:sz w:val="5"/>
                <w:szCs w:val="5"/>
                <w:color w:val="auto"/>
              </w:rPr>
            </w:pPr>
          </w:p>
        </w:tc>
        <w:tc>
          <w:tcPr>
            <w:tcW w:w="760" w:type="dxa"/>
            <w:vAlign w:val="bottom"/>
            <w:tcBorders>
              <w:top w:val="single" w:sz="8" w:color="auto"/>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top w:val="single" w:sz="8" w:color="auto"/>
              <w:bottom w:val="single" w:sz="8" w:color="auto"/>
            </w:tcBorders>
          </w:tcPr>
          <w:p>
            <w:pPr>
              <w:spacing w:after="0"/>
              <w:rPr>
                <w:sz w:val="5"/>
                <w:szCs w:val="5"/>
                <w:color w:val="auto"/>
              </w:rPr>
            </w:pPr>
          </w:p>
        </w:tc>
        <w:tc>
          <w:tcPr>
            <w:tcW w:w="700" w:type="dxa"/>
            <w:vAlign w:val="bottom"/>
            <w:tcBorders>
              <w:top w:val="single" w:sz="8" w:color="auto"/>
              <w:bottom w:val="single" w:sz="8" w:color="auto"/>
            </w:tcBorders>
          </w:tcPr>
          <w:p>
            <w:pPr>
              <w:spacing w:after="0"/>
              <w:rPr>
                <w:sz w:val="5"/>
                <w:szCs w:val="5"/>
                <w:color w:val="auto"/>
              </w:rPr>
            </w:pPr>
          </w:p>
        </w:tc>
      </w:tr>
      <w:tr>
        <w:trPr>
          <w:trHeight w:val="210"/>
        </w:trPr>
        <w:tc>
          <w:tcPr>
            <w:tcW w:w="7020" w:type="dxa"/>
            <w:vAlign w:val="bottom"/>
            <w:tcBorders>
              <w:top w:val="single" w:sz="8" w:color="CCEEFF"/>
              <w:bottom w:val="single" w:sz="8" w:color="CCEEFF"/>
            </w:tcBorders>
          </w:tcPr>
          <w:p>
            <w:pPr>
              <w:ind w:left="20"/>
              <w:spacing w:after="0"/>
              <w:rPr>
                <w:sz w:val="20"/>
                <w:szCs w:val="20"/>
                <w:color w:val="auto"/>
              </w:rPr>
            </w:pPr>
            <w:r>
              <w:rPr>
                <w:rFonts w:ascii="Arial" w:cs="Arial" w:eastAsia="Arial" w:hAnsi="Arial"/>
                <w:sz w:val="16"/>
                <w:szCs w:val="16"/>
                <w:b w:val="1"/>
                <w:bCs w:val="1"/>
                <w:color w:val="auto"/>
              </w:rPr>
              <w:t>Supplemental cash flow data:</w:t>
            </w:r>
          </w:p>
        </w:tc>
        <w:tc>
          <w:tcPr>
            <w:tcW w:w="200" w:type="dxa"/>
            <w:vAlign w:val="bottom"/>
            <w:tcBorders>
              <w:top w:val="single" w:sz="8" w:color="CCEEFF"/>
              <w:bottom w:val="single" w:sz="8" w:color="auto"/>
            </w:tcBorders>
          </w:tcPr>
          <w:p>
            <w:pPr>
              <w:spacing w:after="0"/>
              <w:rPr>
                <w:sz w:val="18"/>
                <w:szCs w:val="18"/>
                <w:color w:val="auto"/>
              </w:rPr>
            </w:pPr>
          </w:p>
        </w:tc>
        <w:tc>
          <w:tcPr>
            <w:tcW w:w="760" w:type="dxa"/>
            <w:vAlign w:val="bottom"/>
            <w:tcBorders>
              <w:top w:val="single" w:sz="8" w:color="CCEEFF"/>
              <w:bottom w:val="single" w:sz="8" w:color="auto"/>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CCEEFF"/>
              <w:bottom w:val="single" w:sz="8" w:color="auto"/>
            </w:tcBorders>
          </w:tcPr>
          <w:p>
            <w:pPr>
              <w:spacing w:after="0"/>
              <w:rPr>
                <w:sz w:val="18"/>
                <w:szCs w:val="18"/>
                <w:color w:val="auto"/>
              </w:rPr>
            </w:pPr>
          </w:p>
        </w:tc>
        <w:tc>
          <w:tcPr>
            <w:tcW w:w="680" w:type="dxa"/>
            <w:vAlign w:val="bottom"/>
            <w:tcBorders>
              <w:top w:val="single" w:sz="8" w:color="CCEEFF"/>
              <w:bottom w:val="single" w:sz="8" w:color="auto"/>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auto"/>
            </w:tcBorders>
          </w:tcPr>
          <w:p>
            <w:pPr>
              <w:spacing w:after="0"/>
              <w:rPr>
                <w:sz w:val="18"/>
                <w:szCs w:val="18"/>
                <w:color w:val="auto"/>
              </w:rPr>
            </w:pPr>
          </w:p>
        </w:tc>
        <w:tc>
          <w:tcPr>
            <w:tcW w:w="760" w:type="dxa"/>
            <w:vAlign w:val="bottom"/>
            <w:tcBorders>
              <w:top w:val="single" w:sz="8" w:color="CCEEFF"/>
              <w:bottom w:val="single" w:sz="8" w:color="auto"/>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CCEEFF"/>
              <w:bottom w:val="single" w:sz="8" w:color="auto"/>
            </w:tcBorders>
          </w:tcPr>
          <w:p>
            <w:pPr>
              <w:spacing w:after="0"/>
              <w:rPr>
                <w:sz w:val="18"/>
                <w:szCs w:val="18"/>
                <w:color w:val="auto"/>
              </w:rPr>
            </w:pPr>
          </w:p>
        </w:tc>
        <w:tc>
          <w:tcPr>
            <w:tcW w:w="700" w:type="dxa"/>
            <w:vAlign w:val="bottom"/>
            <w:tcBorders>
              <w:top w:val="single" w:sz="8" w:color="CCEEFF"/>
              <w:bottom w:val="single" w:sz="8" w:color="auto"/>
            </w:tcBorders>
          </w:tcPr>
          <w:p>
            <w:pPr>
              <w:spacing w:after="0"/>
              <w:rPr>
                <w:sz w:val="18"/>
                <w:szCs w:val="18"/>
                <w:color w:val="auto"/>
              </w:rPr>
            </w:pPr>
          </w:p>
        </w:tc>
      </w:tr>
      <w:tr>
        <w:trPr>
          <w:trHeight w:val="225"/>
        </w:trPr>
        <w:tc>
          <w:tcPr>
            <w:tcW w:w="70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Property and equipment acquired under finance leases</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881" w:right="339" w:bottom="1440" w:gutter="0" w:footer="0" w:header="0"/>
        </w:sectPr>
      </w:pPr>
    </w:p>
    <w:bookmarkStart w:id="10" w:name="page11"/>
    <w:bookmarkEnd w:id="10"/>
    <w:p>
      <w:pPr>
        <w:ind w:left="5054"/>
        <w:spacing w:after="0"/>
        <w:rPr>
          <w:sz w:val="20"/>
          <w:szCs w:val="20"/>
          <w:color w:val="auto"/>
        </w:rPr>
      </w:pPr>
      <w:r>
        <w:rPr>
          <w:rFonts w:ascii="Arial" w:cs="Arial" w:eastAsia="Arial" w:hAnsi="Arial"/>
          <w:sz w:val="19"/>
          <w:szCs w:val="19"/>
          <w:b w:val="1"/>
          <w:bCs w:val="1"/>
          <w:color w:val="auto"/>
        </w:rPr>
        <w:t>Dropbox, Inc.</w:t>
      </w:r>
    </w:p>
    <w:p>
      <w:pPr>
        <w:spacing w:after="0" w:line="35" w:lineRule="exact"/>
        <w:rPr>
          <w:sz w:val="20"/>
          <w:szCs w:val="20"/>
          <w:color w:val="auto"/>
        </w:rPr>
      </w:pPr>
    </w:p>
    <w:p>
      <w:pPr>
        <w:ind w:left="4154"/>
        <w:spacing w:after="0"/>
        <w:rPr>
          <w:sz w:val="20"/>
          <w:szCs w:val="20"/>
          <w:color w:val="auto"/>
        </w:rPr>
      </w:pPr>
      <w:r>
        <w:rPr>
          <w:rFonts w:ascii="Arial" w:cs="Arial" w:eastAsia="Arial" w:hAnsi="Arial"/>
          <w:sz w:val="19"/>
          <w:szCs w:val="19"/>
          <w:b w:val="1"/>
          <w:bCs w:val="1"/>
          <w:color w:val="auto"/>
        </w:rPr>
        <w:t>Three Months Ended June 30, 2023</w:t>
      </w:r>
    </w:p>
    <w:p>
      <w:pPr>
        <w:spacing w:after="0" w:line="15" w:lineRule="exact"/>
        <w:rPr>
          <w:sz w:val="20"/>
          <w:szCs w:val="20"/>
          <w:color w:val="auto"/>
        </w:rPr>
      </w:pPr>
    </w:p>
    <w:p>
      <w:pPr>
        <w:jc w:val="center"/>
        <w:ind w:right="-213"/>
        <w:spacing w:after="0"/>
        <w:rPr>
          <w:sz w:val="20"/>
          <w:szCs w:val="20"/>
          <w:color w:val="auto"/>
        </w:rPr>
      </w:pPr>
      <w:r>
        <w:rPr>
          <w:rFonts w:ascii="Arial" w:cs="Arial" w:eastAsia="Arial" w:hAnsi="Arial"/>
          <w:sz w:val="19"/>
          <w:szCs w:val="19"/>
          <w:b w:val="1"/>
          <w:bCs w:val="1"/>
          <w:color w:val="auto"/>
        </w:rPr>
        <w:t>Reconciliation of GAAP to Non-GAAP results</w:t>
      </w:r>
    </w:p>
    <w:p>
      <w:pPr>
        <w:spacing w:after="0" w:line="13" w:lineRule="exact"/>
        <w:rPr>
          <w:sz w:val="20"/>
          <w:szCs w:val="20"/>
          <w:color w:val="auto"/>
        </w:rPr>
      </w:pPr>
    </w:p>
    <w:p>
      <w:pPr>
        <w:jc w:val="center"/>
        <w:ind w:right="-213"/>
        <w:spacing w:after="0"/>
        <w:rPr>
          <w:sz w:val="20"/>
          <w:szCs w:val="20"/>
          <w:color w:val="auto"/>
        </w:rPr>
      </w:pPr>
      <w:r>
        <w:rPr>
          <w:rFonts w:ascii="Arial" w:cs="Arial" w:eastAsia="Arial" w:hAnsi="Arial"/>
          <w:sz w:val="18"/>
          <w:szCs w:val="18"/>
          <w:i w:val="1"/>
          <w:iCs w:val="1"/>
          <w:color w:val="auto"/>
        </w:rPr>
        <w:t>(In millions, except for percentages, which may not foot due to rounding)</w:t>
      </w:r>
    </w:p>
    <w:p>
      <w:pPr>
        <w:spacing w:after="0" w:line="13" w:lineRule="exact"/>
        <w:rPr>
          <w:sz w:val="20"/>
          <w:szCs w:val="20"/>
          <w:color w:val="auto"/>
        </w:rPr>
      </w:pPr>
    </w:p>
    <w:p>
      <w:pPr>
        <w:jc w:val="center"/>
        <w:ind w:right="-213"/>
        <w:spacing w:after="0"/>
        <w:rPr>
          <w:sz w:val="20"/>
          <w:szCs w:val="20"/>
          <w:color w:val="auto"/>
        </w:rPr>
      </w:pPr>
      <w:r>
        <w:rPr>
          <w:rFonts w:ascii="Arial" w:cs="Arial" w:eastAsia="Arial" w:hAnsi="Arial"/>
          <w:sz w:val="18"/>
          <w:szCs w:val="18"/>
          <w:i w:val="1"/>
          <w:iCs w:val="1"/>
          <w:color w:val="auto"/>
        </w:rPr>
        <w:t>(Unaudited)</w:t>
      </w:r>
    </w:p>
    <w:tbl>
      <w:tblPr>
        <w:tblLayout w:type="fixed"/>
        <w:tblInd w:w="214" w:type="dxa"/>
        <w:tblCellMar>
          <w:top w:w="0" w:type="dxa"/>
          <w:left w:w="0" w:type="dxa"/>
          <w:bottom w:w="0" w:type="dxa"/>
          <w:right w:w="0" w:type="dxa"/>
        </w:tblCellMar>
      </w:tblPr>
      <w:tr>
        <w:trPr>
          <w:trHeight w:val="205"/>
        </w:trPr>
        <w:tc>
          <w:tcPr>
            <w:tcW w:w="1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vMerge w:val="restart"/>
          </w:tcPr>
          <w:p>
            <w:pPr>
              <w:jc w:val="right"/>
              <w:ind w:right="152"/>
              <w:spacing w:after="0"/>
              <w:rPr>
                <w:sz w:val="20"/>
                <w:szCs w:val="20"/>
                <w:color w:val="auto"/>
              </w:rPr>
            </w:pPr>
            <w:r>
              <w:rPr>
                <w:rFonts w:ascii="Arial" w:cs="Arial" w:eastAsia="Arial" w:hAnsi="Arial"/>
                <w:sz w:val="18"/>
                <w:szCs w:val="18"/>
                <w:b w:val="1"/>
                <w:bCs w:val="1"/>
                <w:color w:val="auto"/>
                <w:w w:val="93"/>
              </w:rPr>
              <w:t>Stock-based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center"/>
              <w:spacing w:after="0" w:line="206" w:lineRule="exact"/>
              <w:rPr>
                <w:sz w:val="20"/>
                <w:szCs w:val="20"/>
                <w:color w:val="auto"/>
              </w:rPr>
            </w:pPr>
            <w:r>
              <w:rPr>
                <w:rFonts w:ascii="Arial" w:cs="Arial" w:eastAsia="Arial" w:hAnsi="Arial"/>
                <w:sz w:val="18"/>
                <w:szCs w:val="18"/>
                <w:b w:val="1"/>
                <w:bCs w:val="1"/>
                <w:color w:val="auto"/>
                <w:w w:val="90"/>
              </w:rPr>
              <w:t>Acquisition-</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6"/>
              </w:rPr>
              <w:t>Intangibles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spacing w:after="0" w:line="206" w:lineRule="exact"/>
              <w:rPr>
                <w:sz w:val="20"/>
                <w:szCs w:val="20"/>
                <w:color w:val="auto"/>
              </w:rPr>
            </w:pPr>
            <w:r>
              <w:rPr>
                <w:rFonts w:ascii="Arial" w:cs="Arial" w:eastAsia="Arial" w:hAnsi="Arial"/>
                <w:sz w:val="18"/>
                <w:szCs w:val="18"/>
                <w:b w:val="1"/>
                <w:bCs w:val="1"/>
                <w:color w:val="auto"/>
                <w:w w:val="92"/>
              </w:rPr>
              <w:t>Impairment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112"/>
              <w:spacing w:after="0" w:line="206" w:lineRule="exact"/>
              <w:rPr>
                <w:sz w:val="20"/>
                <w:szCs w:val="20"/>
                <w:color w:val="auto"/>
              </w:rPr>
            </w:pPr>
            <w:r>
              <w:rPr>
                <w:rFonts w:ascii="Arial" w:cs="Arial" w:eastAsia="Arial" w:hAnsi="Arial"/>
                <w:sz w:val="18"/>
                <w:szCs w:val="18"/>
                <w:b w:val="1"/>
                <w:bCs w:val="1"/>
                <w:color w:val="auto"/>
                <w:w w:val="94"/>
              </w:rPr>
              <w:t>Workforce</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restart"/>
          </w:tcPr>
          <w:p>
            <w:pPr>
              <w:jc w:val="right"/>
              <w:ind w:right="172"/>
              <w:spacing w:after="0"/>
              <w:rPr>
                <w:sz w:val="20"/>
                <w:szCs w:val="20"/>
                <w:color w:val="auto"/>
              </w:rPr>
            </w:pPr>
            <w:r>
              <w:rPr>
                <w:rFonts w:ascii="Arial" w:cs="Arial" w:eastAsia="Arial" w:hAnsi="Arial"/>
                <w:sz w:val="18"/>
                <w:szCs w:val="18"/>
                <w:b w:val="1"/>
                <w:bCs w:val="1"/>
                <w:color w:val="auto"/>
              </w:rPr>
              <w:t>GAAP</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spacing w:after="0" w:line="172" w:lineRule="exact"/>
              <w:rPr>
                <w:sz w:val="20"/>
                <w:szCs w:val="20"/>
                <w:color w:val="auto"/>
              </w:rPr>
            </w:pPr>
            <w:r>
              <w:rPr>
                <w:rFonts w:ascii="Arial" w:cs="Arial" w:eastAsia="Arial" w:hAnsi="Arial"/>
                <w:sz w:val="18"/>
                <w:szCs w:val="18"/>
                <w:b w:val="1"/>
                <w:bCs w:val="1"/>
                <w:color w:val="auto"/>
                <w:w w:val="89"/>
              </w:rPr>
              <w:t>related and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4"/>
          </w:tcPr>
          <w:p>
            <w:pPr>
              <w:jc w:val="center"/>
              <w:ind w:right="360"/>
              <w:spacing w:after="0" w:line="172" w:lineRule="exact"/>
              <w:rPr>
                <w:sz w:val="20"/>
                <w:szCs w:val="20"/>
                <w:color w:val="auto"/>
              </w:rPr>
            </w:pPr>
            <w:r>
              <w:rPr>
                <w:rFonts w:ascii="Arial" w:cs="Arial" w:eastAsia="Arial" w:hAnsi="Arial"/>
                <w:sz w:val="18"/>
                <w:szCs w:val="18"/>
                <w:b w:val="1"/>
                <w:bCs w:val="1"/>
                <w:color w:val="auto"/>
                <w:w w:val="89"/>
              </w:rPr>
              <w:t>related to real</w:t>
            </w:r>
          </w:p>
        </w:tc>
        <w:tc>
          <w:tcPr>
            <w:tcW w:w="1060" w:type="dxa"/>
            <w:vAlign w:val="bottom"/>
          </w:tcPr>
          <w:p>
            <w:pPr>
              <w:jc w:val="right"/>
              <w:ind w:right="152"/>
              <w:spacing w:after="0" w:line="172" w:lineRule="exact"/>
              <w:rPr>
                <w:sz w:val="20"/>
                <w:szCs w:val="20"/>
                <w:color w:val="auto"/>
              </w:rPr>
            </w:pPr>
            <w:r>
              <w:rPr>
                <w:rFonts w:ascii="Arial" w:cs="Arial" w:eastAsia="Arial" w:hAnsi="Arial"/>
                <w:sz w:val="18"/>
                <w:szCs w:val="18"/>
                <w:b w:val="1"/>
                <w:bCs w:val="1"/>
                <w:color w:val="auto"/>
                <w:w w:val="97"/>
              </w:rPr>
              <w:t>reduction</w:t>
            </w:r>
          </w:p>
        </w:tc>
        <w:tc>
          <w:tcPr>
            <w:tcW w:w="80" w:type="dxa"/>
            <w:vAlign w:val="bottom"/>
          </w:tcPr>
          <w:p>
            <w:pPr>
              <w:spacing w:after="0"/>
              <w:rPr>
                <w:sz w:val="14"/>
                <w:szCs w:val="14"/>
                <w:color w:val="auto"/>
              </w:rPr>
            </w:pPr>
          </w:p>
        </w:tc>
        <w:tc>
          <w:tcPr>
            <w:tcW w:w="10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Non-GAAP</w:t>
            </w:r>
          </w:p>
        </w:tc>
        <w:tc>
          <w:tcPr>
            <w:tcW w:w="0" w:type="dxa"/>
            <w:vAlign w:val="bottom"/>
          </w:tcPr>
          <w:p>
            <w:pPr>
              <w:spacing w:after="0"/>
              <w:rPr>
                <w:sz w:val="1"/>
                <w:szCs w:val="1"/>
                <w:color w:val="auto"/>
              </w:rPr>
            </w:pPr>
          </w:p>
        </w:tc>
      </w:tr>
      <w:tr>
        <w:trPr>
          <w:trHeight w:val="239"/>
        </w:trPr>
        <w:tc>
          <w:tcPr>
            <w:tcW w:w="17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6"/>
              </w:rPr>
              <w:t>compensation</w:t>
            </w:r>
          </w:p>
        </w:tc>
        <w:tc>
          <w:tcPr>
            <w:tcW w:w="8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3"/>
              </w:rPr>
              <w:t>other expenses</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amortization</w:t>
            </w: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12"/>
              <w:spacing w:after="0" w:line="239" w:lineRule="exact"/>
              <w:rPr>
                <w:sz w:val="20"/>
                <w:szCs w:val="20"/>
                <w:color w:val="auto"/>
              </w:rPr>
            </w:pPr>
            <w:r>
              <w:rPr>
                <w:rFonts w:ascii="Arial" w:cs="Arial" w:eastAsia="Arial" w:hAnsi="Arial"/>
                <w:sz w:val="18"/>
                <w:szCs w:val="18"/>
                <w:b w:val="1"/>
                <w:bCs w:val="1"/>
                <w:color w:val="auto"/>
                <w:w w:val="79"/>
              </w:rPr>
              <w:t>estate assets</w:t>
            </w:r>
            <w:r>
              <w:rPr>
                <w:rFonts w:ascii="Arial" w:cs="Arial" w:eastAsia="Arial" w:hAnsi="Arial"/>
                <w:sz w:val="22"/>
                <w:szCs w:val="22"/>
                <w:b w:val="1"/>
                <w:bCs w:val="1"/>
                <w:color w:val="auto"/>
                <w:w w:val="79"/>
                <w:vertAlign w:val="superscript"/>
              </w:rPr>
              <w:t>(1)</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2"/>
              <w:spacing w:after="0" w:line="239" w:lineRule="exact"/>
              <w:rPr>
                <w:sz w:val="20"/>
                <w:szCs w:val="20"/>
                <w:color w:val="auto"/>
              </w:rPr>
            </w:pPr>
            <w:r>
              <w:rPr>
                <w:rFonts w:ascii="Arial" w:cs="Arial" w:eastAsia="Arial" w:hAnsi="Arial"/>
                <w:sz w:val="18"/>
                <w:szCs w:val="18"/>
                <w:b w:val="1"/>
                <w:bCs w:val="1"/>
                <w:color w:val="auto"/>
                <w:w w:val="88"/>
              </w:rPr>
              <w:t>expense</w:t>
            </w:r>
            <w:r>
              <w:rPr>
                <w:rFonts w:ascii="Arial" w:cs="Arial" w:eastAsia="Arial" w:hAnsi="Arial"/>
                <w:sz w:val="22"/>
                <w:szCs w:val="22"/>
                <w:b w:val="1"/>
                <w:bCs w:val="1"/>
                <w:color w:val="auto"/>
                <w:w w:val="88"/>
                <w:vertAlign w:val="superscript"/>
              </w:rPr>
              <w:t>(2)</w:t>
            </w:r>
          </w:p>
        </w:tc>
        <w:tc>
          <w:tcPr>
            <w:tcW w:w="8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1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120.1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(2.7)</w:t>
            </w:r>
          </w:p>
        </w:tc>
        <w:tc>
          <w:tcPr>
            <w:tcW w:w="3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25"/>
        </w:trPr>
        <w:tc>
          <w:tcPr>
            <w:tcW w:w="1740" w:type="dxa"/>
            <w:vAlign w:val="bottom"/>
          </w:tcPr>
          <w:p>
            <w:pPr>
              <w:ind w:left="20"/>
              <w:spacing w:after="0"/>
              <w:rPr>
                <w:sz w:val="20"/>
                <w:szCs w:val="20"/>
                <w:color w:val="auto"/>
              </w:rPr>
            </w:pPr>
            <w:r>
              <w:rPr>
                <w:rFonts w:ascii="Arial" w:cs="Arial" w:eastAsia="Arial" w:hAnsi="Arial"/>
                <w:sz w:val="18"/>
                <w:szCs w:val="18"/>
                <w:i w:val="1"/>
                <w:iCs w:val="1"/>
                <w:color w:val="auto"/>
                <w:w w:val="90"/>
              </w:rPr>
              <w:t>Cost of revenue margin</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19.3 %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(0.4 %)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17.3 %</w:t>
            </w:r>
          </w:p>
        </w:tc>
        <w:tc>
          <w:tcPr>
            <w:tcW w:w="0" w:type="dxa"/>
            <w:vAlign w:val="bottom"/>
          </w:tcPr>
          <w:p>
            <w:pPr>
              <w:spacing w:after="0"/>
              <w:rPr>
                <w:sz w:val="1"/>
                <w:szCs w:val="1"/>
                <w:color w:val="auto"/>
              </w:rPr>
            </w:pPr>
          </w:p>
        </w:tc>
      </w:tr>
      <w:tr>
        <w:trPr>
          <w:trHeight w:val="239"/>
        </w:trPr>
        <w:tc>
          <w:tcPr>
            <w:tcW w:w="1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502.4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515.1</w:t>
            </w:r>
          </w:p>
        </w:tc>
        <w:tc>
          <w:tcPr>
            <w:tcW w:w="0" w:type="dxa"/>
            <w:vAlign w:val="bottom"/>
          </w:tcPr>
          <w:p>
            <w:pPr>
              <w:spacing w:after="0"/>
              <w:rPr>
                <w:sz w:val="1"/>
                <w:szCs w:val="1"/>
                <w:color w:val="auto"/>
              </w:rPr>
            </w:pPr>
          </w:p>
        </w:tc>
      </w:tr>
      <w:tr>
        <w:trPr>
          <w:trHeight w:val="225"/>
        </w:trPr>
        <w:tc>
          <w:tcPr>
            <w:tcW w:w="1740" w:type="dxa"/>
            <w:vAlign w:val="bottom"/>
          </w:tcPr>
          <w:p>
            <w:pPr>
              <w:ind w:left="20"/>
              <w:spacing w:after="0"/>
              <w:rPr>
                <w:sz w:val="20"/>
                <w:szCs w:val="20"/>
                <w:color w:val="auto"/>
              </w:rPr>
            </w:pPr>
            <w:r>
              <w:rPr>
                <w:rFonts w:ascii="Arial" w:cs="Arial" w:eastAsia="Arial" w:hAnsi="Arial"/>
                <w:sz w:val="18"/>
                <w:szCs w:val="18"/>
                <w:i w:val="1"/>
                <w:iCs w:val="1"/>
                <w:color w:val="auto"/>
              </w:rPr>
              <w:t>Gross margin</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80.7 %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4"/>
          </w:tcPr>
          <w:p>
            <w:pPr>
              <w:jc w:val="right"/>
              <w:ind w:right="240"/>
              <w:spacing w:after="0"/>
              <w:rPr>
                <w:sz w:val="20"/>
                <w:szCs w:val="20"/>
                <w:color w:val="auto"/>
              </w:rPr>
            </w:pPr>
            <w:r>
              <w:rPr>
                <w:rFonts w:ascii="Arial" w:cs="Arial" w:eastAsia="Arial" w:hAnsi="Arial"/>
                <w:sz w:val="18"/>
                <w:szCs w:val="18"/>
                <w:color w:val="auto"/>
              </w:rPr>
              <w:t>— %</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0.6</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4"/>
          </w:tcPr>
          <w:p>
            <w:pPr>
              <w:jc w:val="right"/>
              <w:ind w:right="260"/>
              <w:spacing w:after="0"/>
              <w:rPr>
                <w:sz w:val="20"/>
                <w:szCs w:val="20"/>
                <w:color w:val="auto"/>
              </w:rPr>
            </w:pPr>
            <w:r>
              <w:rPr>
                <w:rFonts w:ascii="Arial" w:cs="Arial" w:eastAsia="Arial" w:hAnsi="Arial"/>
                <w:sz w:val="18"/>
                <w:szCs w:val="18"/>
                <w:color w:val="auto"/>
              </w:rPr>
              <w:t>— %</w:t>
            </w:r>
          </w:p>
        </w:tc>
        <w:tc>
          <w:tcPr>
            <w:tcW w:w="1060" w:type="dxa"/>
            <w:vAlign w:val="bottom"/>
          </w:tcPr>
          <w:p>
            <w:pPr>
              <w:jc w:val="right"/>
              <w:spacing w:after="0"/>
              <w:rPr>
                <w:sz w:val="20"/>
                <w:szCs w:val="20"/>
                <w:color w:val="auto"/>
              </w:rPr>
            </w:pPr>
            <w:r>
              <w:rPr>
                <w:rFonts w:ascii="Arial" w:cs="Arial" w:eastAsia="Arial" w:hAnsi="Arial"/>
                <w:sz w:val="18"/>
                <w:szCs w:val="18"/>
                <w:color w:val="auto"/>
              </w:rPr>
              <w:t>0.4 %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82.7 %</w:t>
            </w:r>
          </w:p>
        </w:tc>
        <w:tc>
          <w:tcPr>
            <w:tcW w:w="0" w:type="dxa"/>
            <w:vAlign w:val="bottom"/>
          </w:tcPr>
          <w:p>
            <w:pPr>
              <w:spacing w:after="0"/>
              <w:rPr>
                <w:sz w:val="1"/>
                <w:szCs w:val="1"/>
                <w:color w:val="auto"/>
              </w:rPr>
            </w:pPr>
          </w:p>
        </w:tc>
      </w:tr>
      <w:tr>
        <w:trPr>
          <w:trHeight w:val="174"/>
        </w:trPr>
        <w:tc>
          <w:tcPr>
            <w:tcW w:w="174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Research and</w:t>
            </w:r>
          </w:p>
        </w:tc>
        <w:tc>
          <w:tcPr>
            <w:tcW w:w="18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rPr>
              <w:t>262.8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color w:val="auto"/>
              </w:rPr>
              <w:t>(67.4)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(27.0)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rPr>
              <w:t>160.5</w:t>
            </w:r>
          </w:p>
        </w:tc>
        <w:tc>
          <w:tcPr>
            <w:tcW w:w="0" w:type="dxa"/>
            <w:vAlign w:val="bottom"/>
          </w:tcPr>
          <w:p>
            <w:pPr>
              <w:spacing w:after="0"/>
              <w:rPr>
                <w:sz w:val="1"/>
                <w:szCs w:val="1"/>
                <w:color w:val="auto"/>
              </w:rPr>
            </w:pPr>
          </w:p>
        </w:tc>
      </w:tr>
      <w:tr>
        <w:trPr>
          <w:trHeight w:val="238"/>
        </w:trPr>
        <w:tc>
          <w:tcPr>
            <w:tcW w:w="1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development</w:t>
            </w:r>
          </w:p>
        </w:tc>
        <w:tc>
          <w:tcPr>
            <w:tcW w:w="180" w:type="dxa"/>
            <w:vAlign w:val="bottom"/>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1740" w:type="dxa"/>
            <w:vAlign w:val="bottom"/>
          </w:tcPr>
          <w:p>
            <w:pPr>
              <w:ind w:left="20"/>
              <w:spacing w:after="0" w:line="173" w:lineRule="exact"/>
              <w:rPr>
                <w:sz w:val="20"/>
                <w:szCs w:val="20"/>
                <w:color w:val="auto"/>
              </w:rPr>
            </w:pPr>
            <w:r>
              <w:rPr>
                <w:rFonts w:ascii="Arial" w:cs="Arial" w:eastAsia="Arial" w:hAnsi="Arial"/>
                <w:sz w:val="18"/>
                <w:szCs w:val="18"/>
                <w:i w:val="1"/>
                <w:iCs w:val="1"/>
                <w:color w:val="auto"/>
              </w:rPr>
              <w:t>Research and</w:t>
            </w:r>
          </w:p>
        </w:tc>
        <w:tc>
          <w:tcPr>
            <w:tcW w:w="1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42.2 %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(10.8 %)</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8"/>
                <w:szCs w:val="18"/>
                <w:color w:val="auto"/>
              </w:rPr>
              <w:t>(1.3 %)</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restart"/>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vMerge w:val="restart"/>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(4.3 %)</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25.8 %</w:t>
            </w:r>
          </w:p>
        </w:tc>
        <w:tc>
          <w:tcPr>
            <w:tcW w:w="0" w:type="dxa"/>
            <w:vAlign w:val="bottom"/>
          </w:tcPr>
          <w:p>
            <w:pPr>
              <w:spacing w:after="0"/>
              <w:rPr>
                <w:sz w:val="1"/>
                <w:szCs w:val="1"/>
                <w:color w:val="auto"/>
              </w:rPr>
            </w:pPr>
          </w:p>
        </w:tc>
      </w:tr>
      <w:tr>
        <w:trPr>
          <w:trHeight w:val="224"/>
        </w:trPr>
        <w:tc>
          <w:tcPr>
            <w:tcW w:w="1740" w:type="dxa"/>
            <w:vAlign w:val="bottom"/>
          </w:tcPr>
          <w:p>
            <w:pPr>
              <w:ind w:left="20"/>
              <w:spacing w:after="0"/>
              <w:rPr>
                <w:sz w:val="20"/>
                <w:szCs w:val="20"/>
                <w:color w:val="auto"/>
              </w:rPr>
            </w:pPr>
            <w:r>
              <w:rPr>
                <w:rFonts w:ascii="Arial" w:cs="Arial" w:eastAsia="Arial" w:hAnsi="Arial"/>
                <w:sz w:val="18"/>
                <w:szCs w:val="18"/>
                <w:i w:val="1"/>
                <w:iCs w:val="1"/>
                <w:color w:val="auto"/>
              </w:rPr>
              <w:t>development margin</w:t>
            </w:r>
          </w:p>
        </w:tc>
        <w:tc>
          <w:tcPr>
            <w:tcW w:w="18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120.9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173"/>
        </w:trPr>
        <w:tc>
          <w:tcPr>
            <w:tcW w:w="1740" w:type="dxa"/>
            <w:vAlign w:val="bottom"/>
          </w:tcPr>
          <w:p>
            <w:pPr>
              <w:ind w:left="20"/>
              <w:spacing w:after="0" w:line="173" w:lineRule="exact"/>
              <w:rPr>
                <w:sz w:val="20"/>
                <w:szCs w:val="20"/>
                <w:color w:val="auto"/>
              </w:rPr>
            </w:pPr>
            <w:r>
              <w:rPr>
                <w:rFonts w:ascii="Arial" w:cs="Arial" w:eastAsia="Arial" w:hAnsi="Arial"/>
                <w:sz w:val="18"/>
                <w:szCs w:val="18"/>
                <w:i w:val="1"/>
                <w:iCs w:val="1"/>
                <w:color w:val="auto"/>
              </w:rPr>
              <w:t>Sales and marketing</w:t>
            </w:r>
          </w:p>
        </w:tc>
        <w:tc>
          <w:tcPr>
            <w:tcW w:w="1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19.4 %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(1.0 %)</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8"/>
                <w:szCs w:val="18"/>
                <w:color w:val="auto"/>
              </w:rPr>
              <w:t>(1.1 %)</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vMerge w:val="restart"/>
          </w:tcPr>
          <w:p>
            <w:pPr>
              <w:jc w:val="right"/>
              <w:spacing w:after="0"/>
              <w:rPr>
                <w:sz w:val="20"/>
                <w:szCs w:val="20"/>
                <w:color w:val="auto"/>
              </w:rPr>
            </w:pPr>
            <w:r>
              <w:rPr>
                <w:rFonts w:ascii="Arial" w:cs="Arial" w:eastAsia="Arial" w:hAnsi="Arial"/>
                <w:sz w:val="18"/>
                <w:szCs w:val="18"/>
                <w:color w:val="auto"/>
              </w:rPr>
              <w:t>(0.5 %)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vMerge w:val="restart"/>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(1.0 %)</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15.8 %</w:t>
            </w:r>
          </w:p>
        </w:tc>
        <w:tc>
          <w:tcPr>
            <w:tcW w:w="0" w:type="dxa"/>
            <w:vAlign w:val="bottom"/>
          </w:tcPr>
          <w:p>
            <w:pPr>
              <w:spacing w:after="0"/>
              <w:rPr>
                <w:sz w:val="1"/>
                <w:szCs w:val="1"/>
                <w:color w:val="auto"/>
              </w:rPr>
            </w:pPr>
          </w:p>
        </w:tc>
      </w:tr>
      <w:tr>
        <w:trPr>
          <w:trHeight w:val="224"/>
        </w:trPr>
        <w:tc>
          <w:tcPr>
            <w:tcW w:w="1740" w:type="dxa"/>
            <w:vAlign w:val="bottom"/>
          </w:tcPr>
          <w:p>
            <w:pPr>
              <w:ind w:left="20"/>
              <w:spacing w:after="0"/>
              <w:rPr>
                <w:sz w:val="20"/>
                <w:szCs w:val="20"/>
                <w:color w:val="auto"/>
              </w:rPr>
            </w:pPr>
            <w:r>
              <w:rPr>
                <w:rFonts w:ascii="Arial" w:cs="Arial" w:eastAsia="Arial" w:hAnsi="Arial"/>
                <w:sz w:val="18"/>
                <w:szCs w:val="18"/>
                <w:i w:val="1"/>
                <w:iCs w:val="1"/>
                <w:color w:val="auto"/>
              </w:rPr>
              <w:t>margin</w:t>
            </w:r>
          </w:p>
        </w:tc>
        <w:tc>
          <w:tcPr>
            <w:tcW w:w="18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740" w:type="dxa"/>
            <w:vAlign w:val="bottom"/>
            <w:shd w:val="clear" w:color="auto" w:fill="CCEEFF"/>
          </w:tcPr>
          <w:p>
            <w:pPr>
              <w:ind w:left="20"/>
              <w:spacing w:after="0" w:line="187" w:lineRule="exact"/>
              <w:rPr>
                <w:sz w:val="20"/>
                <w:szCs w:val="20"/>
                <w:color w:val="auto"/>
              </w:rPr>
            </w:pPr>
            <w:r>
              <w:rPr>
                <w:rFonts w:ascii="Arial" w:cs="Arial" w:eastAsia="Arial" w:hAnsi="Arial"/>
                <w:sz w:val="18"/>
                <w:szCs w:val="18"/>
                <w:color w:val="auto"/>
              </w:rPr>
              <w:t>General and</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administrative</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(15.2)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173"/>
        </w:trPr>
        <w:tc>
          <w:tcPr>
            <w:tcW w:w="1740" w:type="dxa"/>
            <w:vAlign w:val="bottom"/>
          </w:tcPr>
          <w:p>
            <w:pPr>
              <w:ind w:left="20"/>
              <w:spacing w:after="0" w:line="173" w:lineRule="exact"/>
              <w:rPr>
                <w:sz w:val="20"/>
                <w:szCs w:val="20"/>
                <w:color w:val="auto"/>
              </w:rPr>
            </w:pPr>
            <w:r>
              <w:rPr>
                <w:rFonts w:ascii="Arial" w:cs="Arial" w:eastAsia="Arial" w:hAnsi="Arial"/>
                <w:sz w:val="18"/>
                <w:szCs w:val="18"/>
                <w:i w:val="1"/>
                <w:iCs w:val="1"/>
                <w:color w:val="auto"/>
              </w:rPr>
              <w:t>General and</w:t>
            </w:r>
          </w:p>
        </w:tc>
        <w:tc>
          <w:tcPr>
            <w:tcW w:w="1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9.6 %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(2.4 %)</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4"/>
            <w:vMerge w:val="restart"/>
          </w:tcPr>
          <w:p>
            <w:pPr>
              <w:jc w:val="right"/>
              <w:ind w:right="240"/>
              <w:spacing w:after="0"/>
              <w:rPr>
                <w:sz w:val="20"/>
                <w:szCs w:val="20"/>
                <w:color w:val="auto"/>
              </w:rPr>
            </w:pPr>
            <w:r>
              <w:rPr>
                <w:rFonts w:ascii="Arial" w:cs="Arial" w:eastAsia="Arial" w:hAnsi="Arial"/>
                <w:sz w:val="18"/>
                <w:szCs w:val="18"/>
                <w:color w:val="auto"/>
              </w:rPr>
              <w:t>— %</w:t>
            </w:r>
          </w:p>
        </w:tc>
        <w:tc>
          <w:tcPr>
            <w:tcW w:w="1380" w:type="dxa"/>
            <w:vAlign w:val="bottom"/>
            <w:gridSpan w:val="4"/>
            <w:vMerge w:val="restart"/>
          </w:tcPr>
          <w:p>
            <w:pPr>
              <w:jc w:val="right"/>
              <w:ind w:right="200"/>
              <w:spacing w:after="0"/>
              <w:rPr>
                <w:sz w:val="20"/>
                <w:szCs w:val="20"/>
                <w:color w:val="auto"/>
              </w:rPr>
            </w:pPr>
            <w:r>
              <w:rPr>
                <w:rFonts w:ascii="Arial" w:cs="Arial" w:eastAsia="Arial" w:hAnsi="Arial"/>
                <w:sz w:val="18"/>
                <w:szCs w:val="18"/>
                <w:color w:val="auto"/>
              </w:rPr>
              <w:t>— %</w:t>
            </w:r>
          </w:p>
        </w:tc>
        <w:tc>
          <w:tcPr>
            <w:tcW w:w="1420" w:type="dxa"/>
            <w:vAlign w:val="bottom"/>
            <w:gridSpan w:val="4"/>
            <w:vMerge w:val="restart"/>
          </w:tcPr>
          <w:p>
            <w:pPr>
              <w:jc w:val="right"/>
              <w:ind w:right="260"/>
              <w:spacing w:after="0"/>
              <w:rPr>
                <w:sz w:val="20"/>
                <w:szCs w:val="20"/>
                <w:color w:val="auto"/>
              </w:rPr>
            </w:pPr>
            <w:r>
              <w:rPr>
                <w:rFonts w:ascii="Arial" w:cs="Arial" w:eastAsia="Arial" w:hAnsi="Arial"/>
                <w:sz w:val="18"/>
                <w:szCs w:val="18"/>
                <w:color w:val="auto"/>
              </w:rPr>
              <w:t>— %</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(0.2 %)</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6.9 %</w:t>
            </w:r>
          </w:p>
        </w:tc>
        <w:tc>
          <w:tcPr>
            <w:tcW w:w="0" w:type="dxa"/>
            <w:vAlign w:val="bottom"/>
          </w:tcPr>
          <w:p>
            <w:pPr>
              <w:spacing w:after="0"/>
              <w:rPr>
                <w:sz w:val="1"/>
                <w:szCs w:val="1"/>
                <w:color w:val="auto"/>
              </w:rPr>
            </w:pPr>
          </w:p>
        </w:tc>
      </w:tr>
      <w:tr>
        <w:trPr>
          <w:trHeight w:val="231"/>
        </w:trPr>
        <w:tc>
          <w:tcPr>
            <w:tcW w:w="1740" w:type="dxa"/>
            <w:vAlign w:val="bottom"/>
          </w:tcPr>
          <w:p>
            <w:pPr>
              <w:ind w:left="20"/>
              <w:spacing w:after="0"/>
              <w:rPr>
                <w:sz w:val="20"/>
                <w:szCs w:val="20"/>
                <w:color w:val="auto"/>
              </w:rPr>
            </w:pPr>
            <w:r>
              <w:rPr>
                <w:rFonts w:ascii="Arial" w:cs="Arial" w:eastAsia="Arial" w:hAnsi="Arial"/>
                <w:sz w:val="18"/>
                <w:szCs w:val="18"/>
                <w:i w:val="1"/>
                <w:iCs w:val="1"/>
                <w:color w:val="auto"/>
                <w:w w:val="99"/>
              </w:rPr>
              <w:t>administrative margin</w:t>
            </w:r>
          </w:p>
        </w:tc>
        <w:tc>
          <w:tcPr>
            <w:tcW w:w="18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4"/>
            <w:vMerge w:val="continue"/>
          </w:tcPr>
          <w:p>
            <w:pPr>
              <w:spacing w:after="0"/>
              <w:rPr>
                <w:sz w:val="20"/>
                <w:szCs w:val="20"/>
                <w:color w:val="auto"/>
              </w:rPr>
            </w:pPr>
          </w:p>
        </w:tc>
        <w:tc>
          <w:tcPr>
            <w:tcW w:w="1380" w:type="dxa"/>
            <w:vAlign w:val="bottom"/>
            <w:gridSpan w:val="4"/>
            <w:vMerge w:val="continue"/>
          </w:tcPr>
          <w:p>
            <w:pPr>
              <w:spacing w:after="0"/>
              <w:rPr>
                <w:sz w:val="20"/>
                <w:szCs w:val="20"/>
                <w:color w:val="auto"/>
              </w:rPr>
            </w:pPr>
          </w:p>
        </w:tc>
        <w:tc>
          <w:tcPr>
            <w:tcW w:w="1420" w:type="dxa"/>
            <w:vAlign w:val="bottom"/>
            <w:gridSpan w:val="4"/>
            <w:vMerge w:val="continue"/>
          </w:tcPr>
          <w:p>
            <w:pPr>
              <w:spacing w:after="0"/>
              <w:rPr>
                <w:sz w:val="20"/>
                <w:szCs w:val="20"/>
                <w:color w:val="auto"/>
              </w:rPr>
            </w:pPr>
          </w:p>
        </w:tc>
        <w:tc>
          <w:tcPr>
            <w:tcW w:w="10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1740" w:type="dxa"/>
            <w:vAlign w:val="bottom"/>
            <w:shd w:val="clear" w:color="auto" w:fill="CCEEFF"/>
          </w:tcPr>
          <w:p>
            <w:pPr>
              <w:ind w:left="20"/>
              <w:spacing w:after="0" w:line="181" w:lineRule="exact"/>
              <w:rPr>
                <w:sz w:val="20"/>
                <w:szCs w:val="20"/>
                <w:color w:val="auto"/>
              </w:rPr>
            </w:pPr>
            <w:r>
              <w:rPr>
                <w:rFonts w:ascii="Arial" w:cs="Arial" w:eastAsia="Arial" w:hAnsi="Arial"/>
                <w:sz w:val="18"/>
                <w:szCs w:val="18"/>
                <w:color w:val="auto"/>
                <w:w w:val="99"/>
              </w:rPr>
              <w:t>Impairment related to</w:t>
            </w:r>
          </w:p>
        </w:tc>
        <w:tc>
          <w:tcPr>
            <w:tcW w:w="18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1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assets</w:t>
            </w:r>
          </w:p>
        </w:tc>
        <w:tc>
          <w:tcPr>
            <w:tcW w:w="18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740" w:type="dxa"/>
            <w:vAlign w:val="bottom"/>
          </w:tcPr>
          <w:p>
            <w:pPr>
              <w:ind w:left="20"/>
              <w:spacing w:after="0" w:line="187" w:lineRule="exact"/>
              <w:rPr>
                <w:sz w:val="20"/>
                <w:szCs w:val="20"/>
                <w:color w:val="auto"/>
              </w:rPr>
            </w:pPr>
            <w:r>
              <w:rPr>
                <w:rFonts w:ascii="Arial" w:cs="Arial" w:eastAsia="Arial" w:hAnsi="Arial"/>
                <w:sz w:val="18"/>
                <w:szCs w:val="18"/>
                <w:i w:val="1"/>
                <w:iCs w:val="1"/>
                <w:color w:val="auto"/>
                <w:w w:val="99"/>
              </w:rPr>
              <w:t>Impairment related to</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740" w:type="dxa"/>
            <w:vAlign w:val="bottom"/>
          </w:tcPr>
          <w:p>
            <w:pPr>
              <w:ind w:left="20"/>
              <w:spacing w:after="0" w:line="172" w:lineRule="exact"/>
              <w:rPr>
                <w:sz w:val="20"/>
                <w:szCs w:val="20"/>
                <w:color w:val="auto"/>
              </w:rPr>
            </w:pPr>
            <w:r>
              <w:rPr>
                <w:rFonts w:ascii="Arial" w:cs="Arial" w:eastAsia="Arial" w:hAnsi="Arial"/>
                <w:sz w:val="18"/>
                <w:szCs w:val="18"/>
                <w:i w:val="1"/>
                <w:iCs w:val="1"/>
                <w:color w:val="auto"/>
              </w:rPr>
              <w:t>real estate assets</w:t>
            </w:r>
          </w:p>
        </w:tc>
        <w:tc>
          <w:tcPr>
            <w:tcW w:w="18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0.4 %</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4"/>
            <w:vMerge w:val="restart"/>
          </w:tcPr>
          <w:p>
            <w:pPr>
              <w:jc w:val="right"/>
              <w:ind w:right="240"/>
              <w:spacing w:after="0"/>
              <w:rPr>
                <w:sz w:val="20"/>
                <w:szCs w:val="20"/>
                <w:color w:val="auto"/>
              </w:rPr>
            </w:pPr>
            <w:r>
              <w:rPr>
                <w:rFonts w:ascii="Arial" w:cs="Arial" w:eastAsia="Arial" w:hAnsi="Arial"/>
                <w:sz w:val="18"/>
                <w:szCs w:val="18"/>
                <w:color w:val="auto"/>
              </w:rPr>
              <w:t>— %</w:t>
            </w:r>
          </w:p>
        </w:tc>
        <w:tc>
          <w:tcPr>
            <w:tcW w:w="1380" w:type="dxa"/>
            <w:vAlign w:val="bottom"/>
            <w:gridSpan w:val="4"/>
            <w:vMerge w:val="restart"/>
          </w:tcPr>
          <w:p>
            <w:pPr>
              <w:jc w:val="right"/>
              <w:ind w:right="200"/>
              <w:spacing w:after="0"/>
              <w:rPr>
                <w:sz w:val="20"/>
                <w:szCs w:val="20"/>
                <w:color w:val="auto"/>
              </w:rPr>
            </w:pPr>
            <w:r>
              <w:rPr>
                <w:rFonts w:ascii="Arial" w:cs="Arial" w:eastAsia="Arial" w:hAnsi="Arial"/>
                <w:sz w:val="18"/>
                <w:szCs w:val="18"/>
                <w:color w:val="auto"/>
              </w:rPr>
              <w:t>— %</w:t>
            </w:r>
          </w:p>
        </w:tc>
        <w:tc>
          <w:tcPr>
            <w:tcW w:w="1180" w:type="dxa"/>
            <w:vAlign w:val="bottom"/>
            <w:gridSpan w:val="2"/>
            <w:vMerge w:val="restart"/>
          </w:tcPr>
          <w:p>
            <w:pPr>
              <w:jc w:val="right"/>
              <w:spacing w:after="0"/>
              <w:rPr>
                <w:sz w:val="20"/>
                <w:szCs w:val="20"/>
                <w:color w:val="auto"/>
              </w:rPr>
            </w:pPr>
            <w:r>
              <w:rPr>
                <w:rFonts w:ascii="Arial" w:cs="Arial" w:eastAsia="Arial" w:hAnsi="Arial"/>
                <w:sz w:val="18"/>
                <w:szCs w:val="18"/>
                <w:color w:val="auto"/>
              </w:rPr>
              <w:t>(0.4 %)</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4"/>
        </w:trPr>
        <w:tc>
          <w:tcPr>
            <w:tcW w:w="1740" w:type="dxa"/>
            <w:vAlign w:val="bottom"/>
          </w:tcPr>
          <w:p>
            <w:pPr>
              <w:ind w:left="20"/>
              <w:spacing w:after="0"/>
              <w:rPr>
                <w:sz w:val="20"/>
                <w:szCs w:val="20"/>
                <w:color w:val="auto"/>
              </w:rPr>
            </w:pPr>
            <w:r>
              <w:rPr>
                <w:rFonts w:ascii="Arial" w:cs="Arial" w:eastAsia="Arial" w:hAnsi="Arial"/>
                <w:sz w:val="18"/>
                <w:szCs w:val="18"/>
                <w:i w:val="1"/>
                <w:iCs w:val="1"/>
                <w:color w:val="auto"/>
              </w:rPr>
              <w:t>margin</w:t>
            </w:r>
          </w:p>
        </w:tc>
        <w:tc>
          <w:tcPr>
            <w:tcW w:w="18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4"/>
            <w:vMerge w:val="continue"/>
          </w:tcPr>
          <w:p>
            <w:pPr>
              <w:spacing w:after="0"/>
              <w:rPr>
                <w:sz w:val="19"/>
                <w:szCs w:val="19"/>
                <w:color w:val="auto"/>
              </w:rPr>
            </w:pPr>
          </w:p>
        </w:tc>
        <w:tc>
          <w:tcPr>
            <w:tcW w:w="1380" w:type="dxa"/>
            <w:vAlign w:val="bottom"/>
            <w:gridSpan w:val="4"/>
            <w:vMerge w:val="continue"/>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2"/>
              </w:rPr>
              <w:t>Income from operations $</w:t>
            </w:r>
          </w:p>
        </w:tc>
        <w:tc>
          <w:tcPr>
            <w:tcW w:w="8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56.5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95.3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14.6</w:t>
            </w:r>
          </w:p>
        </w:tc>
        <w:tc>
          <w:tcPr>
            <w:tcW w:w="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7.0</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37.5</w:t>
            </w:r>
          </w:p>
        </w:tc>
        <w:tc>
          <w:tcPr>
            <w:tcW w:w="3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213.1</w:t>
            </w:r>
          </w:p>
        </w:tc>
        <w:tc>
          <w:tcPr>
            <w:tcW w:w="0" w:type="dxa"/>
            <w:vAlign w:val="bottom"/>
          </w:tcPr>
          <w:p>
            <w:pPr>
              <w:spacing w:after="0"/>
              <w:rPr>
                <w:sz w:val="1"/>
                <w:szCs w:val="1"/>
                <w:color w:val="auto"/>
              </w:rPr>
            </w:pPr>
          </w:p>
        </w:tc>
      </w:tr>
      <w:tr>
        <w:trPr>
          <w:trHeight w:val="224"/>
        </w:trPr>
        <w:tc>
          <w:tcPr>
            <w:tcW w:w="1740" w:type="dxa"/>
            <w:vAlign w:val="bottom"/>
          </w:tcPr>
          <w:p>
            <w:pPr>
              <w:ind w:left="20"/>
              <w:spacing w:after="0"/>
              <w:rPr>
                <w:sz w:val="20"/>
                <w:szCs w:val="20"/>
                <w:color w:val="auto"/>
              </w:rPr>
            </w:pPr>
            <w:r>
              <w:rPr>
                <w:rFonts w:ascii="Arial" w:cs="Arial" w:eastAsia="Arial" w:hAnsi="Arial"/>
                <w:sz w:val="18"/>
                <w:szCs w:val="18"/>
                <w:i w:val="1"/>
                <w:iCs w:val="1"/>
                <w:color w:val="auto"/>
              </w:rPr>
              <w:t>Operating margin</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15.3 %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2.3</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0.4</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34.2 %</w:t>
            </w:r>
          </w:p>
        </w:tc>
        <w:tc>
          <w:tcPr>
            <w:tcW w:w="0" w:type="dxa"/>
            <w:vAlign w:val="bottom"/>
          </w:tcPr>
          <w:p>
            <w:pPr>
              <w:spacing w:after="0"/>
              <w:rPr>
                <w:sz w:val="1"/>
                <w:szCs w:val="1"/>
                <w:color w:val="auto"/>
              </w:rPr>
            </w:pPr>
          </w:p>
        </w:tc>
      </w:tr>
    </w:tbl>
    <w:p>
      <w:pPr>
        <w:spacing w:after="0" w:line="320" w:lineRule="exact"/>
        <w:rPr>
          <w:sz w:val="20"/>
          <w:szCs w:val="20"/>
          <w:color w:val="auto"/>
        </w:rPr>
      </w:pPr>
    </w:p>
    <w:p>
      <w:pPr>
        <w:ind w:left="154" w:hanging="154"/>
        <w:spacing w:after="0"/>
        <w:tabs>
          <w:tab w:leader="none" w:pos="154" w:val="left"/>
        </w:tabs>
        <w:numPr>
          <w:ilvl w:val="0"/>
          <w:numId w:val="8"/>
        </w:numPr>
        <w:rPr>
          <w:rFonts w:ascii="Arial" w:cs="Arial" w:eastAsia="Arial" w:hAnsi="Arial"/>
          <w:sz w:val="18"/>
          <w:szCs w:val="18"/>
          <w:color w:val="auto"/>
          <w:vertAlign w:val="superscript"/>
        </w:rPr>
      </w:pPr>
      <w:r>
        <w:rPr>
          <w:rFonts w:ascii="Arial" w:cs="Arial" w:eastAsia="Arial" w:hAnsi="Arial"/>
          <w:sz w:val="13"/>
          <w:szCs w:val="13"/>
          <w:color w:val="auto"/>
        </w:rPr>
        <w:t>Includes impairment charges related to real estate assets as a result of our Virtual First work model.</w:t>
      </w:r>
    </w:p>
    <w:p>
      <w:pPr>
        <w:spacing w:after="0" w:line="217" w:lineRule="exact"/>
        <w:rPr>
          <w:rFonts w:ascii="Arial" w:cs="Arial" w:eastAsia="Arial" w:hAnsi="Arial"/>
          <w:sz w:val="18"/>
          <w:szCs w:val="18"/>
          <w:color w:val="auto"/>
          <w:vertAlign w:val="superscript"/>
        </w:rPr>
      </w:pPr>
    </w:p>
    <w:p>
      <w:pPr>
        <w:ind w:left="154" w:hanging="154"/>
        <w:spacing w:after="0"/>
        <w:tabs>
          <w:tab w:leader="none" w:pos="154" w:val="left"/>
        </w:tabs>
        <w:numPr>
          <w:ilvl w:val="0"/>
          <w:numId w:val="8"/>
        </w:numPr>
        <w:rPr>
          <w:rFonts w:ascii="Arial" w:cs="Arial" w:eastAsia="Arial" w:hAnsi="Arial"/>
          <w:sz w:val="18"/>
          <w:szCs w:val="18"/>
          <w:color w:val="auto"/>
          <w:vertAlign w:val="superscript"/>
        </w:rPr>
      </w:pPr>
      <w:r>
        <w:rPr>
          <w:rFonts w:ascii="Arial" w:cs="Arial" w:eastAsia="Arial" w:hAnsi="Arial"/>
          <w:sz w:val="13"/>
          <w:szCs w:val="13"/>
          <w:color w:val="auto"/>
        </w:rPr>
        <w:t>Includes expenses related to our reduction in workforce such as severance, benefits and other related items.</w:t>
      </w:r>
    </w:p>
    <w:p>
      <w:pPr>
        <w:sectPr>
          <w:pgSz w:w="11900" w:h="16838" w:orient="portrait"/>
          <w:cols w:equalWidth="0" w:num="1">
            <w:col w:w="11014"/>
          </w:cols>
          <w:pgMar w:left="326" w:top="1112" w:right="559" w:bottom="1440" w:gutter="0" w:footer="0" w:header="0"/>
        </w:sectPr>
      </w:pPr>
    </w:p>
    <w:bookmarkStart w:id="11" w:name="page12"/>
    <w:bookmarkEnd w:id="11"/>
    <w:p>
      <w:pPr>
        <w:ind w:left="5060"/>
        <w:spacing w:after="0"/>
        <w:rPr>
          <w:sz w:val="20"/>
          <w:szCs w:val="20"/>
          <w:color w:val="auto"/>
        </w:rPr>
      </w:pPr>
      <w:r>
        <w:rPr>
          <w:rFonts w:ascii="Arial" w:cs="Arial" w:eastAsia="Arial" w:hAnsi="Arial"/>
          <w:sz w:val="19"/>
          <w:szCs w:val="19"/>
          <w:b w:val="1"/>
          <w:bCs w:val="1"/>
          <w:color w:val="auto"/>
        </w:rPr>
        <w:t>Dropbox, Inc.</w:t>
      </w:r>
    </w:p>
    <w:p>
      <w:pPr>
        <w:spacing w:after="0" w:line="35" w:lineRule="exact"/>
        <w:rPr>
          <w:sz w:val="20"/>
          <w:szCs w:val="20"/>
          <w:color w:val="auto"/>
        </w:rPr>
      </w:pPr>
    </w:p>
    <w:p>
      <w:pPr>
        <w:ind w:left="4160"/>
        <w:spacing w:after="0"/>
        <w:rPr>
          <w:sz w:val="20"/>
          <w:szCs w:val="20"/>
          <w:color w:val="auto"/>
        </w:rPr>
      </w:pPr>
      <w:r>
        <w:rPr>
          <w:rFonts w:ascii="Arial" w:cs="Arial" w:eastAsia="Arial" w:hAnsi="Arial"/>
          <w:sz w:val="19"/>
          <w:szCs w:val="19"/>
          <w:b w:val="1"/>
          <w:bCs w:val="1"/>
          <w:color w:val="auto"/>
        </w:rPr>
        <w:t>Three Months Ended June 30, 2022</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Reconciliation of GAAP to Non-GAAP results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for percentages, which may not foot due to rounding)</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tbl>
      <w:tblPr>
        <w:tblLayout w:type="fixed"/>
        <w:tblInd w:w="0" w:type="dxa"/>
        <w:tblCellMar>
          <w:top w:w="0" w:type="dxa"/>
          <w:left w:w="0" w:type="dxa"/>
          <w:bottom w:w="0" w:type="dxa"/>
          <w:right w:w="0" w:type="dxa"/>
        </w:tblCellMar>
      </w:tblPr>
      <w:tr>
        <w:trPr>
          <w:trHeight w:val="205"/>
        </w:trPr>
        <w:tc>
          <w:tcPr>
            <w:tcW w:w="2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vMerge w:val="restart"/>
          </w:tcPr>
          <w:p>
            <w:pPr>
              <w:jc w:val="right"/>
              <w:ind w:right="192"/>
              <w:spacing w:after="0"/>
              <w:rPr>
                <w:sz w:val="20"/>
                <w:szCs w:val="20"/>
                <w:color w:val="auto"/>
              </w:rPr>
            </w:pPr>
            <w:r>
              <w:rPr>
                <w:rFonts w:ascii="Arial" w:cs="Arial" w:eastAsia="Arial" w:hAnsi="Arial"/>
                <w:sz w:val="18"/>
                <w:szCs w:val="18"/>
                <w:b w:val="1"/>
                <w:bCs w:val="1"/>
                <w:color w:val="auto"/>
                <w:w w:val="95"/>
              </w:rPr>
              <w:t>Stock-based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center"/>
              <w:spacing w:after="0" w:line="206" w:lineRule="exact"/>
              <w:rPr>
                <w:sz w:val="20"/>
                <w:szCs w:val="20"/>
                <w:color w:val="auto"/>
              </w:rPr>
            </w:pPr>
            <w:r>
              <w:rPr>
                <w:rFonts w:ascii="Arial" w:cs="Arial" w:eastAsia="Arial" w:hAnsi="Arial"/>
                <w:sz w:val="18"/>
                <w:szCs w:val="18"/>
                <w:b w:val="1"/>
                <w:bCs w:val="1"/>
                <w:color w:val="auto"/>
                <w:w w:val="90"/>
              </w:rPr>
              <w:t>Acquisition-</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Intangibles</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ind w:left="120"/>
              <w:spacing w:after="0" w:line="206" w:lineRule="exact"/>
              <w:rPr>
                <w:sz w:val="20"/>
                <w:szCs w:val="20"/>
                <w:color w:val="auto"/>
              </w:rPr>
            </w:pPr>
            <w:r>
              <w:rPr>
                <w:rFonts w:ascii="Arial" w:cs="Arial" w:eastAsia="Arial" w:hAnsi="Arial"/>
                <w:sz w:val="18"/>
                <w:szCs w:val="18"/>
                <w:b w:val="1"/>
                <w:bCs w:val="1"/>
                <w:color w:val="auto"/>
              </w:rPr>
              <w:t>Impairment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vMerge w:val="restart"/>
          </w:tcPr>
          <w:p>
            <w:pPr>
              <w:jc w:val="right"/>
              <w:ind w:right="332"/>
              <w:spacing w:after="0"/>
              <w:rPr>
                <w:sz w:val="20"/>
                <w:szCs w:val="20"/>
                <w:color w:val="auto"/>
              </w:rPr>
            </w:pPr>
            <w:r>
              <w:rPr>
                <w:rFonts w:ascii="Arial" w:cs="Arial" w:eastAsia="Arial" w:hAnsi="Arial"/>
                <w:sz w:val="18"/>
                <w:szCs w:val="18"/>
                <w:b w:val="1"/>
                <w:bCs w:val="1"/>
                <w:color w:val="auto"/>
              </w:rPr>
              <w:t>GAAP</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5"/>
          </w:tcPr>
          <w:p>
            <w:pPr>
              <w:jc w:val="center"/>
              <w:ind w:right="280"/>
              <w:spacing w:after="0" w:line="172" w:lineRule="exact"/>
              <w:rPr>
                <w:sz w:val="20"/>
                <w:szCs w:val="20"/>
                <w:color w:val="auto"/>
              </w:rPr>
            </w:pPr>
            <w:r>
              <w:rPr>
                <w:rFonts w:ascii="Arial" w:cs="Arial" w:eastAsia="Arial" w:hAnsi="Arial"/>
                <w:sz w:val="18"/>
                <w:szCs w:val="18"/>
                <w:b w:val="1"/>
                <w:bCs w:val="1"/>
                <w:color w:val="auto"/>
                <w:w w:val="88"/>
              </w:rPr>
              <w:t>related and other</w:t>
            </w:r>
          </w:p>
        </w:tc>
        <w:tc>
          <w:tcPr>
            <w:tcW w:w="10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ind w:left="60"/>
              <w:spacing w:after="0" w:line="172" w:lineRule="exact"/>
              <w:rPr>
                <w:sz w:val="20"/>
                <w:szCs w:val="20"/>
                <w:color w:val="auto"/>
              </w:rPr>
            </w:pPr>
            <w:r>
              <w:rPr>
                <w:rFonts w:ascii="Arial" w:cs="Arial" w:eastAsia="Arial" w:hAnsi="Arial"/>
                <w:sz w:val="18"/>
                <w:szCs w:val="18"/>
                <w:b w:val="1"/>
                <w:bCs w:val="1"/>
                <w:color w:val="auto"/>
                <w:w w:val="88"/>
              </w:rPr>
              <w:t>related to real</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vMerge w:val="restart"/>
          </w:tcPr>
          <w:p>
            <w:pPr>
              <w:jc w:val="right"/>
              <w:ind w:right="152"/>
              <w:spacing w:after="0"/>
              <w:rPr>
                <w:sz w:val="20"/>
                <w:szCs w:val="20"/>
                <w:color w:val="auto"/>
              </w:rPr>
            </w:pPr>
            <w:r>
              <w:rPr>
                <w:rFonts w:ascii="Arial" w:cs="Arial" w:eastAsia="Arial" w:hAnsi="Arial"/>
                <w:sz w:val="18"/>
                <w:szCs w:val="18"/>
                <w:b w:val="1"/>
                <w:bCs w:val="1"/>
                <w:color w:val="auto"/>
                <w:w w:val="96"/>
              </w:rPr>
              <w:t>Non-GAAP</w:t>
            </w:r>
          </w:p>
        </w:tc>
        <w:tc>
          <w:tcPr>
            <w:tcW w:w="0" w:type="dxa"/>
            <w:vAlign w:val="bottom"/>
          </w:tcPr>
          <w:p>
            <w:pPr>
              <w:spacing w:after="0"/>
              <w:rPr>
                <w:sz w:val="1"/>
                <w:szCs w:val="1"/>
                <w:color w:val="auto"/>
              </w:rPr>
            </w:pPr>
          </w:p>
        </w:tc>
      </w:tr>
      <w:tr>
        <w:trPr>
          <w:trHeight w:val="239"/>
        </w:trPr>
        <w:tc>
          <w:tcPr>
            <w:tcW w:w="22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88"/>
              </w:rPr>
              <w:t>compensation</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0"/>
              </w:rPr>
              <w:t>expenses</w:t>
            </w: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amortization</w:t>
            </w: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60"/>
              <w:spacing w:after="0" w:line="239" w:lineRule="exact"/>
              <w:rPr>
                <w:sz w:val="20"/>
                <w:szCs w:val="20"/>
                <w:color w:val="auto"/>
              </w:rPr>
            </w:pPr>
            <w:r>
              <w:rPr>
                <w:rFonts w:ascii="Arial" w:cs="Arial" w:eastAsia="Arial" w:hAnsi="Arial"/>
                <w:sz w:val="18"/>
                <w:szCs w:val="18"/>
                <w:b w:val="1"/>
                <w:bCs w:val="1"/>
                <w:color w:val="auto"/>
                <w:w w:val="79"/>
              </w:rPr>
              <w:t>estate assets</w:t>
            </w:r>
            <w:r>
              <w:rPr>
                <w:rFonts w:ascii="Arial" w:cs="Arial" w:eastAsia="Arial" w:hAnsi="Arial"/>
                <w:sz w:val="22"/>
                <w:szCs w:val="22"/>
                <w:b w:val="1"/>
                <w:bCs w:val="1"/>
                <w:color w:val="auto"/>
                <w:w w:val="79"/>
                <w:vertAlign w:val="superscript"/>
              </w:rPr>
              <w:t>(1)</w:t>
            </w: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105.8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4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25"/>
        </w:trPr>
        <w:tc>
          <w:tcPr>
            <w:tcW w:w="2240" w:type="dxa"/>
            <w:vAlign w:val="bottom"/>
          </w:tcPr>
          <w:p>
            <w:pPr>
              <w:ind w:left="20"/>
              <w:spacing w:after="0"/>
              <w:rPr>
                <w:sz w:val="20"/>
                <w:szCs w:val="20"/>
                <w:color w:val="auto"/>
              </w:rPr>
            </w:pPr>
            <w:r>
              <w:rPr>
                <w:rFonts w:ascii="Arial" w:cs="Arial" w:eastAsia="Arial" w:hAnsi="Arial"/>
                <w:sz w:val="18"/>
                <w:szCs w:val="18"/>
                <w:i w:val="1"/>
                <w:iCs w:val="1"/>
                <w:color w:val="auto"/>
              </w:rPr>
              <w:t>Cost of revenue margin</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18.5 %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4"/>
          </w:tcPr>
          <w:p>
            <w:pPr>
              <w:jc w:val="right"/>
              <w:ind w:right="300"/>
              <w:spacing w:after="0"/>
              <w:rPr>
                <w:sz w:val="20"/>
                <w:szCs w:val="20"/>
                <w:color w:val="auto"/>
              </w:rPr>
            </w:pPr>
            <w:r>
              <w:rPr>
                <w:rFonts w:ascii="Arial" w:cs="Arial" w:eastAsia="Arial" w:hAnsi="Arial"/>
                <w:sz w:val="18"/>
                <w:szCs w:val="18"/>
                <w:color w:val="auto"/>
              </w:rPr>
              <w:t>— %</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(0.3 %)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4"/>
          </w:tcPr>
          <w:p>
            <w:pPr>
              <w:ind w:left="860"/>
              <w:spacing w:after="0"/>
              <w:rPr>
                <w:sz w:val="20"/>
                <w:szCs w:val="20"/>
                <w:color w:val="auto"/>
              </w:rPr>
            </w:pPr>
            <w:r>
              <w:rPr>
                <w:rFonts w:ascii="Arial" w:cs="Arial" w:eastAsia="Arial" w:hAnsi="Arial"/>
                <w:sz w:val="18"/>
                <w:szCs w:val="18"/>
                <w:color w:val="auto"/>
              </w:rPr>
              <w:t>— %</w:t>
            </w:r>
          </w:p>
        </w:tc>
        <w:tc>
          <w:tcPr>
            <w:tcW w:w="1160" w:type="dxa"/>
            <w:vAlign w:val="bottom"/>
          </w:tcPr>
          <w:p>
            <w:pPr>
              <w:jc w:val="right"/>
              <w:spacing w:after="0"/>
              <w:rPr>
                <w:sz w:val="20"/>
                <w:szCs w:val="20"/>
                <w:color w:val="auto"/>
              </w:rPr>
            </w:pPr>
            <w:r>
              <w:rPr>
                <w:rFonts w:ascii="Arial" w:cs="Arial" w:eastAsia="Arial" w:hAnsi="Arial"/>
                <w:sz w:val="18"/>
                <w:szCs w:val="18"/>
                <w:color w:val="auto"/>
              </w:rPr>
              <w:t>17.0 %</w:t>
            </w:r>
          </w:p>
        </w:tc>
        <w:tc>
          <w:tcPr>
            <w:tcW w:w="0" w:type="dxa"/>
            <w:vAlign w:val="bottom"/>
          </w:tcPr>
          <w:p>
            <w:pPr>
              <w:spacing w:after="0"/>
              <w:rPr>
                <w:sz w:val="1"/>
                <w:szCs w:val="1"/>
                <w:color w:val="auto"/>
              </w:rPr>
            </w:pPr>
          </w:p>
        </w:tc>
      </w:tr>
      <w:tr>
        <w:trPr>
          <w:trHeight w:val="239"/>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466.9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475.5</w:t>
            </w:r>
          </w:p>
        </w:tc>
        <w:tc>
          <w:tcPr>
            <w:tcW w:w="0" w:type="dxa"/>
            <w:vAlign w:val="bottom"/>
          </w:tcPr>
          <w:p>
            <w:pPr>
              <w:spacing w:after="0"/>
              <w:rPr>
                <w:sz w:val="1"/>
                <w:szCs w:val="1"/>
                <w:color w:val="auto"/>
              </w:rPr>
            </w:pPr>
          </w:p>
        </w:tc>
      </w:tr>
      <w:tr>
        <w:trPr>
          <w:trHeight w:val="225"/>
        </w:trPr>
        <w:tc>
          <w:tcPr>
            <w:tcW w:w="2240" w:type="dxa"/>
            <w:vAlign w:val="bottom"/>
          </w:tcPr>
          <w:p>
            <w:pPr>
              <w:ind w:left="20"/>
              <w:spacing w:after="0"/>
              <w:rPr>
                <w:sz w:val="20"/>
                <w:szCs w:val="20"/>
                <w:color w:val="auto"/>
              </w:rPr>
            </w:pPr>
            <w:r>
              <w:rPr>
                <w:rFonts w:ascii="Arial" w:cs="Arial" w:eastAsia="Arial" w:hAnsi="Arial"/>
                <w:sz w:val="18"/>
                <w:szCs w:val="18"/>
                <w:i w:val="1"/>
                <w:iCs w:val="1"/>
                <w:color w:val="auto"/>
              </w:rPr>
              <w:t>Gross margin</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81.5 %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4"/>
          </w:tcPr>
          <w:p>
            <w:pPr>
              <w:jc w:val="right"/>
              <w:ind w:right="300"/>
              <w:spacing w:after="0"/>
              <w:rPr>
                <w:sz w:val="20"/>
                <w:szCs w:val="20"/>
                <w:color w:val="auto"/>
              </w:rPr>
            </w:pPr>
            <w:r>
              <w:rPr>
                <w:rFonts w:ascii="Arial" w:cs="Arial" w:eastAsia="Arial" w:hAnsi="Arial"/>
                <w:sz w:val="18"/>
                <w:szCs w:val="18"/>
                <w:color w:val="auto"/>
              </w:rPr>
              <w:t>— %</w:t>
            </w:r>
          </w:p>
        </w:tc>
        <w:tc>
          <w:tcPr>
            <w:tcW w:w="1080" w:type="dxa"/>
            <w:vAlign w:val="bottom"/>
          </w:tcPr>
          <w:p>
            <w:pPr>
              <w:jc w:val="right"/>
              <w:spacing w:after="0"/>
              <w:rPr>
                <w:sz w:val="20"/>
                <w:szCs w:val="20"/>
                <w:color w:val="auto"/>
              </w:rPr>
            </w:pPr>
            <w:r>
              <w:rPr>
                <w:rFonts w:ascii="Arial" w:cs="Arial" w:eastAsia="Arial" w:hAnsi="Arial"/>
                <w:sz w:val="18"/>
                <w:szCs w:val="18"/>
                <w:color w:val="auto"/>
              </w:rPr>
              <w:t>0.3</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4"/>
          </w:tcPr>
          <w:p>
            <w:pPr>
              <w:ind w:left="860"/>
              <w:spacing w:after="0"/>
              <w:rPr>
                <w:sz w:val="20"/>
                <w:szCs w:val="20"/>
                <w:color w:val="auto"/>
              </w:rPr>
            </w:pPr>
            <w:r>
              <w:rPr>
                <w:rFonts w:ascii="Arial" w:cs="Arial" w:eastAsia="Arial" w:hAnsi="Arial"/>
                <w:sz w:val="18"/>
                <w:szCs w:val="18"/>
                <w:color w:val="auto"/>
              </w:rPr>
              <w:t>— %</w:t>
            </w:r>
          </w:p>
        </w:tc>
        <w:tc>
          <w:tcPr>
            <w:tcW w:w="1160" w:type="dxa"/>
            <w:vAlign w:val="bottom"/>
          </w:tcPr>
          <w:p>
            <w:pPr>
              <w:jc w:val="right"/>
              <w:spacing w:after="0"/>
              <w:rPr>
                <w:sz w:val="20"/>
                <w:szCs w:val="20"/>
                <w:color w:val="auto"/>
              </w:rPr>
            </w:pPr>
            <w:r>
              <w:rPr>
                <w:rFonts w:ascii="Arial" w:cs="Arial" w:eastAsia="Arial" w:hAnsi="Arial"/>
                <w:sz w:val="18"/>
                <w:szCs w:val="18"/>
                <w:color w:val="auto"/>
              </w:rPr>
              <w:t>83.0 %</w:t>
            </w:r>
          </w:p>
        </w:tc>
        <w:tc>
          <w:tcPr>
            <w:tcW w:w="0" w:type="dxa"/>
            <w:vAlign w:val="bottom"/>
          </w:tcPr>
          <w:p>
            <w:pPr>
              <w:spacing w:after="0"/>
              <w:rPr>
                <w:sz w:val="1"/>
                <w:szCs w:val="1"/>
                <w:color w:val="auto"/>
              </w:rPr>
            </w:pPr>
          </w:p>
        </w:tc>
      </w:tr>
      <w:tr>
        <w:trPr>
          <w:trHeight w:val="226"/>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Research and development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215.0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155.1</w:t>
            </w:r>
          </w:p>
        </w:tc>
        <w:tc>
          <w:tcPr>
            <w:tcW w:w="0" w:type="dxa"/>
            <w:vAlign w:val="bottom"/>
          </w:tcPr>
          <w:p>
            <w:pPr>
              <w:spacing w:after="0"/>
              <w:rPr>
                <w:sz w:val="1"/>
                <w:szCs w:val="1"/>
                <w:color w:val="auto"/>
              </w:rPr>
            </w:pPr>
          </w:p>
        </w:tc>
      </w:tr>
      <w:tr>
        <w:trPr>
          <w:trHeight w:val="187"/>
        </w:trPr>
        <w:tc>
          <w:tcPr>
            <w:tcW w:w="2240" w:type="dxa"/>
            <w:vAlign w:val="bottom"/>
          </w:tcPr>
          <w:p>
            <w:pPr>
              <w:ind w:left="20"/>
              <w:spacing w:after="0" w:line="187" w:lineRule="exact"/>
              <w:rPr>
                <w:sz w:val="20"/>
                <w:szCs w:val="20"/>
                <w:color w:val="auto"/>
              </w:rPr>
            </w:pPr>
            <w:r>
              <w:rPr>
                <w:rFonts w:ascii="Arial" w:cs="Arial" w:eastAsia="Arial" w:hAnsi="Arial"/>
                <w:sz w:val="18"/>
                <w:szCs w:val="18"/>
                <w:i w:val="1"/>
                <w:iCs w:val="1"/>
                <w:color w:val="auto"/>
                <w:w w:val="99"/>
              </w:rPr>
              <w:t>Research and development</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240" w:type="dxa"/>
            <w:vAlign w:val="bottom"/>
          </w:tcPr>
          <w:p>
            <w:pPr>
              <w:ind w:left="20"/>
              <w:spacing w:after="0"/>
              <w:rPr>
                <w:sz w:val="20"/>
                <w:szCs w:val="20"/>
                <w:color w:val="auto"/>
              </w:rPr>
            </w:pPr>
            <w:r>
              <w:rPr>
                <w:rFonts w:ascii="Arial" w:cs="Arial" w:eastAsia="Arial" w:hAnsi="Arial"/>
                <w:sz w:val="18"/>
                <w:szCs w:val="18"/>
                <w:i w:val="1"/>
                <w:iCs w:val="1"/>
                <w:color w:val="auto"/>
              </w:rPr>
              <w:t>margin</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37.5 %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(10.2 %)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4"/>
          </w:tcPr>
          <w:p>
            <w:pPr>
              <w:jc w:val="right"/>
              <w:ind w:right="260"/>
              <w:spacing w:after="0"/>
              <w:rPr>
                <w:sz w:val="20"/>
                <w:szCs w:val="20"/>
                <w:color w:val="auto"/>
              </w:rPr>
            </w:pPr>
            <w:r>
              <w:rPr>
                <w:rFonts w:ascii="Arial" w:cs="Arial" w:eastAsia="Arial" w:hAnsi="Arial"/>
                <w:sz w:val="18"/>
                <w:szCs w:val="18"/>
                <w:color w:val="auto"/>
              </w:rPr>
              <w:t>— %</w:t>
            </w:r>
          </w:p>
        </w:tc>
        <w:tc>
          <w:tcPr>
            <w:tcW w:w="1580" w:type="dxa"/>
            <w:vAlign w:val="bottom"/>
            <w:gridSpan w:val="4"/>
          </w:tcPr>
          <w:p>
            <w:pPr>
              <w:ind w:left="860"/>
              <w:spacing w:after="0"/>
              <w:rPr>
                <w:sz w:val="20"/>
                <w:szCs w:val="20"/>
                <w:color w:val="auto"/>
              </w:rPr>
            </w:pPr>
            <w:r>
              <w:rPr>
                <w:rFonts w:ascii="Arial" w:cs="Arial" w:eastAsia="Arial" w:hAnsi="Arial"/>
                <w:sz w:val="18"/>
                <w:szCs w:val="18"/>
                <w:color w:val="auto"/>
              </w:rPr>
              <w:t>— %</w:t>
            </w:r>
          </w:p>
        </w:tc>
        <w:tc>
          <w:tcPr>
            <w:tcW w:w="1160" w:type="dxa"/>
            <w:vAlign w:val="bottom"/>
          </w:tcPr>
          <w:p>
            <w:pPr>
              <w:jc w:val="right"/>
              <w:spacing w:after="0"/>
              <w:rPr>
                <w:sz w:val="20"/>
                <w:szCs w:val="20"/>
                <w:color w:val="auto"/>
              </w:rPr>
            </w:pPr>
            <w:r>
              <w:rPr>
                <w:rFonts w:ascii="Arial" w:cs="Arial" w:eastAsia="Arial" w:hAnsi="Arial"/>
                <w:sz w:val="18"/>
                <w:szCs w:val="18"/>
                <w:color w:val="auto"/>
              </w:rPr>
              <w:t>27.1 %</w:t>
            </w:r>
          </w:p>
        </w:tc>
        <w:tc>
          <w:tcPr>
            <w:tcW w:w="0" w:type="dxa"/>
            <w:vAlign w:val="bottom"/>
          </w:tcPr>
          <w:p>
            <w:pPr>
              <w:spacing w:after="0"/>
              <w:rPr>
                <w:sz w:val="1"/>
                <w:szCs w:val="1"/>
                <w:color w:val="auto"/>
              </w:rPr>
            </w:pPr>
          </w:p>
        </w:tc>
      </w:tr>
      <w:tr>
        <w:trPr>
          <w:trHeight w:val="226"/>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105.0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32"/>
        </w:trPr>
        <w:tc>
          <w:tcPr>
            <w:tcW w:w="2240" w:type="dxa"/>
            <w:vAlign w:val="bottom"/>
          </w:tcPr>
          <w:p>
            <w:pPr>
              <w:ind w:left="20"/>
              <w:spacing w:after="0"/>
              <w:rPr>
                <w:sz w:val="20"/>
                <w:szCs w:val="20"/>
                <w:color w:val="auto"/>
              </w:rPr>
            </w:pPr>
            <w:r>
              <w:rPr>
                <w:rFonts w:ascii="Arial" w:cs="Arial" w:eastAsia="Arial" w:hAnsi="Arial"/>
                <w:sz w:val="18"/>
                <w:szCs w:val="18"/>
                <w:i w:val="1"/>
                <w:iCs w:val="1"/>
                <w:color w:val="auto"/>
                <w:w w:val="98"/>
              </w:rPr>
              <w:t>Sales and marketing margin</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18.3 %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(0.2 %)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16.8 %</w:t>
            </w:r>
          </w:p>
        </w:tc>
        <w:tc>
          <w:tcPr>
            <w:tcW w:w="0" w:type="dxa"/>
            <w:vAlign w:val="bottom"/>
          </w:tcPr>
          <w:p>
            <w:pPr>
              <w:spacing w:after="0"/>
              <w:rPr>
                <w:sz w:val="1"/>
                <w:szCs w:val="1"/>
                <w:color w:val="auto"/>
              </w:rPr>
            </w:pPr>
          </w:p>
        </w:tc>
      </w:tr>
      <w:tr>
        <w:trPr>
          <w:trHeight w:val="233"/>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55.3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173"/>
        </w:trPr>
        <w:tc>
          <w:tcPr>
            <w:tcW w:w="2240" w:type="dxa"/>
            <w:vAlign w:val="bottom"/>
          </w:tcPr>
          <w:p>
            <w:pPr>
              <w:ind w:left="20"/>
              <w:spacing w:after="0" w:line="173" w:lineRule="exact"/>
              <w:rPr>
                <w:sz w:val="20"/>
                <w:szCs w:val="20"/>
                <w:color w:val="auto"/>
              </w:rPr>
            </w:pPr>
            <w:r>
              <w:rPr>
                <w:rFonts w:ascii="Arial" w:cs="Arial" w:eastAsia="Arial" w:hAnsi="Arial"/>
                <w:sz w:val="18"/>
                <w:szCs w:val="18"/>
                <w:i w:val="1"/>
                <w:iCs w:val="1"/>
                <w:color w:val="auto"/>
              </w:rPr>
              <w:t>General and administrative</w:t>
            </w:r>
          </w:p>
        </w:tc>
        <w:tc>
          <w:tcPr>
            <w:tcW w:w="2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9.7 %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4"/>
            <w:vMerge w:val="restart"/>
          </w:tcPr>
          <w:p>
            <w:pPr>
              <w:jc w:val="right"/>
              <w:ind w:right="300"/>
              <w:spacing w:after="0"/>
              <w:rPr>
                <w:sz w:val="20"/>
                <w:szCs w:val="20"/>
                <w:color w:val="auto"/>
              </w:rPr>
            </w:pPr>
            <w:r>
              <w:rPr>
                <w:rFonts w:ascii="Arial" w:cs="Arial" w:eastAsia="Arial" w:hAnsi="Arial"/>
                <w:sz w:val="18"/>
                <w:szCs w:val="18"/>
                <w:color w:val="auto"/>
              </w:rPr>
              <w:t>— %</w:t>
            </w:r>
          </w:p>
        </w:tc>
        <w:tc>
          <w:tcPr>
            <w:tcW w:w="1520" w:type="dxa"/>
            <w:vAlign w:val="bottom"/>
            <w:gridSpan w:val="4"/>
            <w:vMerge w:val="restart"/>
          </w:tcPr>
          <w:p>
            <w:pPr>
              <w:jc w:val="right"/>
              <w:ind w:right="260"/>
              <w:spacing w:after="0"/>
              <w:rPr>
                <w:sz w:val="20"/>
                <w:szCs w:val="20"/>
                <w:color w:val="auto"/>
              </w:rPr>
            </w:pPr>
            <w:r>
              <w:rPr>
                <w:rFonts w:ascii="Arial" w:cs="Arial" w:eastAsia="Arial" w:hAnsi="Arial"/>
                <w:sz w:val="18"/>
                <w:szCs w:val="18"/>
                <w:color w:val="auto"/>
              </w:rPr>
              <w:t>— %</w:t>
            </w:r>
          </w:p>
        </w:tc>
        <w:tc>
          <w:tcPr>
            <w:tcW w:w="1580" w:type="dxa"/>
            <w:vAlign w:val="bottom"/>
            <w:gridSpan w:val="4"/>
            <w:vMerge w:val="restart"/>
          </w:tcPr>
          <w:p>
            <w:pPr>
              <w:ind w:left="860"/>
              <w:spacing w:after="0"/>
              <w:rPr>
                <w:sz w:val="20"/>
                <w:szCs w:val="20"/>
                <w:color w:val="auto"/>
              </w:rPr>
            </w:pPr>
            <w:r>
              <w:rPr>
                <w:rFonts w:ascii="Arial" w:cs="Arial" w:eastAsia="Arial" w:hAnsi="Arial"/>
                <w:sz w:val="18"/>
                <w:szCs w:val="18"/>
                <w:color w:val="auto"/>
              </w:rPr>
              <w:t>— %</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r>
        <w:trPr>
          <w:trHeight w:val="231"/>
        </w:trPr>
        <w:tc>
          <w:tcPr>
            <w:tcW w:w="2240" w:type="dxa"/>
            <w:vAlign w:val="bottom"/>
          </w:tcPr>
          <w:p>
            <w:pPr>
              <w:ind w:left="20"/>
              <w:spacing w:after="0"/>
              <w:rPr>
                <w:sz w:val="20"/>
                <w:szCs w:val="20"/>
                <w:color w:val="auto"/>
              </w:rPr>
            </w:pPr>
            <w:r>
              <w:rPr>
                <w:rFonts w:ascii="Arial" w:cs="Arial" w:eastAsia="Arial" w:hAnsi="Arial"/>
                <w:sz w:val="18"/>
                <w:szCs w:val="18"/>
                <w:i w:val="1"/>
                <w:iCs w:val="1"/>
                <w:color w:val="auto"/>
              </w:rPr>
              <w:t>margin</w:t>
            </w:r>
          </w:p>
        </w:tc>
        <w:tc>
          <w:tcPr>
            <w:tcW w:w="24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4"/>
            <w:vMerge w:val="continue"/>
          </w:tcPr>
          <w:p>
            <w:pPr>
              <w:spacing w:after="0"/>
              <w:rPr>
                <w:sz w:val="20"/>
                <w:szCs w:val="20"/>
                <w:color w:val="auto"/>
              </w:rPr>
            </w:pPr>
          </w:p>
        </w:tc>
        <w:tc>
          <w:tcPr>
            <w:tcW w:w="1520" w:type="dxa"/>
            <w:vAlign w:val="bottom"/>
            <w:gridSpan w:val="4"/>
            <w:vMerge w:val="continue"/>
          </w:tcPr>
          <w:p>
            <w:pPr>
              <w:spacing w:after="0"/>
              <w:rPr>
                <w:sz w:val="20"/>
                <w:szCs w:val="20"/>
                <w:color w:val="auto"/>
              </w:rPr>
            </w:pPr>
          </w:p>
        </w:tc>
        <w:tc>
          <w:tcPr>
            <w:tcW w:w="1580" w:type="dxa"/>
            <w:vAlign w:val="bottom"/>
            <w:gridSpan w:val="4"/>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2240" w:type="dxa"/>
            <w:vAlign w:val="bottom"/>
            <w:shd w:val="clear" w:color="auto" w:fill="CCEEFF"/>
          </w:tcPr>
          <w:p>
            <w:pPr>
              <w:ind w:left="20"/>
              <w:spacing w:after="0" w:line="181" w:lineRule="exact"/>
              <w:rPr>
                <w:sz w:val="20"/>
                <w:szCs w:val="20"/>
                <w:color w:val="auto"/>
              </w:rPr>
            </w:pPr>
            <w:r>
              <w:rPr>
                <w:rFonts w:ascii="Arial" w:cs="Arial" w:eastAsia="Arial" w:hAnsi="Arial"/>
                <w:sz w:val="18"/>
                <w:szCs w:val="18"/>
                <w:color w:val="auto"/>
              </w:rPr>
              <w:t>Impairment related to real</w:t>
            </w:r>
          </w:p>
        </w:tc>
        <w:tc>
          <w:tcPr>
            <w:tcW w:w="2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ind w:left="740"/>
              <w:spacing w:after="0"/>
              <w:rPr>
                <w:sz w:val="20"/>
                <w:szCs w:val="20"/>
                <w:color w:val="auto"/>
              </w:rPr>
            </w:pPr>
            <w:r>
              <w:rPr>
                <w:rFonts w:ascii="Arial" w:cs="Arial" w:eastAsia="Arial" w:hAnsi="Arial"/>
                <w:sz w:val="18"/>
                <w:szCs w:val="18"/>
                <w:color w:val="auto"/>
                <w:w w:val="97"/>
              </w:rPr>
              <w:t>(8.7)</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estate assets</w:t>
            </w:r>
          </w:p>
        </w:tc>
        <w:tc>
          <w:tcPr>
            <w:tcW w:w="24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240" w:type="dxa"/>
            <w:vAlign w:val="bottom"/>
          </w:tcPr>
          <w:p>
            <w:pPr>
              <w:ind w:left="20"/>
              <w:spacing w:after="0" w:line="187" w:lineRule="exact"/>
              <w:rPr>
                <w:sz w:val="20"/>
                <w:szCs w:val="20"/>
                <w:color w:val="auto"/>
              </w:rPr>
            </w:pPr>
            <w:r>
              <w:rPr>
                <w:rFonts w:ascii="Arial" w:cs="Arial" w:eastAsia="Arial" w:hAnsi="Arial"/>
                <w:sz w:val="18"/>
                <w:szCs w:val="18"/>
                <w:i w:val="1"/>
                <w:iCs w:val="1"/>
                <w:color w:val="auto"/>
              </w:rPr>
              <w:t>Impairment related to real</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240" w:type="dxa"/>
            <w:vAlign w:val="bottom"/>
          </w:tcPr>
          <w:p>
            <w:pPr>
              <w:ind w:left="20"/>
              <w:spacing w:after="0"/>
              <w:rPr>
                <w:sz w:val="20"/>
                <w:szCs w:val="20"/>
                <w:color w:val="auto"/>
              </w:rPr>
            </w:pPr>
            <w:r>
              <w:rPr>
                <w:rFonts w:ascii="Arial" w:cs="Arial" w:eastAsia="Arial" w:hAnsi="Arial"/>
                <w:sz w:val="18"/>
                <w:szCs w:val="18"/>
                <w:i w:val="1"/>
                <w:iCs w:val="1"/>
                <w:color w:val="auto"/>
              </w:rPr>
              <w:t>estate assets margin</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4"/>
          </w:tcPr>
          <w:p>
            <w:pPr>
              <w:jc w:val="right"/>
              <w:ind w:right="300"/>
              <w:spacing w:after="0"/>
              <w:rPr>
                <w:sz w:val="20"/>
                <w:szCs w:val="20"/>
                <w:color w:val="auto"/>
              </w:rPr>
            </w:pPr>
            <w:r>
              <w:rPr>
                <w:rFonts w:ascii="Arial" w:cs="Arial" w:eastAsia="Arial" w:hAnsi="Arial"/>
                <w:sz w:val="18"/>
                <w:szCs w:val="18"/>
                <w:color w:val="auto"/>
              </w:rPr>
              <w:t>— %</w:t>
            </w:r>
          </w:p>
        </w:tc>
        <w:tc>
          <w:tcPr>
            <w:tcW w:w="1520" w:type="dxa"/>
            <w:vAlign w:val="bottom"/>
            <w:gridSpan w:val="4"/>
          </w:tcPr>
          <w:p>
            <w:pPr>
              <w:jc w:val="right"/>
              <w:ind w:right="260"/>
              <w:spacing w:after="0"/>
              <w:rPr>
                <w:sz w:val="20"/>
                <w:szCs w:val="20"/>
                <w:color w:val="auto"/>
              </w:rPr>
            </w:pPr>
            <w:r>
              <w:rPr>
                <w:rFonts w:ascii="Arial" w:cs="Arial" w:eastAsia="Arial" w:hAnsi="Arial"/>
                <w:sz w:val="18"/>
                <w:szCs w:val="18"/>
                <w:color w:val="auto"/>
              </w:rPr>
              <w:t>— %</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6"/>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82.9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85.0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4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182.9</w:t>
            </w:r>
          </w:p>
        </w:tc>
        <w:tc>
          <w:tcPr>
            <w:tcW w:w="0" w:type="dxa"/>
            <w:vAlign w:val="bottom"/>
          </w:tcPr>
          <w:p>
            <w:pPr>
              <w:spacing w:after="0"/>
              <w:rPr>
                <w:sz w:val="1"/>
                <w:szCs w:val="1"/>
                <w:color w:val="auto"/>
              </w:rPr>
            </w:pPr>
          </w:p>
        </w:tc>
      </w:tr>
      <w:tr>
        <w:trPr>
          <w:trHeight w:val="224"/>
        </w:trPr>
        <w:tc>
          <w:tcPr>
            <w:tcW w:w="2240" w:type="dxa"/>
            <w:vAlign w:val="bottom"/>
          </w:tcPr>
          <w:p>
            <w:pPr>
              <w:ind w:left="20"/>
              <w:spacing w:after="0"/>
              <w:rPr>
                <w:sz w:val="20"/>
                <w:szCs w:val="20"/>
                <w:color w:val="auto"/>
              </w:rPr>
            </w:pPr>
            <w:r>
              <w:rPr>
                <w:rFonts w:ascii="Arial" w:cs="Arial" w:eastAsia="Arial" w:hAnsi="Arial"/>
                <w:sz w:val="18"/>
                <w:szCs w:val="18"/>
                <w:i w:val="1"/>
                <w:iCs w:val="1"/>
                <w:color w:val="auto"/>
              </w:rPr>
              <w:t>Operating margin</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14.5 %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14.8 %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0.5</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31.9 %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right="100" w:firstLine="6"/>
        <w:spacing w:after="0" w:line="295" w:lineRule="auto"/>
        <w:tabs>
          <w:tab w:leader="none" w:pos="163" w:val="left"/>
        </w:tabs>
        <w:numPr>
          <w:ilvl w:val="0"/>
          <w:numId w:val="9"/>
        </w:numPr>
        <w:rPr>
          <w:rFonts w:ascii="Arial" w:cs="Arial" w:eastAsia="Arial" w:hAnsi="Arial"/>
          <w:sz w:val="19"/>
          <w:szCs w:val="19"/>
          <w:color w:val="auto"/>
          <w:vertAlign w:val="superscript"/>
        </w:rPr>
      </w:pPr>
      <w:r>
        <w:rPr>
          <w:rFonts w:ascii="Arial" w:cs="Arial" w:eastAsia="Arial" w:hAnsi="Arial"/>
          <w:sz w:val="13"/>
          <w:szCs w:val="13"/>
          <w:color w:val="auto"/>
        </w:rPr>
        <w:t>Includes impairment charges related to real estate assets as a result of adverse changes in the corporate real estate market in the San Francisco Bay area, which has impacted the Company's subleasing strategy in conjunction with its shift to Virtual First.</w:t>
      </w:r>
    </w:p>
    <w:p>
      <w:pPr>
        <w:sectPr>
          <w:pgSz w:w="11900" w:h="16838" w:orient="portrait"/>
          <w:cols w:equalWidth="0" w:num="1">
            <w:col w:w="11240"/>
          </w:cols>
          <w:pgMar w:left="320" w:top="1112" w:right="339" w:bottom="1440" w:gutter="0" w:footer="0" w:header="0"/>
        </w:sectPr>
      </w:pPr>
    </w:p>
    <w:bookmarkStart w:id="12" w:name="page13"/>
    <w:bookmarkEnd w:id="12"/>
    <w:p>
      <w:pPr>
        <w:ind w:left="5054"/>
        <w:spacing w:after="0"/>
        <w:rPr>
          <w:sz w:val="20"/>
          <w:szCs w:val="20"/>
          <w:color w:val="auto"/>
        </w:rPr>
      </w:pPr>
      <w:r>
        <w:rPr>
          <w:rFonts w:ascii="Arial" w:cs="Arial" w:eastAsia="Arial" w:hAnsi="Arial"/>
          <w:sz w:val="19"/>
          <w:szCs w:val="19"/>
          <w:b w:val="1"/>
          <w:bCs w:val="1"/>
          <w:color w:val="auto"/>
        </w:rPr>
        <w:t>Dropbox, Inc.</w:t>
      </w:r>
    </w:p>
    <w:p>
      <w:pPr>
        <w:spacing w:after="0" w:line="35" w:lineRule="exact"/>
        <w:rPr>
          <w:sz w:val="20"/>
          <w:szCs w:val="20"/>
          <w:color w:val="auto"/>
        </w:rPr>
      </w:pPr>
    </w:p>
    <w:p>
      <w:pPr>
        <w:ind w:left="4254"/>
        <w:spacing w:after="0"/>
        <w:rPr>
          <w:sz w:val="20"/>
          <w:szCs w:val="20"/>
          <w:color w:val="auto"/>
        </w:rPr>
      </w:pPr>
      <w:r>
        <w:rPr>
          <w:rFonts w:ascii="Arial" w:cs="Arial" w:eastAsia="Arial" w:hAnsi="Arial"/>
          <w:sz w:val="19"/>
          <w:szCs w:val="19"/>
          <w:b w:val="1"/>
          <w:bCs w:val="1"/>
          <w:color w:val="auto"/>
        </w:rPr>
        <w:t>Six Months Ended June 30, 2023</w:t>
      </w:r>
    </w:p>
    <w:p>
      <w:pPr>
        <w:spacing w:after="0" w:line="15" w:lineRule="exact"/>
        <w:rPr>
          <w:sz w:val="20"/>
          <w:szCs w:val="20"/>
          <w:color w:val="auto"/>
        </w:rPr>
      </w:pPr>
    </w:p>
    <w:p>
      <w:pPr>
        <w:jc w:val="center"/>
        <w:ind w:right="-33"/>
        <w:spacing w:after="0"/>
        <w:rPr>
          <w:sz w:val="20"/>
          <w:szCs w:val="20"/>
          <w:color w:val="auto"/>
        </w:rPr>
      </w:pPr>
      <w:r>
        <w:rPr>
          <w:rFonts w:ascii="Arial" w:cs="Arial" w:eastAsia="Arial" w:hAnsi="Arial"/>
          <w:sz w:val="19"/>
          <w:szCs w:val="19"/>
          <w:b w:val="1"/>
          <w:bCs w:val="1"/>
          <w:color w:val="auto"/>
        </w:rPr>
        <w:t>Reconciliation of GAAP to Non-GAAP results</w:t>
      </w:r>
    </w:p>
    <w:p>
      <w:pPr>
        <w:spacing w:after="0" w:line="13" w:lineRule="exact"/>
        <w:rPr>
          <w:sz w:val="20"/>
          <w:szCs w:val="20"/>
          <w:color w:val="auto"/>
        </w:rPr>
      </w:pPr>
    </w:p>
    <w:p>
      <w:pPr>
        <w:jc w:val="center"/>
        <w:ind w:right="-33"/>
        <w:spacing w:after="0"/>
        <w:rPr>
          <w:sz w:val="20"/>
          <w:szCs w:val="20"/>
          <w:color w:val="auto"/>
        </w:rPr>
      </w:pPr>
      <w:r>
        <w:rPr>
          <w:rFonts w:ascii="Arial" w:cs="Arial" w:eastAsia="Arial" w:hAnsi="Arial"/>
          <w:sz w:val="18"/>
          <w:szCs w:val="18"/>
          <w:i w:val="1"/>
          <w:iCs w:val="1"/>
          <w:color w:val="auto"/>
        </w:rPr>
        <w:t>(In millions, except for percentages, which may not foot due to rounding)</w:t>
      </w:r>
    </w:p>
    <w:p>
      <w:pPr>
        <w:spacing w:after="0" w:line="13" w:lineRule="exact"/>
        <w:rPr>
          <w:sz w:val="20"/>
          <w:szCs w:val="20"/>
          <w:color w:val="auto"/>
        </w:rPr>
      </w:pPr>
    </w:p>
    <w:p>
      <w:pPr>
        <w:jc w:val="center"/>
        <w:ind w:right="-33"/>
        <w:spacing w:after="0"/>
        <w:rPr>
          <w:sz w:val="20"/>
          <w:szCs w:val="20"/>
          <w:color w:val="auto"/>
        </w:rPr>
      </w:pPr>
      <w:r>
        <w:rPr>
          <w:rFonts w:ascii="Arial" w:cs="Arial" w:eastAsia="Arial" w:hAnsi="Arial"/>
          <w:sz w:val="18"/>
          <w:szCs w:val="18"/>
          <w:i w:val="1"/>
          <w:iCs w:val="1"/>
          <w:color w:val="auto"/>
        </w:rPr>
        <w:t>(Unaudited)</w:t>
      </w:r>
    </w:p>
    <w:tbl>
      <w:tblPr>
        <w:tblLayout w:type="fixed"/>
        <w:tblInd w:w="34" w:type="dxa"/>
        <w:tblCellMar>
          <w:top w:w="0" w:type="dxa"/>
          <w:left w:w="0" w:type="dxa"/>
          <w:bottom w:w="0" w:type="dxa"/>
          <w:right w:w="0" w:type="dxa"/>
        </w:tblCellMar>
      </w:tblPr>
      <w:tr>
        <w:trPr>
          <w:trHeight w:val="205"/>
        </w:trPr>
        <w:tc>
          <w:tcPr>
            <w:tcW w:w="1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vMerge w:val="restart"/>
          </w:tcPr>
          <w:p>
            <w:pPr>
              <w:jc w:val="right"/>
              <w:ind w:right="152"/>
              <w:spacing w:after="0"/>
              <w:rPr>
                <w:sz w:val="20"/>
                <w:szCs w:val="20"/>
                <w:color w:val="auto"/>
              </w:rPr>
            </w:pPr>
            <w:r>
              <w:rPr>
                <w:rFonts w:ascii="Arial" w:cs="Arial" w:eastAsia="Arial" w:hAnsi="Arial"/>
                <w:sz w:val="18"/>
                <w:szCs w:val="18"/>
                <w:b w:val="1"/>
                <w:bCs w:val="1"/>
                <w:color w:val="auto"/>
                <w:w w:val="93"/>
              </w:rPr>
              <w:t>Stock-based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spacing w:after="0" w:line="206" w:lineRule="exact"/>
              <w:rPr>
                <w:sz w:val="20"/>
                <w:szCs w:val="20"/>
                <w:color w:val="auto"/>
              </w:rPr>
            </w:pPr>
            <w:r>
              <w:rPr>
                <w:rFonts w:ascii="Arial" w:cs="Arial" w:eastAsia="Arial" w:hAnsi="Arial"/>
                <w:sz w:val="18"/>
                <w:szCs w:val="18"/>
                <w:b w:val="1"/>
                <w:bCs w:val="1"/>
                <w:color w:val="auto"/>
                <w:w w:val="88"/>
              </w:rPr>
              <w:t>Acquisition-</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8"/>
              </w:rPr>
              <w:t>Intangibles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spacing w:after="0" w:line="206" w:lineRule="exact"/>
              <w:rPr>
                <w:sz w:val="20"/>
                <w:szCs w:val="20"/>
                <w:color w:val="auto"/>
              </w:rPr>
            </w:pPr>
            <w:r>
              <w:rPr>
                <w:rFonts w:ascii="Arial" w:cs="Arial" w:eastAsia="Arial" w:hAnsi="Arial"/>
                <w:sz w:val="18"/>
                <w:szCs w:val="18"/>
                <w:b w:val="1"/>
                <w:bCs w:val="1"/>
                <w:color w:val="auto"/>
                <w:w w:val="94"/>
              </w:rPr>
              <w:t>Impairment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line="206" w:lineRule="exact"/>
              <w:rPr>
                <w:sz w:val="20"/>
                <w:szCs w:val="20"/>
                <w:color w:val="auto"/>
              </w:rPr>
            </w:pPr>
            <w:r>
              <w:rPr>
                <w:rFonts w:ascii="Arial" w:cs="Arial" w:eastAsia="Arial" w:hAnsi="Arial"/>
                <w:sz w:val="18"/>
                <w:szCs w:val="18"/>
                <w:b w:val="1"/>
                <w:bCs w:val="1"/>
                <w:color w:val="auto"/>
                <w:w w:val="94"/>
              </w:rPr>
              <w:t>Workforce</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restart"/>
          </w:tcPr>
          <w:p>
            <w:pPr>
              <w:jc w:val="right"/>
              <w:ind w:right="92"/>
              <w:spacing w:after="0"/>
              <w:rPr>
                <w:sz w:val="20"/>
                <w:szCs w:val="20"/>
                <w:color w:val="auto"/>
              </w:rPr>
            </w:pPr>
            <w:r>
              <w:rPr>
                <w:rFonts w:ascii="Arial" w:cs="Arial" w:eastAsia="Arial" w:hAnsi="Arial"/>
                <w:sz w:val="18"/>
                <w:szCs w:val="18"/>
                <w:b w:val="1"/>
                <w:bCs w:val="1"/>
                <w:color w:val="auto"/>
              </w:rPr>
              <w:t>GAAP</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spacing w:after="0" w:line="172" w:lineRule="exact"/>
              <w:rPr>
                <w:sz w:val="20"/>
                <w:szCs w:val="20"/>
                <w:color w:val="auto"/>
              </w:rPr>
            </w:pPr>
            <w:r>
              <w:rPr>
                <w:rFonts w:ascii="Arial" w:cs="Arial" w:eastAsia="Arial" w:hAnsi="Arial"/>
                <w:sz w:val="18"/>
                <w:szCs w:val="18"/>
                <w:b w:val="1"/>
                <w:bCs w:val="1"/>
                <w:color w:val="auto"/>
                <w:w w:val="89"/>
              </w:rPr>
              <w:t>related and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4"/>
          </w:tcPr>
          <w:p>
            <w:pPr>
              <w:jc w:val="center"/>
              <w:ind w:right="380"/>
              <w:spacing w:after="0" w:line="172" w:lineRule="exact"/>
              <w:rPr>
                <w:sz w:val="20"/>
                <w:szCs w:val="20"/>
                <w:color w:val="auto"/>
              </w:rPr>
            </w:pPr>
            <w:r>
              <w:rPr>
                <w:rFonts w:ascii="Arial" w:cs="Arial" w:eastAsia="Arial" w:hAnsi="Arial"/>
                <w:sz w:val="18"/>
                <w:szCs w:val="18"/>
                <w:b w:val="1"/>
                <w:bCs w:val="1"/>
                <w:color w:val="auto"/>
                <w:w w:val="89"/>
              </w:rPr>
              <w:t>related to real</w:t>
            </w:r>
          </w:p>
        </w:tc>
        <w:tc>
          <w:tcPr>
            <w:tcW w:w="860" w:type="dxa"/>
            <w:vAlign w:val="bottom"/>
          </w:tcPr>
          <w:p>
            <w:pPr>
              <w:jc w:val="right"/>
              <w:spacing w:after="0" w:line="172" w:lineRule="exact"/>
              <w:rPr>
                <w:sz w:val="20"/>
                <w:szCs w:val="20"/>
                <w:color w:val="auto"/>
              </w:rPr>
            </w:pPr>
            <w:r>
              <w:rPr>
                <w:rFonts w:ascii="Arial" w:cs="Arial" w:eastAsia="Arial" w:hAnsi="Arial"/>
                <w:sz w:val="18"/>
                <w:szCs w:val="18"/>
                <w:b w:val="1"/>
                <w:bCs w:val="1"/>
                <w:color w:val="auto"/>
                <w:w w:val="95"/>
              </w:rPr>
              <w:t>reduction</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restart"/>
          </w:tcPr>
          <w:p>
            <w:pPr>
              <w:jc w:val="right"/>
              <w:ind w:right="52"/>
              <w:spacing w:after="0"/>
              <w:rPr>
                <w:sz w:val="20"/>
                <w:szCs w:val="20"/>
                <w:color w:val="auto"/>
              </w:rPr>
            </w:pPr>
            <w:r>
              <w:rPr>
                <w:rFonts w:ascii="Arial" w:cs="Arial" w:eastAsia="Arial" w:hAnsi="Arial"/>
                <w:sz w:val="18"/>
                <w:szCs w:val="18"/>
                <w:b w:val="1"/>
                <w:bCs w:val="1"/>
                <w:color w:val="auto"/>
                <w:w w:val="92"/>
              </w:rPr>
              <w:t>Non-GAAP</w:t>
            </w:r>
          </w:p>
        </w:tc>
        <w:tc>
          <w:tcPr>
            <w:tcW w:w="0" w:type="dxa"/>
            <w:vAlign w:val="bottom"/>
          </w:tcPr>
          <w:p>
            <w:pPr>
              <w:spacing w:after="0"/>
              <w:rPr>
                <w:sz w:val="1"/>
                <w:szCs w:val="1"/>
                <w:color w:val="auto"/>
              </w:rPr>
            </w:pPr>
          </w:p>
        </w:tc>
      </w:tr>
      <w:tr>
        <w:trPr>
          <w:trHeight w:val="239"/>
        </w:trPr>
        <w:tc>
          <w:tcPr>
            <w:tcW w:w="17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6"/>
              </w:rPr>
              <w:t>compensation</w:t>
            </w:r>
          </w:p>
        </w:tc>
        <w:tc>
          <w:tcPr>
            <w:tcW w:w="8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3"/>
              </w:rPr>
              <w:t>other expenses</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amortization</w:t>
            </w:r>
          </w:p>
        </w:tc>
        <w:tc>
          <w:tcPr>
            <w:tcW w:w="18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center"/>
              <w:ind w:right="32"/>
              <w:spacing w:after="0" w:line="239" w:lineRule="exact"/>
              <w:rPr>
                <w:sz w:val="20"/>
                <w:szCs w:val="20"/>
                <w:color w:val="auto"/>
              </w:rPr>
            </w:pPr>
            <w:r>
              <w:rPr>
                <w:rFonts w:ascii="Arial" w:cs="Arial" w:eastAsia="Arial" w:hAnsi="Arial"/>
                <w:sz w:val="18"/>
                <w:szCs w:val="18"/>
                <w:b w:val="1"/>
                <w:bCs w:val="1"/>
                <w:color w:val="auto"/>
                <w:w w:val="79"/>
              </w:rPr>
              <w:t>estate assets</w:t>
            </w:r>
            <w:r>
              <w:rPr>
                <w:rFonts w:ascii="Arial" w:cs="Arial" w:eastAsia="Arial" w:hAnsi="Arial"/>
                <w:sz w:val="22"/>
                <w:szCs w:val="22"/>
                <w:b w:val="1"/>
                <w:bCs w:val="1"/>
                <w:color w:val="auto"/>
                <w:w w:val="79"/>
                <w:vertAlign w:val="superscript"/>
              </w:rPr>
              <w:t>(1)</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line="239" w:lineRule="exact"/>
              <w:rPr>
                <w:sz w:val="20"/>
                <w:szCs w:val="20"/>
                <w:color w:val="auto"/>
              </w:rPr>
            </w:pPr>
            <w:r>
              <w:rPr>
                <w:rFonts w:ascii="Arial" w:cs="Arial" w:eastAsia="Arial" w:hAnsi="Arial"/>
                <w:sz w:val="18"/>
                <w:szCs w:val="18"/>
                <w:b w:val="1"/>
                <w:bCs w:val="1"/>
                <w:color w:val="auto"/>
                <w:w w:val="86"/>
              </w:rPr>
              <w:t>expense</w:t>
            </w:r>
            <w:r>
              <w:rPr>
                <w:rFonts w:ascii="Arial" w:cs="Arial" w:eastAsia="Arial" w:hAnsi="Arial"/>
                <w:sz w:val="22"/>
                <w:szCs w:val="22"/>
                <w:b w:val="1"/>
                <w:bCs w:val="1"/>
                <w:color w:val="auto"/>
                <w:w w:val="86"/>
                <w:vertAlign w:val="superscript"/>
              </w:rPr>
              <w:t>(2)</w:t>
            </w:r>
          </w:p>
        </w:tc>
        <w:tc>
          <w:tcPr>
            <w:tcW w:w="18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1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236.9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(11.8)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215.2</w:t>
            </w:r>
          </w:p>
        </w:tc>
        <w:tc>
          <w:tcPr>
            <w:tcW w:w="0" w:type="dxa"/>
            <w:vAlign w:val="bottom"/>
          </w:tcPr>
          <w:p>
            <w:pPr>
              <w:spacing w:after="0"/>
              <w:rPr>
                <w:sz w:val="1"/>
                <w:szCs w:val="1"/>
                <w:color w:val="auto"/>
              </w:rPr>
            </w:pPr>
          </w:p>
        </w:tc>
      </w:tr>
      <w:tr>
        <w:trPr>
          <w:trHeight w:val="225"/>
        </w:trPr>
        <w:tc>
          <w:tcPr>
            <w:tcW w:w="1780" w:type="dxa"/>
            <w:vAlign w:val="bottom"/>
          </w:tcPr>
          <w:p>
            <w:pPr>
              <w:ind w:left="20"/>
              <w:spacing w:after="0"/>
              <w:rPr>
                <w:sz w:val="20"/>
                <w:szCs w:val="20"/>
                <w:color w:val="auto"/>
              </w:rPr>
            </w:pPr>
            <w:r>
              <w:rPr>
                <w:rFonts w:ascii="Arial" w:cs="Arial" w:eastAsia="Arial" w:hAnsi="Arial"/>
                <w:sz w:val="18"/>
                <w:szCs w:val="18"/>
                <w:i w:val="1"/>
                <w:iCs w:val="1"/>
                <w:color w:val="auto"/>
                <w:w w:val="92"/>
              </w:rPr>
              <w:t>Cost of revenue margin</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19.2 %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(0.6 %)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(0.2 %)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17.4 %</w:t>
            </w:r>
          </w:p>
        </w:tc>
        <w:tc>
          <w:tcPr>
            <w:tcW w:w="0" w:type="dxa"/>
            <w:vAlign w:val="bottom"/>
          </w:tcPr>
          <w:p>
            <w:pPr>
              <w:spacing w:after="0"/>
              <w:rPr>
                <w:sz w:val="1"/>
                <w:szCs w:val="1"/>
                <w:color w:val="auto"/>
              </w:rPr>
            </w:pPr>
          </w:p>
        </w:tc>
      </w:tr>
      <w:tr>
        <w:trPr>
          <w:trHeight w:val="239"/>
        </w:trPr>
        <w:tc>
          <w:tcPr>
            <w:tcW w:w="1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996.7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11.8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7.2</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1,018.4</w:t>
            </w:r>
          </w:p>
        </w:tc>
        <w:tc>
          <w:tcPr>
            <w:tcW w:w="0" w:type="dxa"/>
            <w:vAlign w:val="bottom"/>
          </w:tcPr>
          <w:p>
            <w:pPr>
              <w:spacing w:after="0"/>
              <w:rPr>
                <w:sz w:val="1"/>
                <w:szCs w:val="1"/>
                <w:color w:val="auto"/>
              </w:rPr>
            </w:pPr>
          </w:p>
        </w:tc>
      </w:tr>
      <w:tr>
        <w:trPr>
          <w:trHeight w:val="225"/>
        </w:trPr>
        <w:tc>
          <w:tcPr>
            <w:tcW w:w="1780" w:type="dxa"/>
            <w:vAlign w:val="bottom"/>
          </w:tcPr>
          <w:p>
            <w:pPr>
              <w:ind w:left="20"/>
              <w:spacing w:after="0"/>
              <w:rPr>
                <w:sz w:val="20"/>
                <w:szCs w:val="20"/>
                <w:color w:val="auto"/>
              </w:rPr>
            </w:pPr>
            <w:r>
              <w:rPr>
                <w:rFonts w:ascii="Arial" w:cs="Arial" w:eastAsia="Arial" w:hAnsi="Arial"/>
                <w:sz w:val="18"/>
                <w:szCs w:val="18"/>
                <w:i w:val="1"/>
                <w:iCs w:val="1"/>
                <w:color w:val="auto"/>
              </w:rPr>
              <w:t>Gross margin</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80.8 %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4"/>
          </w:tcPr>
          <w:p>
            <w:pPr>
              <w:jc w:val="right"/>
              <w:ind w:right="240"/>
              <w:spacing w:after="0"/>
              <w:rPr>
                <w:sz w:val="20"/>
                <w:szCs w:val="20"/>
                <w:color w:val="auto"/>
              </w:rPr>
            </w:pPr>
            <w:r>
              <w:rPr>
                <w:rFonts w:ascii="Arial" w:cs="Arial" w:eastAsia="Arial" w:hAnsi="Arial"/>
                <w:sz w:val="18"/>
                <w:szCs w:val="18"/>
                <w:color w:val="auto"/>
              </w:rPr>
              <w:t>— %</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0.6</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4"/>
          </w:tcPr>
          <w:p>
            <w:pPr>
              <w:jc w:val="right"/>
              <w:ind w:right="260"/>
              <w:spacing w:after="0"/>
              <w:rPr>
                <w:sz w:val="20"/>
                <w:szCs w:val="20"/>
                <w:color w:val="auto"/>
              </w:rPr>
            </w:pPr>
            <w:r>
              <w:rPr>
                <w:rFonts w:ascii="Arial" w:cs="Arial" w:eastAsia="Arial" w:hAnsi="Arial"/>
                <w:sz w:val="18"/>
                <w:szCs w:val="18"/>
                <w:color w:val="auto"/>
              </w:rPr>
              <w:t>— %</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0.2 %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82.6 %</w:t>
            </w:r>
          </w:p>
        </w:tc>
        <w:tc>
          <w:tcPr>
            <w:tcW w:w="0" w:type="dxa"/>
            <w:vAlign w:val="bottom"/>
          </w:tcPr>
          <w:p>
            <w:pPr>
              <w:spacing w:after="0"/>
              <w:rPr>
                <w:sz w:val="1"/>
                <w:szCs w:val="1"/>
                <w:color w:val="auto"/>
              </w:rPr>
            </w:pPr>
          </w:p>
        </w:tc>
      </w:tr>
      <w:tr>
        <w:trPr>
          <w:trHeight w:val="174"/>
        </w:trPr>
        <w:tc>
          <w:tcPr>
            <w:tcW w:w="178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Research and</w:t>
            </w:r>
          </w:p>
        </w:tc>
        <w:tc>
          <w:tcPr>
            <w:tcW w:w="2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rPr>
              <w:t>498.0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color w:val="auto"/>
              </w:rPr>
              <w:t>(120.3)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337.4</w:t>
            </w:r>
          </w:p>
        </w:tc>
        <w:tc>
          <w:tcPr>
            <w:tcW w:w="0" w:type="dxa"/>
            <w:vAlign w:val="bottom"/>
          </w:tcPr>
          <w:p>
            <w:pPr>
              <w:spacing w:after="0"/>
              <w:rPr>
                <w:sz w:val="1"/>
                <w:szCs w:val="1"/>
                <w:color w:val="auto"/>
              </w:rPr>
            </w:pPr>
          </w:p>
        </w:tc>
      </w:tr>
      <w:tr>
        <w:trPr>
          <w:trHeight w:val="238"/>
        </w:trPr>
        <w:tc>
          <w:tcPr>
            <w:tcW w:w="1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development</w:t>
            </w:r>
          </w:p>
        </w:tc>
        <w:tc>
          <w:tcPr>
            <w:tcW w:w="260" w:type="dxa"/>
            <w:vAlign w:val="bottom"/>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1780" w:type="dxa"/>
            <w:vAlign w:val="bottom"/>
          </w:tcPr>
          <w:p>
            <w:pPr>
              <w:ind w:left="20"/>
              <w:spacing w:after="0" w:line="173" w:lineRule="exact"/>
              <w:rPr>
                <w:sz w:val="20"/>
                <w:szCs w:val="20"/>
                <w:color w:val="auto"/>
              </w:rPr>
            </w:pPr>
            <w:r>
              <w:rPr>
                <w:rFonts w:ascii="Arial" w:cs="Arial" w:eastAsia="Arial" w:hAnsi="Arial"/>
                <w:sz w:val="18"/>
                <w:szCs w:val="18"/>
                <w:i w:val="1"/>
                <w:iCs w:val="1"/>
                <w:color w:val="auto"/>
              </w:rPr>
              <w:t>Research and</w:t>
            </w:r>
          </w:p>
        </w:tc>
        <w:tc>
          <w:tcPr>
            <w:tcW w:w="2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40.4 %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(9.8 %)</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vMerge w:val="restart"/>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vMerge w:val="restart"/>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8"/>
                <w:szCs w:val="18"/>
                <w:color w:val="auto"/>
              </w:rPr>
              <w:t>(2.2 %)</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27.4 %</w:t>
            </w:r>
          </w:p>
        </w:tc>
        <w:tc>
          <w:tcPr>
            <w:tcW w:w="0" w:type="dxa"/>
            <w:vAlign w:val="bottom"/>
          </w:tcPr>
          <w:p>
            <w:pPr>
              <w:spacing w:after="0"/>
              <w:rPr>
                <w:sz w:val="1"/>
                <w:szCs w:val="1"/>
                <w:color w:val="auto"/>
              </w:rPr>
            </w:pPr>
          </w:p>
        </w:tc>
      </w:tr>
      <w:tr>
        <w:trPr>
          <w:trHeight w:val="224"/>
        </w:trPr>
        <w:tc>
          <w:tcPr>
            <w:tcW w:w="1780" w:type="dxa"/>
            <w:vAlign w:val="bottom"/>
          </w:tcPr>
          <w:p>
            <w:pPr>
              <w:ind w:left="20"/>
              <w:spacing w:after="0"/>
              <w:rPr>
                <w:sz w:val="20"/>
                <w:szCs w:val="20"/>
                <w:color w:val="auto"/>
              </w:rPr>
            </w:pPr>
            <w:r>
              <w:rPr>
                <w:rFonts w:ascii="Arial" w:cs="Arial" w:eastAsia="Arial" w:hAnsi="Arial"/>
                <w:sz w:val="18"/>
                <w:szCs w:val="18"/>
                <w:i w:val="1"/>
                <w:iCs w:val="1"/>
                <w:color w:val="auto"/>
              </w:rPr>
              <w:t>development margin</w:t>
            </w:r>
          </w:p>
        </w:tc>
        <w:tc>
          <w:tcPr>
            <w:tcW w:w="26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240.1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(11.8)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206.9</w:t>
            </w:r>
          </w:p>
        </w:tc>
        <w:tc>
          <w:tcPr>
            <w:tcW w:w="0" w:type="dxa"/>
            <w:vAlign w:val="bottom"/>
          </w:tcPr>
          <w:p>
            <w:pPr>
              <w:spacing w:after="0"/>
              <w:rPr>
                <w:sz w:val="1"/>
                <w:szCs w:val="1"/>
                <w:color w:val="auto"/>
              </w:rPr>
            </w:pPr>
          </w:p>
        </w:tc>
      </w:tr>
      <w:tr>
        <w:trPr>
          <w:trHeight w:val="173"/>
        </w:trPr>
        <w:tc>
          <w:tcPr>
            <w:tcW w:w="1780" w:type="dxa"/>
            <w:vAlign w:val="bottom"/>
          </w:tcPr>
          <w:p>
            <w:pPr>
              <w:ind w:left="20"/>
              <w:spacing w:after="0" w:line="173" w:lineRule="exact"/>
              <w:rPr>
                <w:sz w:val="20"/>
                <w:szCs w:val="20"/>
                <w:color w:val="auto"/>
              </w:rPr>
            </w:pPr>
            <w:r>
              <w:rPr>
                <w:rFonts w:ascii="Arial" w:cs="Arial" w:eastAsia="Arial" w:hAnsi="Arial"/>
                <w:sz w:val="18"/>
                <w:szCs w:val="18"/>
                <w:i w:val="1"/>
                <w:iCs w:val="1"/>
                <w:color w:val="auto"/>
              </w:rPr>
              <w:t>Sales and marketing</w:t>
            </w:r>
          </w:p>
        </w:tc>
        <w:tc>
          <w:tcPr>
            <w:tcW w:w="2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19.5 %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(1.0 %)</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vMerge w:val="restart"/>
          </w:tcPr>
          <w:p>
            <w:pPr>
              <w:jc w:val="right"/>
              <w:spacing w:after="0"/>
              <w:rPr>
                <w:sz w:val="20"/>
                <w:szCs w:val="20"/>
                <w:color w:val="auto"/>
              </w:rPr>
            </w:pPr>
            <w:r>
              <w:rPr>
                <w:rFonts w:ascii="Arial" w:cs="Arial" w:eastAsia="Arial" w:hAnsi="Arial"/>
                <w:sz w:val="18"/>
                <w:szCs w:val="18"/>
                <w:color w:val="auto"/>
              </w:rPr>
              <w:t>(0.7 %)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vMerge w:val="restart"/>
          </w:tcPr>
          <w:p>
            <w:pPr>
              <w:jc w:val="right"/>
              <w:spacing w:after="0"/>
              <w:rPr>
                <w:sz w:val="20"/>
                <w:szCs w:val="20"/>
                <w:color w:val="auto"/>
              </w:rPr>
            </w:pPr>
            <w:r>
              <w:rPr>
                <w:rFonts w:ascii="Arial" w:cs="Arial" w:eastAsia="Arial" w:hAnsi="Arial"/>
                <w:sz w:val="18"/>
                <w:szCs w:val="18"/>
                <w:color w:val="auto"/>
              </w:rPr>
              <w:t>(0.6 %)</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8"/>
                <w:szCs w:val="18"/>
                <w:color w:val="auto"/>
              </w:rPr>
              <w:t>(0.5 %)</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16.8 %</w:t>
            </w:r>
          </w:p>
        </w:tc>
        <w:tc>
          <w:tcPr>
            <w:tcW w:w="0" w:type="dxa"/>
            <w:vAlign w:val="bottom"/>
          </w:tcPr>
          <w:p>
            <w:pPr>
              <w:spacing w:after="0"/>
              <w:rPr>
                <w:sz w:val="1"/>
                <w:szCs w:val="1"/>
                <w:color w:val="auto"/>
              </w:rPr>
            </w:pPr>
          </w:p>
        </w:tc>
      </w:tr>
      <w:tr>
        <w:trPr>
          <w:trHeight w:val="224"/>
        </w:trPr>
        <w:tc>
          <w:tcPr>
            <w:tcW w:w="1780" w:type="dxa"/>
            <w:vAlign w:val="bottom"/>
          </w:tcPr>
          <w:p>
            <w:pPr>
              <w:ind w:left="20"/>
              <w:spacing w:after="0"/>
              <w:rPr>
                <w:sz w:val="20"/>
                <w:szCs w:val="20"/>
                <w:color w:val="auto"/>
              </w:rPr>
            </w:pPr>
            <w:r>
              <w:rPr>
                <w:rFonts w:ascii="Arial" w:cs="Arial" w:eastAsia="Arial" w:hAnsi="Arial"/>
                <w:sz w:val="18"/>
                <w:szCs w:val="18"/>
                <w:i w:val="1"/>
                <w:iCs w:val="1"/>
                <w:color w:val="auto"/>
              </w:rPr>
              <w:t>margin</w:t>
            </w:r>
          </w:p>
        </w:tc>
        <w:tc>
          <w:tcPr>
            <w:tcW w:w="26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780" w:type="dxa"/>
            <w:vAlign w:val="bottom"/>
            <w:shd w:val="clear" w:color="auto" w:fill="CCEEFF"/>
          </w:tcPr>
          <w:p>
            <w:pPr>
              <w:ind w:left="20"/>
              <w:spacing w:after="0" w:line="187" w:lineRule="exact"/>
              <w:rPr>
                <w:sz w:val="20"/>
                <w:szCs w:val="20"/>
                <w:color w:val="auto"/>
              </w:rPr>
            </w:pPr>
            <w:r>
              <w:rPr>
                <w:rFonts w:ascii="Arial" w:cs="Arial" w:eastAsia="Arial" w:hAnsi="Arial"/>
                <w:sz w:val="18"/>
                <w:szCs w:val="18"/>
                <w:color w:val="auto"/>
              </w:rPr>
              <w:t>General and</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administrative</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115.8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(27.4)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173"/>
        </w:trPr>
        <w:tc>
          <w:tcPr>
            <w:tcW w:w="1780" w:type="dxa"/>
            <w:vAlign w:val="bottom"/>
          </w:tcPr>
          <w:p>
            <w:pPr>
              <w:ind w:left="20"/>
              <w:spacing w:after="0" w:line="173" w:lineRule="exact"/>
              <w:rPr>
                <w:sz w:val="20"/>
                <w:szCs w:val="20"/>
                <w:color w:val="auto"/>
              </w:rPr>
            </w:pPr>
            <w:r>
              <w:rPr>
                <w:rFonts w:ascii="Arial" w:cs="Arial" w:eastAsia="Arial" w:hAnsi="Arial"/>
                <w:sz w:val="18"/>
                <w:szCs w:val="18"/>
                <w:i w:val="1"/>
                <w:iCs w:val="1"/>
                <w:color w:val="auto"/>
              </w:rPr>
              <w:t>General and</w:t>
            </w:r>
          </w:p>
        </w:tc>
        <w:tc>
          <w:tcPr>
            <w:tcW w:w="2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9.4 %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(2.2 %)</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4"/>
            <w:vMerge w:val="restart"/>
          </w:tcPr>
          <w:p>
            <w:pPr>
              <w:jc w:val="right"/>
              <w:ind w:right="240"/>
              <w:spacing w:after="0"/>
              <w:rPr>
                <w:sz w:val="20"/>
                <w:szCs w:val="20"/>
                <w:color w:val="auto"/>
              </w:rPr>
            </w:pPr>
            <w:r>
              <w:rPr>
                <w:rFonts w:ascii="Arial" w:cs="Arial" w:eastAsia="Arial" w:hAnsi="Arial"/>
                <w:sz w:val="18"/>
                <w:szCs w:val="18"/>
                <w:color w:val="auto"/>
              </w:rPr>
              <w:t>— %</w:t>
            </w:r>
          </w:p>
        </w:tc>
        <w:tc>
          <w:tcPr>
            <w:tcW w:w="1440" w:type="dxa"/>
            <w:vAlign w:val="bottom"/>
            <w:gridSpan w:val="4"/>
            <w:vMerge w:val="restart"/>
          </w:tcPr>
          <w:p>
            <w:pPr>
              <w:jc w:val="right"/>
              <w:ind w:right="240"/>
              <w:spacing w:after="0"/>
              <w:rPr>
                <w:sz w:val="20"/>
                <w:szCs w:val="20"/>
                <w:color w:val="auto"/>
              </w:rPr>
            </w:pPr>
            <w:r>
              <w:rPr>
                <w:rFonts w:ascii="Arial" w:cs="Arial" w:eastAsia="Arial" w:hAnsi="Arial"/>
                <w:sz w:val="18"/>
                <w:szCs w:val="18"/>
                <w:color w:val="auto"/>
              </w:rPr>
              <w:t>— %</w:t>
            </w:r>
          </w:p>
        </w:tc>
        <w:tc>
          <w:tcPr>
            <w:tcW w:w="1440" w:type="dxa"/>
            <w:vAlign w:val="bottom"/>
            <w:gridSpan w:val="4"/>
            <w:vMerge w:val="restart"/>
          </w:tcPr>
          <w:p>
            <w:pPr>
              <w:jc w:val="right"/>
              <w:ind w:right="260"/>
              <w:spacing w:after="0"/>
              <w:rPr>
                <w:sz w:val="20"/>
                <w:szCs w:val="20"/>
                <w:color w:val="auto"/>
              </w:rPr>
            </w:pPr>
            <w:r>
              <w:rPr>
                <w:rFonts w:ascii="Arial" w:cs="Arial" w:eastAsia="Arial" w:hAnsi="Arial"/>
                <w:sz w:val="18"/>
                <w:szCs w:val="18"/>
                <w:color w:val="auto"/>
              </w:rPr>
              <w:t>— %</w:t>
            </w:r>
          </w:p>
        </w:tc>
        <w:tc>
          <w:tcPr>
            <w:tcW w:w="1040" w:type="dxa"/>
            <w:vAlign w:val="bottom"/>
            <w:gridSpan w:val="2"/>
            <w:vMerge w:val="restart"/>
          </w:tcPr>
          <w:p>
            <w:pPr>
              <w:jc w:val="right"/>
              <w:spacing w:after="0"/>
              <w:rPr>
                <w:sz w:val="20"/>
                <w:szCs w:val="20"/>
                <w:color w:val="auto"/>
              </w:rPr>
            </w:pPr>
            <w:r>
              <w:rPr>
                <w:rFonts w:ascii="Arial" w:cs="Arial" w:eastAsia="Arial" w:hAnsi="Arial"/>
                <w:sz w:val="18"/>
                <w:szCs w:val="18"/>
                <w:color w:val="auto"/>
              </w:rPr>
              <w:t>(0.1 %)</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7.0 %</w:t>
            </w:r>
          </w:p>
        </w:tc>
        <w:tc>
          <w:tcPr>
            <w:tcW w:w="0" w:type="dxa"/>
            <w:vAlign w:val="bottom"/>
          </w:tcPr>
          <w:p>
            <w:pPr>
              <w:spacing w:after="0"/>
              <w:rPr>
                <w:sz w:val="1"/>
                <w:szCs w:val="1"/>
                <w:color w:val="auto"/>
              </w:rPr>
            </w:pPr>
          </w:p>
        </w:tc>
      </w:tr>
      <w:tr>
        <w:trPr>
          <w:trHeight w:val="231"/>
        </w:trPr>
        <w:tc>
          <w:tcPr>
            <w:tcW w:w="1780" w:type="dxa"/>
            <w:vAlign w:val="bottom"/>
          </w:tcPr>
          <w:p>
            <w:pPr>
              <w:ind w:left="20"/>
              <w:spacing w:after="0"/>
              <w:rPr>
                <w:sz w:val="20"/>
                <w:szCs w:val="20"/>
                <w:color w:val="auto"/>
              </w:rPr>
            </w:pPr>
            <w:r>
              <w:rPr>
                <w:rFonts w:ascii="Arial" w:cs="Arial" w:eastAsia="Arial" w:hAnsi="Arial"/>
                <w:sz w:val="18"/>
                <w:szCs w:val="18"/>
                <w:i w:val="1"/>
                <w:iCs w:val="1"/>
                <w:color w:val="auto"/>
              </w:rPr>
              <w:t>administrative margin</w:t>
            </w:r>
          </w:p>
        </w:tc>
        <w:tc>
          <w:tcPr>
            <w:tcW w:w="26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4"/>
            <w:vMerge w:val="continue"/>
          </w:tcPr>
          <w:p>
            <w:pPr>
              <w:spacing w:after="0"/>
              <w:rPr>
                <w:sz w:val="20"/>
                <w:szCs w:val="20"/>
                <w:color w:val="auto"/>
              </w:rPr>
            </w:pPr>
          </w:p>
        </w:tc>
        <w:tc>
          <w:tcPr>
            <w:tcW w:w="1440" w:type="dxa"/>
            <w:vAlign w:val="bottom"/>
            <w:gridSpan w:val="4"/>
            <w:vMerge w:val="continue"/>
          </w:tcPr>
          <w:p>
            <w:pPr>
              <w:spacing w:after="0"/>
              <w:rPr>
                <w:sz w:val="20"/>
                <w:szCs w:val="20"/>
                <w:color w:val="auto"/>
              </w:rPr>
            </w:pPr>
          </w:p>
        </w:tc>
        <w:tc>
          <w:tcPr>
            <w:tcW w:w="1440" w:type="dxa"/>
            <w:vAlign w:val="bottom"/>
            <w:gridSpan w:val="4"/>
            <w:vMerge w:val="continue"/>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1780" w:type="dxa"/>
            <w:vAlign w:val="bottom"/>
            <w:shd w:val="clear" w:color="auto" w:fill="CCEEFF"/>
          </w:tcPr>
          <w:p>
            <w:pPr>
              <w:ind w:left="20"/>
              <w:spacing w:after="0" w:line="181" w:lineRule="exact"/>
              <w:rPr>
                <w:sz w:val="20"/>
                <w:szCs w:val="20"/>
                <w:color w:val="auto"/>
              </w:rPr>
            </w:pPr>
            <w:r>
              <w:rPr>
                <w:rFonts w:ascii="Arial" w:cs="Arial" w:eastAsia="Arial" w:hAnsi="Arial"/>
                <w:sz w:val="18"/>
                <w:szCs w:val="18"/>
                <w:color w:val="auto"/>
              </w:rPr>
              <w:t>Impairment related to</w:t>
            </w:r>
          </w:p>
        </w:tc>
        <w:tc>
          <w:tcPr>
            <w:tcW w:w="2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1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assets</w:t>
            </w:r>
          </w:p>
        </w:tc>
        <w:tc>
          <w:tcPr>
            <w:tcW w:w="26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780" w:type="dxa"/>
            <w:vAlign w:val="bottom"/>
          </w:tcPr>
          <w:p>
            <w:pPr>
              <w:ind w:left="20"/>
              <w:spacing w:after="0" w:line="187" w:lineRule="exact"/>
              <w:rPr>
                <w:sz w:val="20"/>
                <w:szCs w:val="20"/>
                <w:color w:val="auto"/>
              </w:rPr>
            </w:pPr>
            <w:r>
              <w:rPr>
                <w:rFonts w:ascii="Arial" w:cs="Arial" w:eastAsia="Arial" w:hAnsi="Arial"/>
                <w:sz w:val="18"/>
                <w:szCs w:val="18"/>
                <w:i w:val="1"/>
                <w:iCs w:val="1"/>
                <w:color w:val="auto"/>
              </w:rPr>
              <w:t>Impairment related to</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780" w:type="dxa"/>
            <w:vAlign w:val="bottom"/>
          </w:tcPr>
          <w:p>
            <w:pPr>
              <w:ind w:left="20"/>
              <w:spacing w:after="0" w:line="172" w:lineRule="exact"/>
              <w:rPr>
                <w:sz w:val="20"/>
                <w:szCs w:val="20"/>
                <w:color w:val="auto"/>
              </w:rPr>
            </w:pPr>
            <w:r>
              <w:rPr>
                <w:rFonts w:ascii="Arial" w:cs="Arial" w:eastAsia="Arial" w:hAnsi="Arial"/>
                <w:sz w:val="18"/>
                <w:szCs w:val="18"/>
                <w:i w:val="1"/>
                <w:iCs w:val="1"/>
                <w:color w:val="auto"/>
              </w:rPr>
              <w:t>real estate assets</w:t>
            </w:r>
          </w:p>
        </w:tc>
        <w:tc>
          <w:tcPr>
            <w:tcW w:w="2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4"/>
            <w:vMerge w:val="restart"/>
          </w:tcPr>
          <w:p>
            <w:pPr>
              <w:jc w:val="right"/>
              <w:ind w:right="240"/>
              <w:spacing w:after="0"/>
              <w:rPr>
                <w:sz w:val="20"/>
                <w:szCs w:val="20"/>
                <w:color w:val="auto"/>
              </w:rPr>
            </w:pPr>
            <w:r>
              <w:rPr>
                <w:rFonts w:ascii="Arial" w:cs="Arial" w:eastAsia="Arial" w:hAnsi="Arial"/>
                <w:sz w:val="18"/>
                <w:szCs w:val="18"/>
                <w:color w:val="auto"/>
              </w:rPr>
              <w:t>— %</w:t>
            </w:r>
          </w:p>
        </w:tc>
        <w:tc>
          <w:tcPr>
            <w:tcW w:w="1440" w:type="dxa"/>
            <w:vAlign w:val="bottom"/>
            <w:gridSpan w:val="4"/>
            <w:vMerge w:val="restart"/>
          </w:tcPr>
          <w:p>
            <w:pPr>
              <w:jc w:val="right"/>
              <w:ind w:right="240"/>
              <w:spacing w:after="0"/>
              <w:rPr>
                <w:sz w:val="20"/>
                <w:szCs w:val="20"/>
                <w:color w:val="auto"/>
              </w:rPr>
            </w:pPr>
            <w:r>
              <w:rPr>
                <w:rFonts w:ascii="Arial" w:cs="Arial" w:eastAsia="Arial" w:hAnsi="Arial"/>
                <w:sz w:val="18"/>
                <w:szCs w:val="18"/>
                <w:color w:val="auto"/>
              </w:rPr>
              <w:t>— %</w:t>
            </w:r>
          </w:p>
        </w:tc>
        <w:tc>
          <w:tcPr>
            <w:tcW w:w="1200" w:type="dxa"/>
            <w:vAlign w:val="bottom"/>
            <w:gridSpan w:val="2"/>
            <w:vMerge w:val="restart"/>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4"/>
            <w:vMerge w:val="restart"/>
          </w:tcPr>
          <w:p>
            <w:pPr>
              <w:jc w:val="right"/>
              <w:ind w:right="240"/>
              <w:spacing w:after="0"/>
              <w:rPr>
                <w:sz w:val="20"/>
                <w:szCs w:val="20"/>
                <w:color w:val="auto"/>
              </w:rPr>
            </w:pPr>
            <w:r>
              <w:rPr>
                <w:rFonts w:ascii="Arial" w:cs="Arial" w:eastAsia="Arial" w:hAnsi="Arial"/>
                <w:sz w:val="18"/>
                <w:szCs w:val="18"/>
                <w:color w:val="auto"/>
              </w:rPr>
              <w:t>— %</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4"/>
        </w:trPr>
        <w:tc>
          <w:tcPr>
            <w:tcW w:w="1780" w:type="dxa"/>
            <w:vAlign w:val="bottom"/>
          </w:tcPr>
          <w:p>
            <w:pPr>
              <w:ind w:left="20"/>
              <w:spacing w:after="0"/>
              <w:rPr>
                <w:sz w:val="20"/>
                <w:szCs w:val="20"/>
                <w:color w:val="auto"/>
              </w:rPr>
            </w:pPr>
            <w:r>
              <w:rPr>
                <w:rFonts w:ascii="Arial" w:cs="Arial" w:eastAsia="Arial" w:hAnsi="Arial"/>
                <w:sz w:val="18"/>
                <w:szCs w:val="18"/>
                <w:i w:val="1"/>
                <w:iCs w:val="1"/>
                <w:color w:val="auto"/>
              </w:rPr>
              <w:t>margin</w:t>
            </w:r>
          </w:p>
        </w:tc>
        <w:tc>
          <w:tcPr>
            <w:tcW w:w="26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4"/>
            <w:vMerge w:val="continue"/>
          </w:tcPr>
          <w:p>
            <w:pPr>
              <w:spacing w:after="0"/>
              <w:rPr>
                <w:sz w:val="19"/>
                <w:szCs w:val="19"/>
                <w:color w:val="auto"/>
              </w:rPr>
            </w:pPr>
          </w:p>
        </w:tc>
        <w:tc>
          <w:tcPr>
            <w:tcW w:w="1440" w:type="dxa"/>
            <w:vAlign w:val="bottom"/>
            <w:gridSpan w:val="4"/>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4"/>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7"/>
              </w:rPr>
              <w:t>Income from operations $</w:t>
            </w:r>
          </w:p>
        </w:tc>
        <w:tc>
          <w:tcPr>
            <w:tcW w:w="8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140.6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171.3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14.0</w:t>
            </w:r>
          </w:p>
        </w:tc>
        <w:tc>
          <w:tcPr>
            <w:tcW w:w="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387.6</w:t>
            </w:r>
          </w:p>
        </w:tc>
        <w:tc>
          <w:tcPr>
            <w:tcW w:w="0" w:type="dxa"/>
            <w:vAlign w:val="bottom"/>
          </w:tcPr>
          <w:p>
            <w:pPr>
              <w:spacing w:after="0"/>
              <w:rPr>
                <w:sz w:val="1"/>
                <w:szCs w:val="1"/>
                <w:color w:val="auto"/>
              </w:rPr>
            </w:pPr>
          </w:p>
        </w:tc>
      </w:tr>
      <w:tr>
        <w:trPr>
          <w:trHeight w:val="224"/>
        </w:trPr>
        <w:tc>
          <w:tcPr>
            <w:tcW w:w="1780" w:type="dxa"/>
            <w:vAlign w:val="bottom"/>
          </w:tcPr>
          <w:p>
            <w:pPr>
              <w:ind w:left="20"/>
              <w:spacing w:after="0"/>
              <w:rPr>
                <w:sz w:val="20"/>
                <w:szCs w:val="20"/>
                <w:color w:val="auto"/>
              </w:rPr>
            </w:pPr>
            <w:r>
              <w:rPr>
                <w:rFonts w:ascii="Arial" w:cs="Arial" w:eastAsia="Arial" w:hAnsi="Arial"/>
                <w:sz w:val="18"/>
                <w:szCs w:val="18"/>
                <w:i w:val="1"/>
                <w:iCs w:val="1"/>
                <w:color w:val="auto"/>
              </w:rPr>
              <w:t>Operating margin</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11.4 %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13.9 %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31.4 %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ind w:left="154" w:hanging="154"/>
        <w:spacing w:after="0"/>
        <w:tabs>
          <w:tab w:leader="none" w:pos="154" w:val="left"/>
        </w:tabs>
        <w:numPr>
          <w:ilvl w:val="0"/>
          <w:numId w:val="10"/>
        </w:numPr>
        <w:rPr>
          <w:rFonts w:ascii="Arial" w:cs="Arial" w:eastAsia="Arial" w:hAnsi="Arial"/>
          <w:sz w:val="18"/>
          <w:szCs w:val="18"/>
          <w:color w:val="auto"/>
          <w:vertAlign w:val="superscript"/>
        </w:rPr>
      </w:pPr>
      <w:r>
        <w:rPr>
          <w:rFonts w:ascii="Arial" w:cs="Arial" w:eastAsia="Arial" w:hAnsi="Arial"/>
          <w:sz w:val="13"/>
          <w:szCs w:val="13"/>
          <w:color w:val="auto"/>
        </w:rPr>
        <w:t>Includes impairment charges related to real estate assets as a result of our Virtual First work model.</w:t>
      </w:r>
    </w:p>
    <w:p>
      <w:pPr>
        <w:spacing w:after="0" w:line="217" w:lineRule="exact"/>
        <w:rPr>
          <w:rFonts w:ascii="Arial" w:cs="Arial" w:eastAsia="Arial" w:hAnsi="Arial"/>
          <w:sz w:val="18"/>
          <w:szCs w:val="18"/>
          <w:color w:val="auto"/>
          <w:vertAlign w:val="superscript"/>
        </w:rPr>
      </w:pPr>
    </w:p>
    <w:p>
      <w:pPr>
        <w:ind w:left="154" w:hanging="154"/>
        <w:spacing w:after="0"/>
        <w:tabs>
          <w:tab w:leader="none" w:pos="154" w:val="left"/>
        </w:tabs>
        <w:numPr>
          <w:ilvl w:val="0"/>
          <w:numId w:val="10"/>
        </w:numPr>
        <w:rPr>
          <w:rFonts w:ascii="Arial" w:cs="Arial" w:eastAsia="Arial" w:hAnsi="Arial"/>
          <w:sz w:val="18"/>
          <w:szCs w:val="18"/>
          <w:color w:val="auto"/>
          <w:vertAlign w:val="superscript"/>
        </w:rPr>
      </w:pPr>
      <w:r>
        <w:rPr>
          <w:rFonts w:ascii="Arial" w:cs="Arial" w:eastAsia="Arial" w:hAnsi="Arial"/>
          <w:sz w:val="13"/>
          <w:szCs w:val="13"/>
          <w:color w:val="auto"/>
        </w:rPr>
        <w:t>Includes expenses related to our reduction in workforce such as severance, benefits and other related items.</w:t>
      </w:r>
    </w:p>
    <w:p>
      <w:pPr>
        <w:sectPr>
          <w:pgSz w:w="11900" w:h="16838" w:orient="portrait"/>
          <w:cols w:equalWidth="0" w:num="1">
            <w:col w:w="11194"/>
          </w:cols>
          <w:pgMar w:left="326" w:top="1112" w:right="379" w:bottom="1440" w:gutter="0" w:footer="0" w:header="0"/>
        </w:sectPr>
      </w:pPr>
    </w:p>
    <w:bookmarkStart w:id="13" w:name="page14"/>
    <w:bookmarkEnd w:id="13"/>
    <w:p>
      <w:pPr>
        <w:ind w:left="5054"/>
        <w:spacing w:after="0"/>
        <w:rPr>
          <w:sz w:val="20"/>
          <w:szCs w:val="20"/>
          <w:color w:val="auto"/>
        </w:rPr>
      </w:pPr>
      <w:r>
        <w:rPr>
          <w:rFonts w:ascii="Arial" w:cs="Arial" w:eastAsia="Arial" w:hAnsi="Arial"/>
          <w:sz w:val="19"/>
          <w:szCs w:val="19"/>
          <w:b w:val="1"/>
          <w:bCs w:val="1"/>
          <w:color w:val="auto"/>
        </w:rPr>
        <w:t>Dropbox, Inc.</w:t>
      </w:r>
    </w:p>
    <w:p>
      <w:pPr>
        <w:spacing w:after="0" w:line="35" w:lineRule="exact"/>
        <w:rPr>
          <w:sz w:val="20"/>
          <w:szCs w:val="20"/>
          <w:color w:val="auto"/>
        </w:rPr>
      </w:pPr>
    </w:p>
    <w:p>
      <w:pPr>
        <w:ind w:left="4254"/>
        <w:spacing w:after="0"/>
        <w:rPr>
          <w:sz w:val="20"/>
          <w:szCs w:val="20"/>
          <w:color w:val="auto"/>
        </w:rPr>
      </w:pPr>
      <w:r>
        <w:rPr>
          <w:rFonts w:ascii="Arial" w:cs="Arial" w:eastAsia="Arial" w:hAnsi="Arial"/>
          <w:sz w:val="19"/>
          <w:szCs w:val="19"/>
          <w:b w:val="1"/>
          <w:bCs w:val="1"/>
          <w:color w:val="auto"/>
        </w:rPr>
        <w:t>Six Months Ended June 30, 2022</w:t>
      </w:r>
    </w:p>
    <w:p>
      <w:pPr>
        <w:spacing w:after="0" w:line="15" w:lineRule="exact"/>
        <w:rPr>
          <w:sz w:val="20"/>
          <w:szCs w:val="20"/>
          <w:color w:val="auto"/>
        </w:rPr>
      </w:pPr>
    </w:p>
    <w:p>
      <w:pPr>
        <w:jc w:val="center"/>
        <w:ind w:right="-93"/>
        <w:spacing w:after="0"/>
        <w:rPr>
          <w:sz w:val="20"/>
          <w:szCs w:val="20"/>
          <w:color w:val="auto"/>
        </w:rPr>
      </w:pPr>
      <w:r>
        <w:rPr>
          <w:rFonts w:ascii="Arial" w:cs="Arial" w:eastAsia="Arial" w:hAnsi="Arial"/>
          <w:sz w:val="19"/>
          <w:szCs w:val="19"/>
          <w:b w:val="1"/>
          <w:bCs w:val="1"/>
          <w:color w:val="auto"/>
        </w:rPr>
        <w:t>Reconciliation of GAAP to Non-GAAP results</w:t>
      </w:r>
    </w:p>
    <w:p>
      <w:pPr>
        <w:spacing w:after="0" w:line="13" w:lineRule="exact"/>
        <w:rPr>
          <w:sz w:val="20"/>
          <w:szCs w:val="20"/>
          <w:color w:val="auto"/>
        </w:rPr>
      </w:pPr>
    </w:p>
    <w:p>
      <w:pPr>
        <w:jc w:val="center"/>
        <w:ind w:right="-93"/>
        <w:spacing w:after="0"/>
        <w:rPr>
          <w:sz w:val="20"/>
          <w:szCs w:val="20"/>
          <w:color w:val="auto"/>
        </w:rPr>
      </w:pPr>
      <w:r>
        <w:rPr>
          <w:rFonts w:ascii="Arial" w:cs="Arial" w:eastAsia="Arial" w:hAnsi="Arial"/>
          <w:sz w:val="18"/>
          <w:szCs w:val="18"/>
          <w:i w:val="1"/>
          <w:iCs w:val="1"/>
          <w:color w:val="auto"/>
        </w:rPr>
        <w:t>(In millions, except for percentages, which may not foot due to rounding)</w:t>
      </w:r>
    </w:p>
    <w:p>
      <w:pPr>
        <w:spacing w:after="0" w:line="13" w:lineRule="exact"/>
        <w:rPr>
          <w:sz w:val="20"/>
          <w:szCs w:val="20"/>
          <w:color w:val="auto"/>
        </w:rPr>
      </w:pPr>
    </w:p>
    <w:p>
      <w:pPr>
        <w:jc w:val="center"/>
        <w:ind w:right="-93"/>
        <w:spacing w:after="0"/>
        <w:rPr>
          <w:sz w:val="20"/>
          <w:szCs w:val="20"/>
          <w:color w:val="auto"/>
        </w:rPr>
      </w:pPr>
      <w:r>
        <w:rPr>
          <w:rFonts w:ascii="Arial" w:cs="Arial" w:eastAsia="Arial" w:hAnsi="Arial"/>
          <w:sz w:val="18"/>
          <w:szCs w:val="18"/>
          <w:i w:val="1"/>
          <w:iCs w:val="1"/>
          <w:color w:val="auto"/>
        </w:rPr>
        <w:t>(Unaudited)</w:t>
      </w:r>
    </w:p>
    <w:tbl>
      <w:tblPr>
        <w:tblLayout w:type="fixed"/>
        <w:tblInd w:w="334" w:type="dxa"/>
        <w:tblCellMar>
          <w:top w:w="0" w:type="dxa"/>
          <w:left w:w="0" w:type="dxa"/>
          <w:bottom w:w="0" w:type="dxa"/>
          <w:right w:w="0" w:type="dxa"/>
        </w:tblCellMar>
      </w:tblPr>
      <w:tr>
        <w:trPr>
          <w:trHeight w:val="205"/>
        </w:trPr>
        <w:tc>
          <w:tcPr>
            <w:tcW w:w="2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3"/>
              </w:rPr>
              <w:t>Stock-based</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line="206" w:lineRule="exact"/>
              <w:rPr>
                <w:sz w:val="20"/>
                <w:szCs w:val="20"/>
                <w:color w:val="auto"/>
              </w:rPr>
            </w:pPr>
            <w:r>
              <w:rPr>
                <w:rFonts w:ascii="Arial" w:cs="Arial" w:eastAsia="Arial" w:hAnsi="Arial"/>
                <w:sz w:val="18"/>
                <w:szCs w:val="18"/>
                <w:b w:val="1"/>
                <w:bCs w:val="1"/>
                <w:color w:val="auto"/>
                <w:w w:val="96"/>
              </w:rPr>
              <w:t>Acquisition-</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6"/>
              </w:rPr>
              <w:t>Intangibles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ind w:left="80"/>
              <w:spacing w:after="0" w:line="206" w:lineRule="exact"/>
              <w:rPr>
                <w:sz w:val="20"/>
                <w:szCs w:val="20"/>
                <w:color w:val="auto"/>
              </w:rPr>
            </w:pPr>
            <w:r>
              <w:rPr>
                <w:rFonts w:ascii="Arial" w:cs="Arial" w:eastAsia="Arial" w:hAnsi="Arial"/>
                <w:sz w:val="18"/>
                <w:szCs w:val="18"/>
                <w:b w:val="1"/>
                <w:bCs w:val="1"/>
                <w:color w:val="auto"/>
                <w:w w:val="92"/>
              </w:rPr>
              <w:t>Impairment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vMerge w:val="restart"/>
          </w:tcPr>
          <w:p>
            <w:pPr>
              <w:jc w:val="right"/>
              <w:ind w:right="252"/>
              <w:spacing w:after="0"/>
              <w:rPr>
                <w:sz w:val="20"/>
                <w:szCs w:val="20"/>
                <w:color w:val="auto"/>
              </w:rPr>
            </w:pPr>
            <w:r>
              <w:rPr>
                <w:rFonts w:ascii="Arial" w:cs="Arial" w:eastAsia="Arial" w:hAnsi="Arial"/>
                <w:sz w:val="18"/>
                <w:szCs w:val="18"/>
                <w:b w:val="1"/>
                <w:bCs w:val="1"/>
                <w:color w:val="auto"/>
              </w:rPr>
              <w:t>GAAP</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line="172" w:lineRule="exact"/>
              <w:rPr>
                <w:sz w:val="20"/>
                <w:szCs w:val="20"/>
                <w:color w:val="auto"/>
              </w:rPr>
            </w:pPr>
            <w:r>
              <w:rPr>
                <w:rFonts w:ascii="Arial" w:cs="Arial" w:eastAsia="Arial" w:hAnsi="Arial"/>
                <w:sz w:val="18"/>
                <w:szCs w:val="18"/>
                <w:b w:val="1"/>
                <w:bCs w:val="1"/>
                <w:color w:val="auto"/>
              </w:rPr>
              <w:t>related and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4"/>
          </w:tcPr>
          <w:p>
            <w:pPr>
              <w:spacing w:after="0" w:line="172" w:lineRule="exact"/>
              <w:rPr>
                <w:sz w:val="20"/>
                <w:szCs w:val="20"/>
                <w:color w:val="auto"/>
              </w:rPr>
            </w:pPr>
            <w:r>
              <w:rPr>
                <w:rFonts w:ascii="Arial" w:cs="Arial" w:eastAsia="Arial" w:hAnsi="Arial"/>
                <w:sz w:val="18"/>
                <w:szCs w:val="18"/>
                <w:b w:val="1"/>
                <w:bCs w:val="1"/>
                <w:color w:val="auto"/>
              </w:rPr>
              <w:t>related to real</w:t>
            </w:r>
          </w:p>
        </w:tc>
        <w:tc>
          <w:tcPr>
            <w:tcW w:w="1060" w:type="dxa"/>
            <w:vAlign w:val="bottom"/>
            <w:vMerge w:val="restart"/>
          </w:tcPr>
          <w:p>
            <w:pPr>
              <w:jc w:val="right"/>
              <w:ind w:right="72"/>
              <w:spacing w:after="0"/>
              <w:rPr>
                <w:sz w:val="20"/>
                <w:szCs w:val="20"/>
                <w:color w:val="auto"/>
              </w:rPr>
            </w:pPr>
            <w:r>
              <w:rPr>
                <w:rFonts w:ascii="Arial" w:cs="Arial" w:eastAsia="Arial" w:hAnsi="Arial"/>
                <w:sz w:val="18"/>
                <w:szCs w:val="18"/>
                <w:b w:val="1"/>
                <w:bCs w:val="1"/>
                <w:color w:val="auto"/>
                <w:w w:val="94"/>
              </w:rPr>
              <w:t>Non-GAAP</w:t>
            </w:r>
          </w:p>
        </w:tc>
        <w:tc>
          <w:tcPr>
            <w:tcW w:w="0" w:type="dxa"/>
            <w:vAlign w:val="bottom"/>
          </w:tcPr>
          <w:p>
            <w:pPr>
              <w:spacing w:after="0"/>
              <w:rPr>
                <w:sz w:val="1"/>
                <w:szCs w:val="1"/>
                <w:color w:val="auto"/>
              </w:rPr>
            </w:pPr>
          </w:p>
        </w:tc>
      </w:tr>
      <w:tr>
        <w:trPr>
          <w:trHeight w:val="239"/>
        </w:trPr>
        <w:tc>
          <w:tcPr>
            <w:tcW w:w="23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8"/>
                <w:szCs w:val="18"/>
                <w:b w:val="1"/>
                <w:bCs w:val="1"/>
                <w:color w:val="auto"/>
                <w:w w:val="86"/>
              </w:rPr>
              <w:t>compensation</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b w:val="1"/>
                <w:bCs w:val="1"/>
                <w:color w:val="auto"/>
                <w:w w:val="83"/>
              </w:rPr>
              <w:t>other expenses</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amortization</w:t>
            </w: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spacing w:after="0" w:line="239" w:lineRule="exact"/>
              <w:rPr>
                <w:sz w:val="20"/>
                <w:szCs w:val="20"/>
                <w:color w:val="auto"/>
              </w:rPr>
            </w:pPr>
            <w:r>
              <w:rPr>
                <w:rFonts w:ascii="Arial" w:cs="Arial" w:eastAsia="Arial" w:hAnsi="Arial"/>
                <w:sz w:val="18"/>
                <w:szCs w:val="18"/>
                <w:b w:val="1"/>
                <w:bCs w:val="1"/>
                <w:color w:val="auto"/>
                <w:w w:val="88"/>
              </w:rPr>
              <w:t>estate assets</w:t>
            </w:r>
            <w:r>
              <w:rPr>
                <w:rFonts w:ascii="Arial" w:cs="Arial" w:eastAsia="Arial" w:hAnsi="Arial"/>
                <w:sz w:val="22"/>
                <w:szCs w:val="22"/>
                <w:b w:val="1"/>
                <w:bCs w:val="1"/>
                <w:color w:val="auto"/>
                <w:w w:val="88"/>
                <w:vertAlign w:val="superscript"/>
              </w:rPr>
              <w:t>(1)</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218.7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25"/>
        </w:trPr>
        <w:tc>
          <w:tcPr>
            <w:tcW w:w="2340" w:type="dxa"/>
            <w:vAlign w:val="bottom"/>
          </w:tcPr>
          <w:p>
            <w:pPr>
              <w:ind w:left="20"/>
              <w:spacing w:after="0"/>
              <w:rPr>
                <w:sz w:val="20"/>
                <w:szCs w:val="20"/>
                <w:color w:val="auto"/>
              </w:rPr>
            </w:pPr>
            <w:r>
              <w:rPr>
                <w:rFonts w:ascii="Arial" w:cs="Arial" w:eastAsia="Arial" w:hAnsi="Arial"/>
                <w:sz w:val="18"/>
                <w:szCs w:val="18"/>
                <w:i w:val="1"/>
                <w:iCs w:val="1"/>
                <w:color w:val="auto"/>
              </w:rPr>
              <w:t>Cost of revenue margin</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19.3 %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4"/>
          </w:tcPr>
          <w:p>
            <w:pPr>
              <w:jc w:val="right"/>
              <w:ind w:right="260"/>
              <w:spacing w:after="0"/>
              <w:rPr>
                <w:sz w:val="20"/>
                <w:szCs w:val="20"/>
                <w:color w:val="auto"/>
              </w:rPr>
            </w:pPr>
            <w:r>
              <w:rPr>
                <w:rFonts w:ascii="Arial" w:cs="Arial" w:eastAsia="Arial" w:hAnsi="Arial"/>
                <w:sz w:val="18"/>
                <w:szCs w:val="18"/>
                <w:color w:val="auto"/>
              </w:rPr>
              <w:t>— %</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4"/>
          </w:tcPr>
          <w:p>
            <w:pPr>
              <w:ind w:left="740"/>
              <w:spacing w:after="0"/>
              <w:rPr>
                <w:sz w:val="20"/>
                <w:szCs w:val="20"/>
                <w:color w:val="auto"/>
              </w:rPr>
            </w:pPr>
            <w:r>
              <w:rPr>
                <w:rFonts w:ascii="Arial" w:cs="Arial" w:eastAsia="Arial" w:hAnsi="Arial"/>
                <w:sz w:val="18"/>
                <w:szCs w:val="18"/>
                <w:color w:val="auto"/>
              </w:rPr>
              <w:t>— %</w:t>
            </w:r>
          </w:p>
        </w:tc>
        <w:tc>
          <w:tcPr>
            <w:tcW w:w="1060" w:type="dxa"/>
            <w:vAlign w:val="bottom"/>
          </w:tcPr>
          <w:p>
            <w:pPr>
              <w:jc w:val="right"/>
              <w:spacing w:after="0"/>
              <w:rPr>
                <w:sz w:val="20"/>
                <w:szCs w:val="20"/>
                <w:color w:val="auto"/>
              </w:rPr>
            </w:pPr>
            <w:r>
              <w:rPr>
                <w:rFonts w:ascii="Arial" w:cs="Arial" w:eastAsia="Arial" w:hAnsi="Arial"/>
                <w:sz w:val="18"/>
                <w:szCs w:val="18"/>
                <w:color w:val="auto"/>
              </w:rPr>
              <w:t>17.8 %</w:t>
            </w:r>
          </w:p>
        </w:tc>
        <w:tc>
          <w:tcPr>
            <w:tcW w:w="0" w:type="dxa"/>
            <w:vAlign w:val="bottom"/>
          </w:tcPr>
          <w:p>
            <w:pPr>
              <w:spacing w:after="0"/>
              <w:rPr>
                <w:sz w:val="1"/>
                <w:szCs w:val="1"/>
                <w:color w:val="auto"/>
              </w:rPr>
            </w:pPr>
          </w:p>
        </w:tc>
      </w:tr>
      <w:tr>
        <w:trPr>
          <w:trHeight w:val="239"/>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916.4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932.7</w:t>
            </w:r>
          </w:p>
        </w:tc>
        <w:tc>
          <w:tcPr>
            <w:tcW w:w="0" w:type="dxa"/>
            <w:vAlign w:val="bottom"/>
          </w:tcPr>
          <w:p>
            <w:pPr>
              <w:spacing w:after="0"/>
              <w:rPr>
                <w:sz w:val="1"/>
                <w:szCs w:val="1"/>
                <w:color w:val="auto"/>
              </w:rPr>
            </w:pPr>
          </w:p>
        </w:tc>
      </w:tr>
      <w:tr>
        <w:trPr>
          <w:trHeight w:val="225"/>
        </w:trPr>
        <w:tc>
          <w:tcPr>
            <w:tcW w:w="2340" w:type="dxa"/>
            <w:vAlign w:val="bottom"/>
          </w:tcPr>
          <w:p>
            <w:pPr>
              <w:ind w:left="20"/>
              <w:spacing w:after="0"/>
              <w:rPr>
                <w:sz w:val="20"/>
                <w:szCs w:val="20"/>
                <w:color w:val="auto"/>
              </w:rPr>
            </w:pPr>
            <w:r>
              <w:rPr>
                <w:rFonts w:ascii="Arial" w:cs="Arial" w:eastAsia="Arial" w:hAnsi="Arial"/>
                <w:sz w:val="18"/>
                <w:szCs w:val="18"/>
                <w:i w:val="1"/>
                <w:iCs w:val="1"/>
                <w:color w:val="auto"/>
              </w:rPr>
              <w:t>Gross margin</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80.7 %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4"/>
          </w:tcPr>
          <w:p>
            <w:pPr>
              <w:jc w:val="right"/>
              <w:ind w:right="260"/>
              <w:spacing w:after="0"/>
              <w:rPr>
                <w:sz w:val="20"/>
                <w:szCs w:val="20"/>
                <w:color w:val="auto"/>
              </w:rPr>
            </w:pPr>
            <w:r>
              <w:rPr>
                <w:rFonts w:ascii="Arial" w:cs="Arial" w:eastAsia="Arial" w:hAnsi="Arial"/>
                <w:sz w:val="18"/>
                <w:szCs w:val="18"/>
                <w:color w:val="auto"/>
              </w:rPr>
              <w:t>— %</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0.3</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4"/>
          </w:tcPr>
          <w:p>
            <w:pPr>
              <w:ind w:left="740"/>
              <w:spacing w:after="0"/>
              <w:rPr>
                <w:sz w:val="20"/>
                <w:szCs w:val="20"/>
                <w:color w:val="auto"/>
              </w:rPr>
            </w:pPr>
            <w:r>
              <w:rPr>
                <w:rFonts w:ascii="Arial" w:cs="Arial" w:eastAsia="Arial" w:hAnsi="Arial"/>
                <w:sz w:val="18"/>
                <w:szCs w:val="18"/>
                <w:color w:val="auto"/>
              </w:rPr>
              <w:t>— %</w:t>
            </w:r>
          </w:p>
        </w:tc>
        <w:tc>
          <w:tcPr>
            <w:tcW w:w="1060" w:type="dxa"/>
            <w:vAlign w:val="bottom"/>
          </w:tcPr>
          <w:p>
            <w:pPr>
              <w:jc w:val="right"/>
              <w:spacing w:after="0"/>
              <w:rPr>
                <w:sz w:val="20"/>
                <w:szCs w:val="20"/>
                <w:color w:val="auto"/>
              </w:rPr>
            </w:pPr>
            <w:r>
              <w:rPr>
                <w:rFonts w:ascii="Arial" w:cs="Arial" w:eastAsia="Arial" w:hAnsi="Arial"/>
                <w:sz w:val="18"/>
                <w:szCs w:val="18"/>
                <w:color w:val="auto"/>
              </w:rPr>
              <w:t>82.2 %</w:t>
            </w:r>
          </w:p>
        </w:tc>
        <w:tc>
          <w:tcPr>
            <w:tcW w:w="0" w:type="dxa"/>
            <w:vAlign w:val="bottom"/>
          </w:tcPr>
          <w:p>
            <w:pPr>
              <w:spacing w:after="0"/>
              <w:rPr>
                <w:sz w:val="1"/>
                <w:szCs w:val="1"/>
                <w:color w:val="auto"/>
              </w:rPr>
            </w:pPr>
          </w:p>
        </w:tc>
      </w:tr>
      <w:tr>
        <w:trPr>
          <w:trHeight w:val="226"/>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425.8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312.2</w:t>
            </w:r>
          </w:p>
        </w:tc>
        <w:tc>
          <w:tcPr>
            <w:tcW w:w="0" w:type="dxa"/>
            <w:vAlign w:val="bottom"/>
          </w:tcPr>
          <w:p>
            <w:pPr>
              <w:spacing w:after="0"/>
              <w:rPr>
                <w:sz w:val="1"/>
                <w:szCs w:val="1"/>
                <w:color w:val="auto"/>
              </w:rPr>
            </w:pPr>
          </w:p>
        </w:tc>
      </w:tr>
      <w:tr>
        <w:trPr>
          <w:trHeight w:val="187"/>
        </w:trPr>
        <w:tc>
          <w:tcPr>
            <w:tcW w:w="2340" w:type="dxa"/>
            <w:vAlign w:val="bottom"/>
          </w:tcPr>
          <w:p>
            <w:pPr>
              <w:ind w:left="20"/>
              <w:spacing w:after="0" w:line="187" w:lineRule="exact"/>
              <w:rPr>
                <w:sz w:val="20"/>
                <w:szCs w:val="20"/>
                <w:color w:val="auto"/>
              </w:rPr>
            </w:pPr>
            <w:r>
              <w:rPr>
                <w:rFonts w:ascii="Arial" w:cs="Arial" w:eastAsia="Arial" w:hAnsi="Arial"/>
                <w:sz w:val="18"/>
                <w:szCs w:val="18"/>
                <w:i w:val="1"/>
                <w:iCs w:val="1"/>
                <w:color w:val="auto"/>
              </w:rPr>
              <w:t>Research and development</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340" w:type="dxa"/>
            <w:vAlign w:val="bottom"/>
          </w:tcPr>
          <w:p>
            <w:pPr>
              <w:ind w:left="20"/>
              <w:spacing w:after="0"/>
              <w:rPr>
                <w:sz w:val="20"/>
                <w:szCs w:val="20"/>
                <w:color w:val="auto"/>
              </w:rPr>
            </w:pPr>
            <w:r>
              <w:rPr>
                <w:rFonts w:ascii="Arial" w:cs="Arial" w:eastAsia="Arial" w:hAnsi="Arial"/>
                <w:sz w:val="18"/>
                <w:szCs w:val="18"/>
                <w:i w:val="1"/>
                <w:iCs w:val="1"/>
                <w:color w:val="auto"/>
              </w:rPr>
              <w:t>margin</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37.5 %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(9.6 %)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(0.4 %)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4"/>
          </w:tcPr>
          <w:p>
            <w:pPr>
              <w:jc w:val="right"/>
              <w:ind w:right="240"/>
              <w:spacing w:after="0"/>
              <w:rPr>
                <w:sz w:val="20"/>
                <w:szCs w:val="20"/>
                <w:color w:val="auto"/>
              </w:rPr>
            </w:pPr>
            <w:r>
              <w:rPr>
                <w:rFonts w:ascii="Arial" w:cs="Arial" w:eastAsia="Arial" w:hAnsi="Arial"/>
                <w:sz w:val="18"/>
                <w:szCs w:val="18"/>
                <w:color w:val="auto"/>
              </w:rPr>
              <w:t>— %</w:t>
            </w:r>
          </w:p>
        </w:tc>
        <w:tc>
          <w:tcPr>
            <w:tcW w:w="1420" w:type="dxa"/>
            <w:vAlign w:val="bottom"/>
            <w:gridSpan w:val="4"/>
          </w:tcPr>
          <w:p>
            <w:pPr>
              <w:ind w:left="740"/>
              <w:spacing w:after="0"/>
              <w:rPr>
                <w:sz w:val="20"/>
                <w:szCs w:val="20"/>
                <w:color w:val="auto"/>
              </w:rPr>
            </w:pPr>
            <w:r>
              <w:rPr>
                <w:rFonts w:ascii="Arial" w:cs="Arial" w:eastAsia="Arial" w:hAnsi="Arial"/>
                <w:sz w:val="18"/>
                <w:szCs w:val="18"/>
                <w:color w:val="auto"/>
              </w:rPr>
              <w:t>— %</w:t>
            </w:r>
          </w:p>
        </w:tc>
        <w:tc>
          <w:tcPr>
            <w:tcW w:w="1060" w:type="dxa"/>
            <w:vAlign w:val="bottom"/>
          </w:tcPr>
          <w:p>
            <w:pPr>
              <w:jc w:val="right"/>
              <w:spacing w:after="0"/>
              <w:rPr>
                <w:sz w:val="20"/>
                <w:szCs w:val="20"/>
                <w:color w:val="auto"/>
              </w:rPr>
            </w:pPr>
            <w:r>
              <w:rPr>
                <w:rFonts w:ascii="Arial" w:cs="Arial" w:eastAsia="Arial" w:hAnsi="Arial"/>
                <w:sz w:val="18"/>
                <w:szCs w:val="18"/>
                <w:color w:val="auto"/>
              </w:rPr>
              <w:t>27.5 %</w:t>
            </w:r>
          </w:p>
        </w:tc>
        <w:tc>
          <w:tcPr>
            <w:tcW w:w="0" w:type="dxa"/>
            <w:vAlign w:val="bottom"/>
          </w:tcPr>
          <w:p>
            <w:pPr>
              <w:spacing w:after="0"/>
              <w:rPr>
                <w:sz w:val="1"/>
                <w:szCs w:val="1"/>
                <w:color w:val="auto"/>
              </w:rPr>
            </w:pPr>
          </w:p>
        </w:tc>
      </w:tr>
      <w:tr>
        <w:trPr>
          <w:trHeight w:val="226"/>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200.7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184.2</w:t>
            </w:r>
          </w:p>
        </w:tc>
        <w:tc>
          <w:tcPr>
            <w:tcW w:w="0" w:type="dxa"/>
            <w:vAlign w:val="bottom"/>
          </w:tcPr>
          <w:p>
            <w:pPr>
              <w:spacing w:after="0"/>
              <w:rPr>
                <w:sz w:val="1"/>
                <w:szCs w:val="1"/>
                <w:color w:val="auto"/>
              </w:rPr>
            </w:pPr>
          </w:p>
        </w:tc>
      </w:tr>
      <w:tr>
        <w:trPr>
          <w:trHeight w:val="232"/>
        </w:trPr>
        <w:tc>
          <w:tcPr>
            <w:tcW w:w="2340" w:type="dxa"/>
            <w:vAlign w:val="bottom"/>
          </w:tcPr>
          <w:p>
            <w:pPr>
              <w:ind w:left="20"/>
              <w:spacing w:after="0"/>
              <w:rPr>
                <w:sz w:val="20"/>
                <w:szCs w:val="20"/>
                <w:color w:val="auto"/>
              </w:rPr>
            </w:pPr>
            <w:r>
              <w:rPr>
                <w:rFonts w:ascii="Arial" w:cs="Arial" w:eastAsia="Arial" w:hAnsi="Arial"/>
                <w:sz w:val="18"/>
                <w:szCs w:val="18"/>
                <w:i w:val="1"/>
                <w:iCs w:val="1"/>
                <w:color w:val="auto"/>
              </w:rPr>
              <w:t>Sales and marketing margin</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17.7 %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ind w:left="7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16.2 %</w:t>
            </w:r>
          </w:p>
        </w:tc>
        <w:tc>
          <w:tcPr>
            <w:tcW w:w="0" w:type="dxa"/>
            <w:vAlign w:val="bottom"/>
          </w:tcPr>
          <w:p>
            <w:pPr>
              <w:spacing w:after="0"/>
              <w:rPr>
                <w:sz w:val="1"/>
                <w:szCs w:val="1"/>
                <w:color w:val="auto"/>
              </w:rPr>
            </w:pPr>
          </w:p>
        </w:tc>
      </w:tr>
      <w:tr>
        <w:trPr>
          <w:trHeight w:val="233"/>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108.8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173"/>
        </w:trPr>
        <w:tc>
          <w:tcPr>
            <w:tcW w:w="2340" w:type="dxa"/>
            <w:vAlign w:val="bottom"/>
          </w:tcPr>
          <w:p>
            <w:pPr>
              <w:ind w:left="20"/>
              <w:spacing w:after="0" w:line="173" w:lineRule="exact"/>
              <w:rPr>
                <w:sz w:val="20"/>
                <w:szCs w:val="20"/>
                <w:color w:val="auto"/>
              </w:rPr>
            </w:pPr>
            <w:r>
              <w:rPr>
                <w:rFonts w:ascii="Arial" w:cs="Arial" w:eastAsia="Arial" w:hAnsi="Arial"/>
                <w:sz w:val="18"/>
                <w:szCs w:val="18"/>
                <w:i w:val="1"/>
                <w:iCs w:val="1"/>
                <w:color w:val="auto"/>
              </w:rPr>
              <w:t>General and administrative</w:t>
            </w:r>
          </w:p>
        </w:tc>
        <w:tc>
          <w:tcPr>
            <w:tcW w:w="22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9.6 %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4"/>
            <w:vMerge w:val="restart"/>
          </w:tcPr>
          <w:p>
            <w:pPr>
              <w:jc w:val="right"/>
              <w:ind w:right="260"/>
              <w:spacing w:after="0"/>
              <w:rPr>
                <w:sz w:val="20"/>
                <w:szCs w:val="20"/>
                <w:color w:val="auto"/>
              </w:rPr>
            </w:pPr>
            <w:r>
              <w:rPr>
                <w:rFonts w:ascii="Arial" w:cs="Arial" w:eastAsia="Arial" w:hAnsi="Arial"/>
                <w:sz w:val="18"/>
                <w:szCs w:val="18"/>
                <w:color w:val="auto"/>
              </w:rPr>
              <w:t>— %</w:t>
            </w:r>
          </w:p>
        </w:tc>
        <w:tc>
          <w:tcPr>
            <w:tcW w:w="1420" w:type="dxa"/>
            <w:vAlign w:val="bottom"/>
            <w:gridSpan w:val="4"/>
            <w:vMerge w:val="restart"/>
          </w:tcPr>
          <w:p>
            <w:pPr>
              <w:jc w:val="right"/>
              <w:ind w:right="240"/>
              <w:spacing w:after="0"/>
              <w:rPr>
                <w:sz w:val="20"/>
                <w:szCs w:val="20"/>
                <w:color w:val="auto"/>
              </w:rPr>
            </w:pPr>
            <w:r>
              <w:rPr>
                <w:rFonts w:ascii="Arial" w:cs="Arial" w:eastAsia="Arial" w:hAnsi="Arial"/>
                <w:sz w:val="18"/>
                <w:szCs w:val="18"/>
                <w:color w:val="auto"/>
              </w:rPr>
              <w:t>— %</w:t>
            </w:r>
          </w:p>
        </w:tc>
        <w:tc>
          <w:tcPr>
            <w:tcW w:w="1420" w:type="dxa"/>
            <w:vAlign w:val="bottom"/>
            <w:gridSpan w:val="4"/>
            <w:vMerge w:val="restart"/>
          </w:tcPr>
          <w:p>
            <w:pPr>
              <w:ind w:left="740"/>
              <w:spacing w:after="0"/>
              <w:rPr>
                <w:sz w:val="20"/>
                <w:szCs w:val="20"/>
                <w:color w:val="auto"/>
              </w:rPr>
            </w:pPr>
            <w:r>
              <w:rPr>
                <w:rFonts w:ascii="Arial" w:cs="Arial" w:eastAsia="Arial" w:hAnsi="Arial"/>
                <w:sz w:val="18"/>
                <w:szCs w:val="18"/>
                <w:color w:val="auto"/>
              </w:rPr>
              <w:t>— %</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31"/>
        </w:trPr>
        <w:tc>
          <w:tcPr>
            <w:tcW w:w="2340" w:type="dxa"/>
            <w:vAlign w:val="bottom"/>
          </w:tcPr>
          <w:p>
            <w:pPr>
              <w:ind w:left="20"/>
              <w:spacing w:after="0"/>
              <w:rPr>
                <w:sz w:val="20"/>
                <w:szCs w:val="20"/>
                <w:color w:val="auto"/>
              </w:rPr>
            </w:pPr>
            <w:r>
              <w:rPr>
                <w:rFonts w:ascii="Arial" w:cs="Arial" w:eastAsia="Arial" w:hAnsi="Arial"/>
                <w:sz w:val="18"/>
                <w:szCs w:val="18"/>
                <w:i w:val="1"/>
                <w:iCs w:val="1"/>
                <w:color w:val="auto"/>
              </w:rPr>
              <w:t>margin</w:t>
            </w:r>
          </w:p>
        </w:tc>
        <w:tc>
          <w:tcPr>
            <w:tcW w:w="22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4"/>
            <w:vMerge w:val="continue"/>
          </w:tcPr>
          <w:p>
            <w:pPr>
              <w:spacing w:after="0"/>
              <w:rPr>
                <w:sz w:val="20"/>
                <w:szCs w:val="20"/>
                <w:color w:val="auto"/>
              </w:rPr>
            </w:pPr>
          </w:p>
        </w:tc>
        <w:tc>
          <w:tcPr>
            <w:tcW w:w="1420" w:type="dxa"/>
            <w:vAlign w:val="bottom"/>
            <w:gridSpan w:val="4"/>
            <w:vMerge w:val="continue"/>
          </w:tcPr>
          <w:p>
            <w:pPr>
              <w:spacing w:after="0"/>
              <w:rPr>
                <w:sz w:val="20"/>
                <w:szCs w:val="20"/>
                <w:color w:val="auto"/>
              </w:rPr>
            </w:pPr>
          </w:p>
        </w:tc>
        <w:tc>
          <w:tcPr>
            <w:tcW w:w="1420" w:type="dxa"/>
            <w:vAlign w:val="bottom"/>
            <w:gridSpan w:val="4"/>
            <w:vMerge w:val="continue"/>
          </w:tcPr>
          <w:p>
            <w:pPr>
              <w:spacing w:after="0"/>
              <w:rPr>
                <w:sz w:val="20"/>
                <w:szCs w:val="20"/>
                <w:color w:val="auto"/>
              </w:rPr>
            </w:pPr>
          </w:p>
        </w:tc>
        <w:tc>
          <w:tcPr>
            <w:tcW w:w="1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2340" w:type="dxa"/>
            <w:vAlign w:val="bottom"/>
            <w:shd w:val="clear" w:color="auto" w:fill="CCEEFF"/>
          </w:tcPr>
          <w:p>
            <w:pPr>
              <w:ind w:left="20"/>
              <w:spacing w:after="0" w:line="181" w:lineRule="exact"/>
              <w:rPr>
                <w:sz w:val="20"/>
                <w:szCs w:val="20"/>
                <w:color w:val="auto"/>
              </w:rPr>
            </w:pPr>
            <w:r>
              <w:rPr>
                <w:rFonts w:ascii="Arial" w:cs="Arial" w:eastAsia="Arial" w:hAnsi="Arial"/>
                <w:sz w:val="18"/>
                <w:szCs w:val="18"/>
                <w:color w:val="auto"/>
                <w:w w:val="88"/>
              </w:rPr>
              <w:t>Impairment related to real estate</w:t>
            </w:r>
          </w:p>
        </w:tc>
        <w:tc>
          <w:tcPr>
            <w:tcW w:w="22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8.7</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ind w:left="620"/>
              <w:spacing w:after="0"/>
              <w:rPr>
                <w:sz w:val="20"/>
                <w:szCs w:val="20"/>
                <w:color w:val="auto"/>
              </w:rPr>
            </w:pPr>
            <w:r>
              <w:rPr>
                <w:rFonts w:ascii="Arial" w:cs="Arial" w:eastAsia="Arial" w:hAnsi="Arial"/>
                <w:sz w:val="18"/>
                <w:szCs w:val="18"/>
                <w:color w:val="auto"/>
                <w:w w:val="97"/>
              </w:rPr>
              <w:t>(8.7)</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340" w:type="dxa"/>
            <w:vAlign w:val="bottom"/>
          </w:tcPr>
          <w:p>
            <w:pPr>
              <w:ind w:left="20"/>
              <w:spacing w:after="0" w:line="187" w:lineRule="exact"/>
              <w:rPr>
                <w:sz w:val="20"/>
                <w:szCs w:val="20"/>
                <w:color w:val="auto"/>
              </w:rPr>
            </w:pPr>
            <w:r>
              <w:rPr>
                <w:rFonts w:ascii="Arial" w:cs="Arial" w:eastAsia="Arial" w:hAnsi="Arial"/>
                <w:sz w:val="18"/>
                <w:szCs w:val="18"/>
                <w:i w:val="1"/>
                <w:iCs w:val="1"/>
                <w:color w:val="auto"/>
              </w:rPr>
              <w:t>Impairment related to real</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340" w:type="dxa"/>
            <w:vAlign w:val="bottom"/>
          </w:tcPr>
          <w:p>
            <w:pPr>
              <w:ind w:left="20"/>
              <w:spacing w:after="0"/>
              <w:rPr>
                <w:sz w:val="20"/>
                <w:szCs w:val="20"/>
                <w:color w:val="auto"/>
              </w:rPr>
            </w:pPr>
            <w:r>
              <w:rPr>
                <w:rFonts w:ascii="Arial" w:cs="Arial" w:eastAsia="Arial" w:hAnsi="Arial"/>
                <w:sz w:val="18"/>
                <w:szCs w:val="18"/>
                <w:i w:val="1"/>
                <w:iCs w:val="1"/>
                <w:color w:val="auto"/>
              </w:rPr>
              <w:t>estate assets margin</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0.8 %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4"/>
          </w:tcPr>
          <w:p>
            <w:pPr>
              <w:jc w:val="right"/>
              <w:ind w:right="220"/>
              <w:spacing w:after="0"/>
              <w:rPr>
                <w:sz w:val="20"/>
                <w:szCs w:val="20"/>
                <w:color w:val="auto"/>
              </w:rPr>
            </w:pPr>
            <w:r>
              <w:rPr>
                <w:rFonts w:ascii="Arial" w:cs="Arial" w:eastAsia="Arial" w:hAnsi="Arial"/>
                <w:sz w:val="18"/>
                <w:szCs w:val="18"/>
                <w:color w:val="auto"/>
              </w:rPr>
              <w:t>— %</w:t>
            </w:r>
          </w:p>
        </w:tc>
        <w:tc>
          <w:tcPr>
            <w:tcW w:w="1460" w:type="dxa"/>
            <w:vAlign w:val="bottom"/>
            <w:gridSpan w:val="4"/>
          </w:tcPr>
          <w:p>
            <w:pPr>
              <w:jc w:val="right"/>
              <w:ind w:right="260"/>
              <w:spacing w:after="0"/>
              <w:rPr>
                <w:sz w:val="20"/>
                <w:szCs w:val="20"/>
                <w:color w:val="auto"/>
              </w:rPr>
            </w:pPr>
            <w:r>
              <w:rPr>
                <w:rFonts w:ascii="Arial" w:cs="Arial" w:eastAsia="Arial" w:hAnsi="Arial"/>
                <w:sz w:val="18"/>
                <w:szCs w:val="18"/>
                <w:color w:val="auto"/>
              </w:rPr>
              <w:t>— %</w:t>
            </w:r>
          </w:p>
        </w:tc>
        <w:tc>
          <w:tcPr>
            <w:tcW w:w="1420" w:type="dxa"/>
            <w:vAlign w:val="bottom"/>
            <w:gridSpan w:val="4"/>
          </w:tcPr>
          <w:p>
            <w:pPr>
              <w:jc w:val="right"/>
              <w:ind w:right="240"/>
              <w:spacing w:after="0"/>
              <w:rPr>
                <w:sz w:val="20"/>
                <w:szCs w:val="20"/>
                <w:color w:val="auto"/>
              </w:rPr>
            </w:pPr>
            <w:r>
              <w:rPr>
                <w:rFonts w:ascii="Arial" w:cs="Arial" w:eastAsia="Arial" w:hAnsi="Arial"/>
                <w:sz w:val="18"/>
                <w:szCs w:val="18"/>
                <w:color w:val="auto"/>
              </w:rPr>
              <w:t>— %</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(0.8 %)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6"/>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172.4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6.6</w:t>
            </w:r>
          </w:p>
        </w:tc>
        <w:tc>
          <w:tcPr>
            <w:tcW w:w="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353.2</w:t>
            </w:r>
          </w:p>
        </w:tc>
        <w:tc>
          <w:tcPr>
            <w:tcW w:w="0" w:type="dxa"/>
            <w:vAlign w:val="bottom"/>
          </w:tcPr>
          <w:p>
            <w:pPr>
              <w:spacing w:after="0"/>
              <w:rPr>
                <w:sz w:val="1"/>
                <w:szCs w:val="1"/>
                <w:color w:val="auto"/>
              </w:rPr>
            </w:pPr>
          </w:p>
        </w:tc>
      </w:tr>
      <w:tr>
        <w:trPr>
          <w:trHeight w:val="224"/>
        </w:trPr>
        <w:tc>
          <w:tcPr>
            <w:tcW w:w="2340" w:type="dxa"/>
            <w:vAlign w:val="bottom"/>
          </w:tcPr>
          <w:p>
            <w:pPr>
              <w:ind w:left="20"/>
              <w:spacing w:after="0"/>
              <w:rPr>
                <w:sz w:val="20"/>
                <w:szCs w:val="20"/>
                <w:color w:val="auto"/>
              </w:rPr>
            </w:pPr>
            <w:r>
              <w:rPr>
                <w:rFonts w:ascii="Arial" w:cs="Arial" w:eastAsia="Arial" w:hAnsi="Arial"/>
                <w:sz w:val="18"/>
                <w:szCs w:val="18"/>
                <w:i w:val="1"/>
                <w:iCs w:val="1"/>
                <w:color w:val="auto"/>
              </w:rPr>
              <w:t>Operating margin</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15.2 %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0.7</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0.6</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0.8</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31.1 %</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6" w:firstLine="6"/>
        <w:spacing w:after="0" w:line="295" w:lineRule="auto"/>
        <w:tabs>
          <w:tab w:leader="none" w:pos="156" w:val="left"/>
        </w:tabs>
        <w:numPr>
          <w:ilvl w:val="0"/>
          <w:numId w:val="11"/>
        </w:numPr>
        <w:rPr>
          <w:rFonts w:ascii="Arial" w:cs="Arial" w:eastAsia="Arial" w:hAnsi="Arial"/>
          <w:sz w:val="19"/>
          <w:szCs w:val="19"/>
          <w:color w:val="auto"/>
          <w:vertAlign w:val="superscript"/>
        </w:rPr>
      </w:pPr>
      <w:r>
        <w:rPr>
          <w:rFonts w:ascii="Arial" w:cs="Arial" w:eastAsia="Arial" w:hAnsi="Arial"/>
          <w:sz w:val="13"/>
          <w:szCs w:val="13"/>
          <w:color w:val="auto"/>
        </w:rPr>
        <w:t>Includes impairment charges related to real estate assets as a result of adverse changes in the corporate real estate market in the San Francisco Bay area, which has impacted the Company's subleasing strategy in conjunction with its shift to Virtual First.</w:t>
      </w:r>
    </w:p>
    <w:p>
      <w:pPr>
        <w:sectPr>
          <w:pgSz w:w="11900" w:h="16838" w:orient="portrait"/>
          <w:cols w:equalWidth="0" w:num="1">
            <w:col w:w="11134"/>
          </w:cols>
          <w:pgMar w:left="326" w:top="1112" w:right="439" w:bottom="1440" w:gutter="0" w:footer="0" w:header="0"/>
        </w:sectPr>
      </w:pPr>
    </w:p>
    <w:bookmarkStart w:id="14" w:name="page15"/>
    <w:bookmarkEnd w:id="14"/>
    <w:p>
      <w:pPr>
        <w:ind w:left="5054"/>
        <w:spacing w:after="0"/>
        <w:rPr>
          <w:sz w:val="20"/>
          <w:szCs w:val="20"/>
          <w:color w:val="auto"/>
        </w:rPr>
      </w:pPr>
      <w:r>
        <w:rPr>
          <w:rFonts w:ascii="Arial" w:cs="Arial" w:eastAsia="Arial" w:hAnsi="Arial"/>
          <w:sz w:val="19"/>
          <w:szCs w:val="19"/>
          <w:b w:val="1"/>
          <w:bCs w:val="1"/>
          <w:color w:val="auto"/>
        </w:rPr>
        <w:t>Dropbox, Inc.</w:t>
      </w:r>
    </w:p>
    <w:p>
      <w:pPr>
        <w:spacing w:after="0" w:line="35" w:lineRule="exact"/>
        <w:rPr>
          <w:sz w:val="20"/>
          <w:szCs w:val="20"/>
          <w:color w:val="auto"/>
        </w:rPr>
      </w:pPr>
    </w:p>
    <w:p>
      <w:pPr>
        <w:ind w:left="3414"/>
        <w:spacing w:after="0"/>
        <w:rPr>
          <w:sz w:val="20"/>
          <w:szCs w:val="20"/>
          <w:color w:val="auto"/>
        </w:rPr>
      </w:pPr>
      <w:r>
        <w:rPr>
          <w:rFonts w:ascii="Arial" w:cs="Arial" w:eastAsia="Arial" w:hAnsi="Arial"/>
          <w:sz w:val="19"/>
          <w:szCs w:val="19"/>
          <w:b w:val="1"/>
          <w:bCs w:val="1"/>
          <w:color w:val="auto"/>
        </w:rPr>
        <w:t>Three and Six Months Ended June 30, 2023 and 2022</w:t>
      </w:r>
    </w:p>
    <w:p>
      <w:pPr>
        <w:spacing w:after="0" w:line="15" w:lineRule="exact"/>
        <w:rPr>
          <w:sz w:val="20"/>
          <w:szCs w:val="20"/>
          <w:color w:val="auto"/>
        </w:rPr>
      </w:pPr>
    </w:p>
    <w:p>
      <w:pPr>
        <w:jc w:val="center"/>
        <w:ind w:right="-133"/>
        <w:spacing w:after="0"/>
        <w:rPr>
          <w:sz w:val="20"/>
          <w:szCs w:val="20"/>
          <w:color w:val="auto"/>
        </w:rPr>
      </w:pPr>
      <w:r>
        <w:rPr>
          <w:rFonts w:ascii="Arial" w:cs="Arial" w:eastAsia="Arial" w:hAnsi="Arial"/>
          <w:sz w:val="19"/>
          <w:szCs w:val="19"/>
          <w:b w:val="1"/>
          <w:bCs w:val="1"/>
          <w:color w:val="auto"/>
        </w:rPr>
        <w:t>Reconciliation of GAAP net income to Non-GAAP net income and Non-GAAP diluted net income per share</w:t>
      </w:r>
    </w:p>
    <w:p>
      <w:pPr>
        <w:spacing w:after="0" w:line="13" w:lineRule="exact"/>
        <w:rPr>
          <w:sz w:val="20"/>
          <w:szCs w:val="20"/>
          <w:color w:val="auto"/>
        </w:rPr>
      </w:pPr>
    </w:p>
    <w:p>
      <w:pPr>
        <w:jc w:val="center"/>
        <w:ind w:right="-133"/>
        <w:spacing w:after="0"/>
        <w:rPr>
          <w:sz w:val="20"/>
          <w:szCs w:val="20"/>
          <w:color w:val="auto"/>
        </w:rPr>
      </w:pPr>
      <w:r>
        <w:rPr>
          <w:rFonts w:ascii="Arial" w:cs="Arial" w:eastAsia="Arial" w:hAnsi="Arial"/>
          <w:sz w:val="18"/>
          <w:szCs w:val="18"/>
          <w:i w:val="1"/>
          <w:iCs w:val="1"/>
          <w:color w:val="auto"/>
        </w:rPr>
        <w:t>(In millions, except per share data)</w:t>
      </w:r>
    </w:p>
    <w:p>
      <w:pPr>
        <w:spacing w:after="0" w:line="13" w:lineRule="exact"/>
        <w:rPr>
          <w:sz w:val="20"/>
          <w:szCs w:val="20"/>
          <w:color w:val="auto"/>
        </w:rPr>
      </w:pPr>
    </w:p>
    <w:p>
      <w:pPr>
        <w:jc w:val="center"/>
        <w:ind w:right="-133"/>
        <w:spacing w:after="0"/>
        <w:rPr>
          <w:sz w:val="20"/>
          <w:szCs w:val="20"/>
          <w:color w:val="auto"/>
        </w:rPr>
      </w:pPr>
      <w:r>
        <w:rPr>
          <w:rFonts w:ascii="Arial" w:cs="Arial" w:eastAsia="Arial" w:hAnsi="Arial"/>
          <w:sz w:val="18"/>
          <w:szCs w:val="18"/>
          <w:i w:val="1"/>
          <w:iCs w:val="1"/>
          <w:color w:val="auto"/>
        </w:rPr>
        <w:t>(Unaudited)</w:t>
      </w:r>
    </w:p>
    <w:tbl>
      <w:tblPr>
        <w:tblLayout w:type="fixed"/>
        <w:tblInd w:w="134" w:type="dxa"/>
        <w:tblCellMar>
          <w:top w:w="0" w:type="dxa"/>
          <w:left w:w="0" w:type="dxa"/>
          <w:bottom w:w="0" w:type="dxa"/>
          <w:right w:w="0" w:type="dxa"/>
        </w:tblCellMar>
      </w:tblPr>
      <w:tr>
        <w:trPr>
          <w:trHeight w:val="205"/>
        </w:trPr>
        <w:tc>
          <w:tcPr>
            <w:tcW w:w="4260" w:type="dxa"/>
            <w:vAlign w:val="bottom"/>
          </w:tcPr>
          <w:p>
            <w:pPr>
              <w:spacing w:after="0"/>
              <w:rPr>
                <w:sz w:val="17"/>
                <w:szCs w:val="17"/>
                <w:color w:val="auto"/>
              </w:rPr>
            </w:pPr>
          </w:p>
        </w:tc>
        <w:tc>
          <w:tcPr>
            <w:tcW w:w="2760" w:type="dxa"/>
            <w:vAlign w:val="bottom"/>
            <w:gridSpan w:val="4"/>
          </w:tcPr>
          <w:p>
            <w:pPr>
              <w:jc w:val="right"/>
              <w:ind w:right="212"/>
              <w:spacing w:after="0" w:line="206" w:lineRule="exact"/>
              <w:rPr>
                <w:sz w:val="20"/>
                <w:szCs w:val="20"/>
                <w:color w:val="auto"/>
              </w:rPr>
            </w:pPr>
            <w:r>
              <w:rPr>
                <w:rFonts w:ascii="Arial" w:cs="Arial" w:eastAsia="Arial" w:hAnsi="Arial"/>
                <w:sz w:val="18"/>
                <w:szCs w:val="18"/>
                <w:b w:val="1"/>
                <w:bCs w:val="1"/>
                <w:color w:val="auto"/>
              </w:rPr>
              <w:t>Three Months Ended</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920" w:type="dxa"/>
            <w:vAlign w:val="bottom"/>
            <w:gridSpan w:val="4"/>
          </w:tcPr>
          <w:p>
            <w:pPr>
              <w:jc w:val="right"/>
              <w:ind w:right="852"/>
              <w:spacing w:after="0" w:line="206" w:lineRule="exact"/>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6"/>
        </w:trPr>
        <w:tc>
          <w:tcPr>
            <w:tcW w:w="426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ind w:right="712"/>
              <w:spacing w:after="0"/>
              <w:rPr>
                <w:sz w:val="20"/>
                <w:szCs w:val="20"/>
                <w:color w:val="auto"/>
              </w:rPr>
            </w:pPr>
            <w:r>
              <w:rPr>
                <w:rFonts w:ascii="Arial" w:cs="Arial" w:eastAsia="Arial" w:hAnsi="Arial"/>
                <w:sz w:val="18"/>
                <w:szCs w:val="18"/>
                <w:b w:val="1"/>
                <w:bCs w:val="1"/>
                <w:color w:val="auto"/>
              </w:rPr>
              <w:t>June 30,</w:t>
            </w: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ind w:right="92"/>
              <w:spacing w:after="0"/>
              <w:rPr>
                <w:sz w:val="20"/>
                <w:szCs w:val="20"/>
                <w:color w:val="auto"/>
              </w:rPr>
            </w:pPr>
            <w:r>
              <w:rPr>
                <w:rFonts w:ascii="Arial" w:cs="Arial" w:eastAsia="Arial" w:hAnsi="Arial"/>
                <w:sz w:val="18"/>
                <w:szCs w:val="18"/>
                <w:b w:val="1"/>
                <w:bCs w:val="1"/>
                <w:color w:val="auto"/>
              </w:rPr>
              <w:t>June 30,</w:t>
            </w: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3"/>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net income</w:t>
            </w:r>
          </w:p>
        </w:tc>
        <w:tc>
          <w:tcPr>
            <w:tcW w:w="1060" w:type="dxa"/>
            <w:vAlign w:val="bottom"/>
            <w:shd w:val="clear" w:color="auto" w:fill="CCEEFF"/>
          </w:tcPr>
          <w:p>
            <w:pPr>
              <w:jc w:val="right"/>
              <w:ind w:right="872"/>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160" w:type="dxa"/>
            <w:vAlign w:val="bottom"/>
            <w:gridSpan w:val="2"/>
            <w:shd w:val="clear" w:color="auto" w:fill="CCEEFF"/>
          </w:tcPr>
          <w:p>
            <w:pPr>
              <w:jc w:val="right"/>
              <w:ind w:right="85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4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56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0" w:type="dxa"/>
            <w:vAlign w:val="bottom"/>
          </w:tcPr>
          <w:p>
            <w:pPr>
              <w:spacing w:after="0"/>
              <w:rPr>
                <w:sz w:val="1"/>
                <w:szCs w:val="1"/>
                <w:color w:val="auto"/>
              </w:rPr>
            </w:pPr>
          </w:p>
        </w:tc>
      </w:tr>
      <w:tr>
        <w:trPr>
          <w:trHeight w:val="225"/>
        </w:trPr>
        <w:tc>
          <w:tcPr>
            <w:tcW w:w="426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0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95.3</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171.3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157.3</w:t>
            </w:r>
          </w:p>
        </w:tc>
        <w:tc>
          <w:tcPr>
            <w:tcW w:w="0" w:type="dxa"/>
            <w:vAlign w:val="bottom"/>
          </w:tcPr>
          <w:p>
            <w:pPr>
              <w:spacing w:after="0"/>
              <w:rPr>
                <w:sz w:val="1"/>
                <w:szCs w:val="1"/>
                <w:color w:val="auto"/>
              </w:rPr>
            </w:pPr>
          </w:p>
        </w:tc>
      </w:tr>
      <w:tr>
        <w:trPr>
          <w:trHeight w:val="23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Acquisition-related and other expenses</w:t>
            </w:r>
          </w:p>
        </w:tc>
        <w:tc>
          <w:tcPr>
            <w:tcW w:w="106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5"/>
        </w:trPr>
        <w:tc>
          <w:tcPr>
            <w:tcW w:w="4260" w:type="dxa"/>
            <w:vAlign w:val="bottom"/>
          </w:tcPr>
          <w:p>
            <w:pPr>
              <w:ind w:left="20"/>
              <w:spacing w:after="0"/>
              <w:rPr>
                <w:sz w:val="20"/>
                <w:szCs w:val="20"/>
                <w:color w:val="auto"/>
              </w:rPr>
            </w:pPr>
            <w:r>
              <w:rPr>
                <w:rFonts w:ascii="Arial" w:cs="Arial" w:eastAsia="Arial" w:hAnsi="Arial"/>
                <w:sz w:val="18"/>
                <w:szCs w:val="18"/>
                <w:color w:val="auto"/>
              </w:rPr>
              <w:t>Amortization of acquired intangible assets</w:t>
            </w:r>
          </w:p>
        </w:tc>
        <w:tc>
          <w:tcPr>
            <w:tcW w:w="10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6"/>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related to real estate assets</w:t>
            </w: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2"/>
        </w:trPr>
        <w:tc>
          <w:tcPr>
            <w:tcW w:w="4260" w:type="dxa"/>
            <w:vAlign w:val="bottom"/>
          </w:tcPr>
          <w:p>
            <w:pPr>
              <w:ind w:left="20"/>
              <w:spacing w:after="0"/>
              <w:rPr>
                <w:sz w:val="20"/>
                <w:szCs w:val="20"/>
                <w:color w:val="auto"/>
              </w:rPr>
            </w:pPr>
            <w:r>
              <w:rPr>
                <w:rFonts w:ascii="Arial" w:cs="Arial" w:eastAsia="Arial" w:hAnsi="Arial"/>
                <w:sz w:val="18"/>
                <w:szCs w:val="18"/>
                <w:color w:val="auto"/>
              </w:rPr>
              <w:t>Workforce reduction expense</w:t>
            </w:r>
          </w:p>
        </w:tc>
        <w:tc>
          <w:tcPr>
            <w:tcW w:w="10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3"/>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gains on equity investments</w:t>
            </w:r>
          </w:p>
        </w:tc>
        <w:tc>
          <w:tcPr>
            <w:tcW w:w="106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6"/>
        </w:trPr>
        <w:tc>
          <w:tcPr>
            <w:tcW w:w="4260" w:type="dxa"/>
            <w:vAlign w:val="bottom"/>
          </w:tcPr>
          <w:p>
            <w:pPr>
              <w:ind w:left="20"/>
              <w:spacing w:after="0"/>
              <w:rPr>
                <w:sz w:val="20"/>
                <w:szCs w:val="20"/>
                <w:color w:val="auto"/>
              </w:rPr>
            </w:pPr>
            <w:r>
              <w:rPr>
                <w:rFonts w:ascii="Arial" w:cs="Arial" w:eastAsia="Arial" w:hAnsi="Arial"/>
                <w:sz w:val="18"/>
                <w:szCs w:val="18"/>
                <w:color w:val="auto"/>
              </w:rPr>
              <w:t>Income tax effects of non-GAAP adjustments</w:t>
            </w:r>
          </w:p>
        </w:tc>
        <w:tc>
          <w:tcPr>
            <w:tcW w:w="10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52"/>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net income</w:t>
            </w:r>
          </w:p>
        </w:tc>
        <w:tc>
          <w:tcPr>
            <w:tcW w:w="1060" w:type="dxa"/>
            <w:vAlign w:val="bottom"/>
            <w:tcBorders>
              <w:bottom w:val="single" w:sz="8" w:color="auto"/>
            </w:tcBorders>
            <w:shd w:val="clear" w:color="auto" w:fill="CCEEFF"/>
          </w:tcPr>
          <w:p>
            <w:pPr>
              <w:jc w:val="right"/>
              <w:ind w:right="872"/>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174.0</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52"/>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279.6</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260" w:type="dxa"/>
            <w:vAlign w:val="bottom"/>
          </w:tcPr>
          <w:p>
            <w:pPr>
              <w:ind w:left="20"/>
              <w:spacing w:after="0" w:line="199" w:lineRule="exact"/>
              <w:rPr>
                <w:sz w:val="20"/>
                <w:szCs w:val="20"/>
                <w:color w:val="auto"/>
              </w:rPr>
            </w:pPr>
            <w:r>
              <w:rPr>
                <w:rFonts w:ascii="Arial" w:cs="Arial" w:eastAsia="Arial" w:hAnsi="Arial"/>
                <w:sz w:val="18"/>
                <w:szCs w:val="18"/>
                <w:color w:val="auto"/>
              </w:rPr>
              <w:t>Non-GAAP diluted net income per share</w:t>
            </w:r>
          </w:p>
        </w:tc>
        <w:tc>
          <w:tcPr>
            <w:tcW w:w="1060" w:type="dxa"/>
            <w:vAlign w:val="bottom"/>
          </w:tcPr>
          <w:p>
            <w:pPr>
              <w:jc w:val="right"/>
              <w:ind w:right="872"/>
              <w:spacing w:after="0" w:line="199" w:lineRule="exact"/>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line="199" w:lineRule="exact"/>
              <w:rPr>
                <w:sz w:val="20"/>
                <w:szCs w:val="20"/>
                <w:color w:val="auto"/>
              </w:rPr>
            </w:pPr>
            <w:r>
              <w:rPr>
                <w:rFonts w:ascii="Arial" w:cs="Arial" w:eastAsia="Arial" w:hAnsi="Arial"/>
                <w:sz w:val="18"/>
                <w:szCs w:val="18"/>
                <w:color w:val="auto"/>
              </w:rPr>
              <w:t>0.51</w:t>
            </w:r>
          </w:p>
        </w:tc>
        <w:tc>
          <w:tcPr>
            <w:tcW w:w="1160" w:type="dxa"/>
            <w:vAlign w:val="bottom"/>
            <w:gridSpan w:val="2"/>
          </w:tcPr>
          <w:p>
            <w:pPr>
              <w:jc w:val="right"/>
              <w:ind w:right="852"/>
              <w:spacing w:after="0" w:line="199"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199" w:lineRule="exact"/>
              <w:rPr>
                <w:sz w:val="20"/>
                <w:szCs w:val="20"/>
                <w:color w:val="auto"/>
              </w:rPr>
            </w:pPr>
            <w:r>
              <w:rPr>
                <w:rFonts w:ascii="Arial" w:cs="Arial" w:eastAsia="Arial" w:hAnsi="Arial"/>
                <w:sz w:val="18"/>
                <w:szCs w:val="18"/>
                <w:color w:val="auto"/>
              </w:rPr>
              <w:t>0.38</w:t>
            </w:r>
          </w:p>
        </w:tc>
        <w:tc>
          <w:tcPr>
            <w:tcW w:w="480" w:type="dxa"/>
            <w:vAlign w:val="bottom"/>
            <w:gridSpan w:val="2"/>
          </w:tcPr>
          <w:p>
            <w:pPr>
              <w:jc w:val="right"/>
              <w:ind w:right="172"/>
              <w:spacing w:after="0" w:line="199"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199" w:lineRule="exact"/>
              <w:rPr>
                <w:sz w:val="20"/>
                <w:szCs w:val="20"/>
                <w:color w:val="auto"/>
              </w:rPr>
            </w:pPr>
            <w:r>
              <w:rPr>
                <w:rFonts w:ascii="Arial" w:cs="Arial" w:eastAsia="Arial" w:hAnsi="Arial"/>
                <w:sz w:val="18"/>
                <w:szCs w:val="18"/>
                <w:color w:val="auto"/>
              </w:rPr>
              <w:t>0.92</w:t>
            </w:r>
          </w:p>
        </w:tc>
        <w:tc>
          <w:tcPr>
            <w:tcW w:w="560" w:type="dxa"/>
            <w:vAlign w:val="bottom"/>
            <w:gridSpan w:val="2"/>
          </w:tcPr>
          <w:p>
            <w:pPr>
              <w:jc w:val="right"/>
              <w:ind w:right="252"/>
              <w:spacing w:after="0" w:line="199"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199" w:lineRule="exact"/>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260" w:type="dxa"/>
            <w:vAlign w:val="bottom"/>
            <w:shd w:val="clear" w:color="auto" w:fill="CCEEFF"/>
          </w:tcPr>
          <w:p>
            <w:pPr>
              <w:ind w:left="20"/>
              <w:spacing w:after="0" w:line="140" w:lineRule="exact"/>
              <w:rPr>
                <w:sz w:val="20"/>
                <w:szCs w:val="20"/>
                <w:color w:val="auto"/>
              </w:rPr>
            </w:pPr>
            <w:r>
              <w:rPr>
                <w:rFonts w:ascii="Arial" w:cs="Arial" w:eastAsia="Arial" w:hAnsi="Arial"/>
                <w:sz w:val="15"/>
                <w:szCs w:val="15"/>
                <w:color w:val="auto"/>
              </w:rPr>
              <w:t>Weighted-average shares used to compute Non-GAAP</w:t>
            </w:r>
          </w:p>
        </w:tc>
        <w:tc>
          <w:tcPr>
            <w:tcW w:w="106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343.8</w:t>
            </w: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365.7</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346.8</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369.6</w:t>
            </w:r>
          </w:p>
        </w:tc>
        <w:tc>
          <w:tcPr>
            <w:tcW w:w="0" w:type="dxa"/>
            <w:vAlign w:val="bottom"/>
          </w:tcPr>
          <w:p>
            <w:pPr>
              <w:spacing w:after="0"/>
              <w:rPr>
                <w:sz w:val="1"/>
                <w:szCs w:val="1"/>
                <w:color w:val="auto"/>
              </w:rPr>
            </w:pPr>
          </w:p>
        </w:tc>
      </w:tr>
      <w:tr>
        <w:trPr>
          <w:trHeight w:val="231"/>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net income per share</w:t>
            </w:r>
          </w:p>
        </w:tc>
        <w:tc>
          <w:tcPr>
            <w:tcW w:w="106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ind w:right="-133"/>
        <w:spacing w:after="0"/>
        <w:rPr>
          <w:sz w:val="20"/>
          <w:szCs w:val="20"/>
          <w:color w:val="auto"/>
        </w:rPr>
      </w:pPr>
      <w:r>
        <w:rPr>
          <w:rFonts w:ascii="Arial" w:cs="Arial" w:eastAsia="Arial" w:hAnsi="Arial"/>
          <w:sz w:val="19"/>
          <w:szCs w:val="19"/>
          <w:b w:val="1"/>
          <w:bCs w:val="1"/>
          <w:color w:val="auto"/>
        </w:rPr>
        <w:t>Dropbox, Inc.</w:t>
      </w:r>
    </w:p>
    <w:p>
      <w:pPr>
        <w:spacing w:after="0" w:line="35" w:lineRule="exact"/>
        <w:rPr>
          <w:sz w:val="20"/>
          <w:szCs w:val="20"/>
          <w:color w:val="auto"/>
        </w:rPr>
      </w:pPr>
    </w:p>
    <w:p>
      <w:pPr>
        <w:jc w:val="center"/>
        <w:ind w:right="-133"/>
        <w:spacing w:after="0"/>
        <w:rPr>
          <w:sz w:val="20"/>
          <w:szCs w:val="20"/>
          <w:color w:val="auto"/>
        </w:rPr>
      </w:pPr>
      <w:r>
        <w:rPr>
          <w:rFonts w:ascii="Arial" w:cs="Arial" w:eastAsia="Arial" w:hAnsi="Arial"/>
          <w:sz w:val="19"/>
          <w:szCs w:val="19"/>
          <w:b w:val="1"/>
          <w:bCs w:val="1"/>
          <w:color w:val="auto"/>
        </w:rPr>
        <w:t>Three and Six Months Ended June 30, 2023 and 2022</w:t>
      </w:r>
    </w:p>
    <w:p>
      <w:pPr>
        <w:spacing w:after="0" w:line="20" w:lineRule="exact"/>
        <w:rPr>
          <w:sz w:val="20"/>
          <w:szCs w:val="20"/>
          <w:color w:val="auto"/>
        </w:rPr>
      </w:pPr>
    </w:p>
    <w:p>
      <w:pPr>
        <w:jc w:val="center"/>
        <w:ind w:right="-133"/>
        <w:spacing w:after="0"/>
        <w:rPr>
          <w:sz w:val="20"/>
          <w:szCs w:val="20"/>
          <w:color w:val="auto"/>
        </w:rPr>
      </w:pPr>
      <w:r>
        <w:rPr>
          <w:rFonts w:ascii="Arial" w:cs="Arial" w:eastAsia="Arial" w:hAnsi="Arial"/>
          <w:sz w:val="19"/>
          <w:szCs w:val="19"/>
          <w:b w:val="1"/>
          <w:bCs w:val="1"/>
          <w:color w:val="auto"/>
        </w:rPr>
        <w:t>Reconciliation of free cash flow and supplemental cash flow disclosure</w:t>
      </w:r>
    </w:p>
    <w:p>
      <w:pPr>
        <w:spacing w:after="0" w:line="17" w:lineRule="exact"/>
        <w:rPr>
          <w:sz w:val="20"/>
          <w:szCs w:val="20"/>
          <w:color w:val="auto"/>
        </w:rPr>
      </w:pPr>
    </w:p>
    <w:p>
      <w:pPr>
        <w:jc w:val="center"/>
        <w:ind w:right="-133"/>
        <w:spacing w:after="0"/>
        <w:rPr>
          <w:sz w:val="20"/>
          <w:szCs w:val="20"/>
          <w:color w:val="auto"/>
        </w:rPr>
      </w:pPr>
      <w:r>
        <w:rPr>
          <w:rFonts w:ascii="Arial" w:cs="Arial" w:eastAsia="Arial" w:hAnsi="Arial"/>
          <w:sz w:val="18"/>
          <w:szCs w:val="18"/>
          <w:i w:val="1"/>
          <w:iCs w:val="1"/>
          <w:color w:val="auto"/>
        </w:rPr>
        <w:t>(In millions, except for percentages)</w:t>
      </w:r>
    </w:p>
    <w:p>
      <w:pPr>
        <w:spacing w:after="0" w:line="3" w:lineRule="exact"/>
        <w:rPr>
          <w:sz w:val="20"/>
          <w:szCs w:val="20"/>
          <w:color w:val="auto"/>
        </w:rPr>
      </w:pPr>
    </w:p>
    <w:p>
      <w:pPr>
        <w:jc w:val="center"/>
        <w:ind w:right="-133"/>
        <w:spacing w:after="0"/>
        <w:rPr>
          <w:sz w:val="20"/>
          <w:szCs w:val="20"/>
          <w:color w:val="auto"/>
        </w:rPr>
      </w:pPr>
      <w:r>
        <w:rPr>
          <w:rFonts w:ascii="Arial" w:cs="Arial" w:eastAsia="Arial" w:hAnsi="Arial"/>
          <w:sz w:val="18"/>
          <w:szCs w:val="18"/>
          <w:i w:val="1"/>
          <w:iCs w:val="1"/>
          <w:color w:val="auto"/>
        </w:rPr>
        <w:t>(Unaudited)</w:t>
      </w:r>
    </w:p>
    <w:tbl>
      <w:tblPr>
        <w:tblLayout w:type="fixed"/>
        <w:tblInd w:w="134" w:type="dxa"/>
        <w:tblCellMar>
          <w:top w:w="0" w:type="dxa"/>
          <w:left w:w="0" w:type="dxa"/>
          <w:bottom w:w="0" w:type="dxa"/>
          <w:right w:w="0" w:type="dxa"/>
        </w:tblCellMar>
      </w:tblPr>
      <w:tr>
        <w:trPr>
          <w:trHeight w:val="205"/>
        </w:trPr>
        <w:tc>
          <w:tcPr>
            <w:tcW w:w="4040" w:type="dxa"/>
            <w:vAlign w:val="bottom"/>
          </w:tcPr>
          <w:p>
            <w:pPr>
              <w:spacing w:after="0"/>
              <w:rPr>
                <w:sz w:val="17"/>
                <w:szCs w:val="17"/>
                <w:color w:val="auto"/>
              </w:rPr>
            </w:pPr>
          </w:p>
        </w:tc>
        <w:tc>
          <w:tcPr>
            <w:tcW w:w="2780" w:type="dxa"/>
            <w:vAlign w:val="bottom"/>
            <w:gridSpan w:val="4"/>
          </w:tcPr>
          <w:p>
            <w:pPr>
              <w:jc w:val="right"/>
              <w:ind w:right="280"/>
              <w:spacing w:after="0" w:line="206" w:lineRule="exact"/>
              <w:rPr>
                <w:sz w:val="20"/>
                <w:szCs w:val="20"/>
                <w:color w:val="auto"/>
              </w:rPr>
            </w:pPr>
            <w:r>
              <w:rPr>
                <w:rFonts w:ascii="Arial" w:cs="Arial" w:eastAsia="Arial" w:hAnsi="Arial"/>
                <w:sz w:val="18"/>
                <w:szCs w:val="18"/>
                <w:b w:val="1"/>
                <w:bCs w:val="1"/>
                <w:color w:val="auto"/>
              </w:rPr>
              <w:t>Three Months Ended</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gridSpan w:val="3"/>
          </w:tcPr>
          <w:p>
            <w:pPr>
              <w:jc w:val="right"/>
              <w:spacing w:after="0" w:line="206" w:lineRule="exact"/>
              <w:rPr>
                <w:sz w:val="20"/>
                <w:szCs w:val="20"/>
                <w:color w:val="auto"/>
              </w:rPr>
            </w:pPr>
            <w:r>
              <w:rPr>
                <w:rFonts w:ascii="Arial" w:cs="Arial" w:eastAsia="Arial" w:hAnsi="Arial"/>
                <w:sz w:val="18"/>
                <w:szCs w:val="18"/>
                <w:b w:val="1"/>
                <w:bCs w:val="1"/>
                <w:color w:val="auto"/>
              </w:rPr>
              <w:t>Six Months Ended</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4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760"/>
              <w:spacing w:after="0"/>
              <w:rPr>
                <w:sz w:val="20"/>
                <w:szCs w:val="20"/>
                <w:color w:val="auto"/>
              </w:rPr>
            </w:pPr>
            <w:r>
              <w:rPr>
                <w:rFonts w:ascii="Arial" w:cs="Arial" w:eastAsia="Arial" w:hAnsi="Arial"/>
                <w:sz w:val="18"/>
                <w:szCs w:val="18"/>
                <w:b w:val="1"/>
                <w:bCs w:val="1"/>
                <w:color w:val="auto"/>
              </w:rPr>
              <w:t>June 30,</w:t>
            </w:r>
          </w:p>
        </w:tc>
        <w:tc>
          <w:tcPr>
            <w:tcW w:w="6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62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2022</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552"/>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ind w:right="552"/>
              <w:spacing w:after="0"/>
              <w:rPr>
                <w:sz w:val="20"/>
                <w:szCs w:val="20"/>
                <w:color w:val="auto"/>
              </w:rPr>
            </w:pPr>
            <w:r>
              <w:rPr>
                <w:rFonts w:ascii="Arial" w:cs="Arial" w:eastAsia="Arial" w:hAnsi="Arial"/>
                <w:sz w:val="18"/>
                <w:szCs w:val="18"/>
                <w:b w:val="1"/>
                <w:bCs w:val="1"/>
                <w:color w:val="auto"/>
                <w:w w:val="84"/>
              </w:rPr>
              <w:t>2022</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Free cash flow reconciliation:</w:t>
            </w:r>
          </w:p>
        </w:tc>
        <w:tc>
          <w:tcPr>
            <w:tcW w:w="102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4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020" w:type="dxa"/>
            <w:vAlign w:val="bottom"/>
          </w:tcPr>
          <w:p>
            <w:pPr>
              <w:jc w:val="right"/>
              <w:ind w:right="832"/>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12"/>
              <w:spacing w:after="0"/>
              <w:rPr>
                <w:sz w:val="20"/>
                <w:szCs w:val="20"/>
                <w:color w:val="auto"/>
              </w:rPr>
            </w:pPr>
            <w:r>
              <w:rPr>
                <w:rFonts w:ascii="Arial" w:cs="Arial" w:eastAsia="Arial" w:hAnsi="Arial"/>
                <w:sz w:val="18"/>
                <w:szCs w:val="18"/>
                <w:color w:val="auto"/>
                <w:w w:val="88"/>
              </w:rPr>
              <w:t>187.6</w:t>
            </w:r>
          </w:p>
        </w:tc>
        <w:tc>
          <w:tcPr>
            <w:tcW w:w="114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32"/>
              <w:spacing w:after="0"/>
              <w:rPr>
                <w:sz w:val="20"/>
                <w:szCs w:val="20"/>
                <w:color w:val="auto"/>
              </w:rPr>
            </w:pPr>
            <w:r>
              <w:rPr>
                <w:rFonts w:ascii="Arial" w:cs="Arial" w:eastAsia="Arial" w:hAnsi="Arial"/>
                <w:sz w:val="18"/>
                <w:szCs w:val="18"/>
                <w:color w:val="auto"/>
                <w:w w:val="88"/>
              </w:rPr>
              <w:t>209.9</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2"/>
              <w:spacing w:after="0"/>
              <w:rPr>
                <w:sz w:val="20"/>
                <w:szCs w:val="20"/>
                <w:color w:val="auto"/>
              </w:rPr>
            </w:pPr>
            <w:r>
              <w:rPr>
                <w:rFonts w:ascii="Arial" w:cs="Arial" w:eastAsia="Arial" w:hAnsi="Arial"/>
                <w:sz w:val="18"/>
                <w:szCs w:val="18"/>
                <w:color w:val="auto"/>
              </w:rPr>
              <w:t>327.5</w:t>
            </w:r>
          </w:p>
        </w:tc>
        <w:tc>
          <w:tcPr>
            <w:tcW w:w="7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351.3</w:t>
            </w:r>
          </w:p>
        </w:tc>
        <w:tc>
          <w:tcPr>
            <w:tcW w:w="0" w:type="dxa"/>
            <w:vAlign w:val="bottom"/>
          </w:tcPr>
          <w:p>
            <w:pPr>
              <w:spacing w:after="0"/>
              <w:rPr>
                <w:sz w:val="1"/>
                <w:szCs w:val="1"/>
                <w:color w:val="auto"/>
              </w:rPr>
            </w:pPr>
          </w:p>
        </w:tc>
      </w:tr>
      <w:tr>
        <w:trPr>
          <w:trHeight w:val="23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w:t>
            </w:r>
          </w:p>
        </w:tc>
        <w:tc>
          <w:tcPr>
            <w:tcW w:w="10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0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Capital expenditures</w:t>
            </w: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(4.0)</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3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Free cash flow</w:t>
            </w:r>
          </w:p>
        </w:tc>
        <w:tc>
          <w:tcPr>
            <w:tcW w:w="102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88"/>
              </w:rPr>
              <w:t>184.6</w:t>
            </w:r>
          </w:p>
        </w:tc>
        <w:tc>
          <w:tcPr>
            <w:tcW w:w="114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88"/>
              </w:rPr>
              <w:t>205.9</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322.6</w:t>
            </w:r>
          </w:p>
        </w:tc>
        <w:tc>
          <w:tcPr>
            <w:tcW w:w="7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336.6</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i w:val="1"/>
                <w:iCs w:val="1"/>
                <w:color w:val="auto"/>
              </w:rPr>
              <w:t>Free cash flow margin</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04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jc w:val="right"/>
              <w:spacing w:after="0" w:line="205" w:lineRule="exact"/>
              <w:rPr>
                <w:sz w:val="20"/>
                <w:szCs w:val="20"/>
                <w:color w:val="auto"/>
              </w:rPr>
            </w:pPr>
            <w:r>
              <w:rPr>
                <w:rFonts w:ascii="Arial" w:cs="Arial" w:eastAsia="Arial" w:hAnsi="Arial"/>
                <w:sz w:val="18"/>
                <w:szCs w:val="18"/>
                <w:color w:val="auto"/>
              </w:rPr>
              <w:t>29.7 %</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jc w:val="right"/>
              <w:spacing w:after="0" w:line="205" w:lineRule="exact"/>
              <w:rPr>
                <w:sz w:val="20"/>
                <w:szCs w:val="20"/>
                <w:color w:val="auto"/>
              </w:rPr>
            </w:pPr>
            <w:r>
              <w:rPr>
                <w:rFonts w:ascii="Arial" w:cs="Arial" w:eastAsia="Arial" w:hAnsi="Arial"/>
                <w:sz w:val="18"/>
                <w:szCs w:val="18"/>
                <w:color w:val="auto"/>
              </w:rPr>
              <w:t>36.0 %</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line="205" w:lineRule="exact"/>
              <w:rPr>
                <w:sz w:val="20"/>
                <w:szCs w:val="20"/>
                <w:color w:val="auto"/>
              </w:rPr>
            </w:pPr>
            <w:r>
              <w:rPr>
                <w:rFonts w:ascii="Arial" w:cs="Arial" w:eastAsia="Arial" w:hAnsi="Arial"/>
                <w:sz w:val="18"/>
                <w:szCs w:val="18"/>
                <w:color w:val="auto"/>
              </w:rPr>
              <w:t>26.2 %</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jc w:val="right"/>
              <w:spacing w:after="0" w:line="205" w:lineRule="exact"/>
              <w:rPr>
                <w:sz w:val="20"/>
                <w:szCs w:val="20"/>
                <w:color w:val="auto"/>
              </w:rPr>
            </w:pPr>
            <w:r>
              <w:rPr>
                <w:rFonts w:ascii="Arial" w:cs="Arial" w:eastAsia="Arial" w:hAnsi="Arial"/>
                <w:sz w:val="18"/>
                <w:szCs w:val="18"/>
                <w:color w:val="auto"/>
              </w:rPr>
              <w:t>29.7 %</w:t>
            </w:r>
          </w:p>
        </w:tc>
        <w:tc>
          <w:tcPr>
            <w:tcW w:w="0" w:type="dxa"/>
            <w:vAlign w:val="bottom"/>
          </w:tcPr>
          <w:p>
            <w:pPr>
              <w:spacing w:after="0"/>
              <w:rPr>
                <w:sz w:val="1"/>
                <w:szCs w:val="1"/>
                <w:color w:val="auto"/>
              </w:rPr>
            </w:pPr>
          </w:p>
        </w:tc>
      </w:tr>
      <w:tr>
        <w:trPr>
          <w:trHeight w:val="23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disclosures:</w:t>
            </w:r>
          </w:p>
        </w:tc>
        <w:tc>
          <w:tcPr>
            <w:tcW w:w="10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4040" w:type="dxa"/>
            <w:vAlign w:val="bottom"/>
          </w:tcPr>
          <w:p>
            <w:pPr>
              <w:ind w:left="220"/>
              <w:spacing w:after="0" w:line="173" w:lineRule="exact"/>
              <w:rPr>
                <w:sz w:val="20"/>
                <w:szCs w:val="20"/>
                <w:color w:val="auto"/>
              </w:rPr>
            </w:pPr>
            <w:r>
              <w:rPr>
                <w:rFonts w:ascii="Arial" w:cs="Arial" w:eastAsia="Arial" w:hAnsi="Arial"/>
                <w:sz w:val="18"/>
                <w:szCs w:val="18"/>
                <w:color w:val="auto"/>
              </w:rPr>
              <w:t>Key employee holdback payments related to</w:t>
            </w:r>
          </w:p>
        </w:tc>
        <w:tc>
          <w:tcPr>
            <w:tcW w:w="1020" w:type="dxa"/>
            <w:vAlign w:val="bottom"/>
            <w:vMerge w:val="restart"/>
          </w:tcPr>
          <w:p>
            <w:pPr>
              <w:jc w:val="right"/>
              <w:ind w:right="832"/>
              <w:spacing w:after="0"/>
              <w:rPr>
                <w:sz w:val="20"/>
                <w:szCs w:val="20"/>
                <w:color w:val="auto"/>
              </w:rPr>
            </w:pPr>
            <w:r>
              <w:rPr>
                <w:rFonts w:ascii="Arial" w:cs="Arial" w:eastAsia="Arial" w:hAnsi="Arial"/>
                <w:sz w:val="18"/>
                <w:szCs w:val="18"/>
                <w:color w:val="auto"/>
                <w:w w:val="79"/>
              </w:rPr>
              <w:t>$</w:t>
            </w:r>
          </w:p>
        </w:tc>
        <w:tc>
          <w:tcPr>
            <w:tcW w:w="620" w:type="dxa"/>
            <w:vAlign w:val="bottom"/>
            <w:vMerge w:val="restart"/>
          </w:tcPr>
          <w:p>
            <w:pPr>
              <w:jc w:val="right"/>
              <w:ind w:right="112"/>
              <w:spacing w:after="0"/>
              <w:rPr>
                <w:sz w:val="20"/>
                <w:szCs w:val="20"/>
                <w:color w:val="auto"/>
              </w:rPr>
            </w:pPr>
            <w:r>
              <w:rPr>
                <w:rFonts w:ascii="Arial" w:cs="Arial" w:eastAsia="Arial" w:hAnsi="Arial"/>
                <w:sz w:val="18"/>
                <w:szCs w:val="18"/>
                <w:color w:val="auto"/>
              </w:rPr>
              <w:t>10.6</w:t>
            </w:r>
          </w:p>
        </w:tc>
        <w:tc>
          <w:tcPr>
            <w:tcW w:w="1140" w:type="dxa"/>
            <w:vAlign w:val="bottom"/>
            <w:gridSpan w:val="2"/>
            <w:vMerge w:val="restart"/>
          </w:tcPr>
          <w:p>
            <w:pPr>
              <w:jc w:val="right"/>
              <w:ind w:right="920"/>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ind w:right="132"/>
              <w:spacing w:after="0"/>
              <w:rPr>
                <w:sz w:val="20"/>
                <w:szCs w:val="20"/>
                <w:color w:val="auto"/>
              </w:rPr>
            </w:pPr>
            <w:r>
              <w:rPr>
                <w:rFonts w:ascii="Arial" w:cs="Arial" w:eastAsia="Arial" w:hAnsi="Arial"/>
                <w:sz w:val="18"/>
                <w:szCs w:val="18"/>
                <w:color w:val="auto"/>
              </w:rPr>
              <w:t>—</w:t>
            </w:r>
          </w:p>
        </w:tc>
        <w:tc>
          <w:tcPr>
            <w:tcW w:w="46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vMerge w:val="restart"/>
          </w:tcPr>
          <w:p>
            <w:pPr>
              <w:jc w:val="right"/>
              <w:ind w:right="112"/>
              <w:spacing w:after="0"/>
              <w:rPr>
                <w:sz w:val="20"/>
                <w:szCs w:val="20"/>
                <w:color w:val="auto"/>
              </w:rPr>
            </w:pPr>
            <w:r>
              <w:rPr>
                <w:rFonts w:ascii="Arial" w:cs="Arial" w:eastAsia="Arial" w:hAnsi="Arial"/>
                <w:sz w:val="18"/>
                <w:szCs w:val="18"/>
                <w:color w:val="auto"/>
              </w:rPr>
              <w:t>21.4</w:t>
            </w:r>
          </w:p>
        </w:tc>
        <w:tc>
          <w:tcPr>
            <w:tcW w:w="760" w:type="dxa"/>
            <w:vAlign w:val="bottom"/>
            <w:gridSpan w:val="2"/>
            <w:vMerge w:val="restart"/>
          </w:tcPr>
          <w:p>
            <w:pPr>
              <w:jc w:val="right"/>
              <w:ind w:right="540"/>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ind w:right="112"/>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1"/>
        </w:trPr>
        <w:tc>
          <w:tcPr>
            <w:tcW w:w="4040" w:type="dxa"/>
            <w:vAlign w:val="bottom"/>
          </w:tcPr>
          <w:p>
            <w:pPr>
              <w:ind w:left="220"/>
              <w:spacing w:after="0" w:line="211" w:lineRule="exact"/>
              <w:rPr>
                <w:sz w:val="20"/>
                <w:szCs w:val="20"/>
                <w:color w:val="auto"/>
              </w:rPr>
            </w:pPr>
            <w:r>
              <w:rPr>
                <w:rFonts w:ascii="Arial" w:cs="Arial" w:eastAsia="Arial" w:hAnsi="Arial"/>
                <w:sz w:val="18"/>
                <w:szCs w:val="18"/>
                <w:color w:val="auto"/>
              </w:rPr>
              <w:t>acquisitions</w:t>
            </w:r>
            <w:r>
              <w:rPr>
                <w:rFonts w:ascii="Arial" w:cs="Arial" w:eastAsia="Arial" w:hAnsi="Arial"/>
                <w:sz w:val="22"/>
                <w:szCs w:val="22"/>
                <w:color w:val="auto"/>
                <w:vertAlign w:val="superscript"/>
              </w:rPr>
              <w:t>(1)</w:t>
            </w:r>
          </w:p>
        </w:tc>
        <w:tc>
          <w:tcPr>
            <w:tcW w:w="102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4040" w:type="dxa"/>
            <w:vAlign w:val="bottom"/>
            <w:shd w:val="clear" w:color="auto" w:fill="CCEEFF"/>
          </w:tcPr>
          <w:p>
            <w:pPr>
              <w:ind w:left="220"/>
              <w:spacing w:after="0" w:line="219" w:lineRule="exact"/>
              <w:rPr>
                <w:sz w:val="20"/>
                <w:szCs w:val="20"/>
                <w:color w:val="auto"/>
              </w:rPr>
            </w:pPr>
            <w:r>
              <w:rPr>
                <w:rFonts w:ascii="Arial" w:cs="Arial" w:eastAsia="Arial" w:hAnsi="Arial"/>
                <w:sz w:val="18"/>
                <w:szCs w:val="18"/>
                <w:color w:val="auto"/>
              </w:rPr>
              <w:t>Payments related to workforce reduction</w:t>
            </w:r>
            <w:r>
              <w:rPr>
                <w:rFonts w:ascii="Arial" w:cs="Arial" w:eastAsia="Arial" w:hAnsi="Arial"/>
                <w:sz w:val="22"/>
                <w:szCs w:val="22"/>
                <w:color w:val="auto"/>
                <w:vertAlign w:val="superscript"/>
              </w:rPr>
              <w:t>(2)</w:t>
            </w:r>
          </w:p>
        </w:tc>
        <w:tc>
          <w:tcPr>
            <w:tcW w:w="102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34.0</w:t>
            </w:r>
          </w:p>
        </w:tc>
        <w:tc>
          <w:tcPr>
            <w:tcW w:w="114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34.0</w:t>
            </w:r>
          </w:p>
        </w:tc>
        <w:tc>
          <w:tcPr>
            <w:tcW w:w="7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2" w:lineRule="exact"/>
        <w:rPr>
          <w:sz w:val="20"/>
          <w:szCs w:val="20"/>
          <w:color w:val="auto"/>
        </w:rPr>
      </w:pPr>
    </w:p>
    <w:p>
      <w:pPr>
        <w:ind w:left="-6" w:right="200" w:firstLine="6"/>
        <w:spacing w:after="0" w:line="272" w:lineRule="auto"/>
        <w:tabs>
          <w:tab w:leader="none" w:pos="154"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For the second quarter ended June 30, 2023, we made payments in the amount of $10.6 million related to employee holdbacks pertaining to our acquisitions. The related expenses are recognized within research and development and sales and marketing expenses over the required service period.</w:t>
      </w:r>
    </w:p>
    <w:p>
      <w:pPr>
        <w:spacing w:after="0" w:line="190" w:lineRule="exact"/>
        <w:rPr>
          <w:rFonts w:ascii="Arial" w:cs="Arial" w:eastAsia="Arial" w:hAnsi="Arial"/>
          <w:sz w:val="18"/>
          <w:szCs w:val="18"/>
          <w:color w:val="auto"/>
          <w:vertAlign w:val="superscript"/>
        </w:rPr>
      </w:pPr>
    </w:p>
    <w:p>
      <w:pPr>
        <w:ind w:left="154" w:hanging="154"/>
        <w:spacing w:after="0"/>
        <w:tabs>
          <w:tab w:leader="none" w:pos="154"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Includes payments made related to our reduction in workforce such as severance, benefits, and other related items.</w:t>
      </w:r>
    </w:p>
    <w:p>
      <w:pPr>
        <w:sectPr>
          <w:pgSz w:w="11900" w:h="16838" w:orient="portrait"/>
          <w:cols w:equalWidth="0" w:num="1">
            <w:col w:w="11094"/>
          </w:cols>
          <w:pgMar w:left="326" w:top="873" w:right="4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About Non-GAAP Financial Measures</w:t>
      </w:r>
    </w:p>
    <w:p>
      <w:pPr>
        <w:spacing w:after="0" w:line="250"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To provide investors and others with additional information regarding Dropbox's results, we have disclosed the following non-GAAP financial measures: revenue growth and Total ARR growth excluding foreign exchange effect, which we refer to as on a constant currency basis, non-GAAP cost of revenue, non-GAAP gross profit, non-GAAP operating expenses (including research and development, sales and marketing and general and administrative), non-GAAP income from operations, non-GAAP net income, free cash flow ("FCF") and non-GAAP diluted net income per share. Dropbox has provided a reconciliation of each non-GAAP financial measure used in this earnings release to the most directly comparable GAAP financial measure. Non-GAAP cost of revenue, gross profit, operating expenses, income from operations, and net income differ from GAAP in that they exclude stock-based compensation expense, amortization of acquired intangible assets, other acquisition-related expenses, which include third-party diligence costs and expenses related to key employee holdback agreements, impairment charges related to real estate assets, expenses related to our reduction in workforce, net gains on equity investments and the income tax effect of the aforementioned adjustments. FCF differs from GAAP net cash provided by operating activities in that it treats capital expenditures as a reduction to net cash provided by operating activities. Free cash flow margin is calculated as FCF divided by revenue. In order to present revenue on a constant currency basis for the quarter ended June 30, 2023, Dropbox calculates constant currency revenue growth rates by applying the prior period weighted average exchange rates to current period results. Dropbox calculates constant currency Total ARR growth rates by applying the current period rate to prior period results. Dropbox presents constant currency information to provide a framework for assessing how our underlying business performed excluding the effect of foreign currency rate fluctuations.</w:t>
      </w:r>
    </w:p>
    <w:p>
      <w:pPr>
        <w:spacing w:after="0" w:line="398"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Dropbox's management uses these non-GAAP financial measures to understand and compare operating results across accounting periods, for internal budgeting and forecasting purposes, for short and long-term operating plans, and to evaluate Dropbox's financial performance and the ability to generate cash from operations. Management believes these non-GAAP financial measures reflect Dropbox's ongoing business in a manner that allows for meaningful period-to-period comparisons and analysis of trends in Dropbox's business, as they exclude expenses that are not reflective of ongoing operating results. Management also believes that these non-GAAP financial measures provide useful supplemental information to investors and others in understanding and evaluating Dropbox's operating results and future prospects in the same manner as management and in comparing financial results across accounting periods and to those of peer companies.</w:t>
      </w:r>
    </w:p>
    <w:p>
      <w:pPr>
        <w:spacing w:after="0" w:line="208"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believe that the non-GAAP financial measures, non-GAAP cost of revenue, gross profit, operating expenses, income from operations, net income, and diluted net income per share are meaningful to investors because they help identify underlying trends in our business that could otherwise be masked by the effect of the expenses that we exclude.</w:t>
      </w:r>
    </w:p>
    <w:p>
      <w:pPr>
        <w:spacing w:after="0" w:line="216" w:lineRule="exact"/>
        <w:rPr>
          <w:sz w:val="20"/>
          <w:szCs w:val="20"/>
          <w:color w:val="auto"/>
        </w:rPr>
      </w:pPr>
    </w:p>
    <w:p>
      <w:pPr>
        <w:ind w:right="20"/>
        <w:spacing w:after="0" w:line="309" w:lineRule="auto"/>
        <w:rPr>
          <w:sz w:val="20"/>
          <w:szCs w:val="20"/>
          <w:color w:val="auto"/>
        </w:rPr>
      </w:pPr>
      <w:r>
        <w:rPr>
          <w:rFonts w:ascii="Arial" w:cs="Arial" w:eastAsia="Arial" w:hAnsi="Arial"/>
          <w:sz w:val="15"/>
          <w:szCs w:val="15"/>
          <w:color w:val="auto"/>
        </w:rPr>
        <w:t>We believe that FCF is an indicator of our liquidity over the long term and provides useful information regarding cash provided by operating activities and cash used for investments in property and equipment required to maintain and grow our business. FCF is presented for supplemental informational purposes only and should not be considered a substitute for financial information presented in accordance with GAAP. FCF has limitations as an analytical tool, and it should not be considered in isolation or as a substitute for analysis of other GAAP financial measures, such as net cash provided by operating activities. Some of the limitations of FCF are that FCF does not reflect our future contractual commitments, excludes investments made to acquire assets under finance leases, includes capital expenditures, and may be calculated differently by other companies in our industry, limiting its usefulness as a comparative measure.</w:t>
      </w:r>
    </w:p>
    <w:p>
      <w:pPr>
        <w:spacing w:after="0" w:line="180" w:lineRule="exact"/>
        <w:rPr>
          <w:sz w:val="20"/>
          <w:szCs w:val="20"/>
          <w:color w:val="auto"/>
        </w:rPr>
      </w:pPr>
    </w:p>
    <w:p>
      <w:pPr>
        <w:ind w:right="20"/>
        <w:spacing w:after="0" w:line="305" w:lineRule="auto"/>
        <w:rPr>
          <w:sz w:val="20"/>
          <w:szCs w:val="20"/>
          <w:color w:val="auto"/>
        </w:rPr>
      </w:pPr>
      <w:r>
        <w:rPr>
          <w:rFonts w:ascii="Arial" w:cs="Arial" w:eastAsia="Arial" w:hAnsi="Arial"/>
          <w:sz w:val="15"/>
          <w:szCs w:val="15"/>
          <w:color w:val="auto"/>
        </w:rPr>
        <w:t>The use of non-GAAP cost of revenue, gross profit, operating expenses, income from operations, net income, free cash flow, and diluted net income per share measures has certain limitations as they do not reflect all items of income, expense, and cash expenditures, as applicable, that affect Dropbox's operations. Dropbox mitigates these limitations by reconciling the non-GAAP financial measures to the most comparable GAAP financial measures. Additionally, we have provided supplemental disclosures in our reconciliation of net cash provided by operating activities to free cash flow to include expenses related to reduction in workforce and key employee holdback payments related to our various acquisitions. These non-GAAP financial measures should be considered in addition to, not as a substitute for or in isolation from, measures prepared in accordance with GAAP. Further, these non-GAAP measures may differ from the non-GAAP information used by other companies, including peer companies, and therefore comparability may be limited. Management encourages investors and others to review Dropbox's financial information in its entirety and not rely on a single financial measure.</w:t>
      </w:r>
    </w:p>
    <w:p>
      <w:pPr>
        <w:sectPr>
          <w:pgSz w:w="11900" w:h="16838" w:orient="portrait"/>
          <w:cols w:equalWidth="0" w:num="1">
            <w:col w:w="11200"/>
          </w:cols>
          <w:pgMar w:left="320" w:top="877" w:right="3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Contacts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Kern Kapoor</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ir@dropbox.com</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Alissa Stewart</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press@dropbox.com</w:t>
      </w:r>
    </w:p>
    <w:sectPr>
      <w:pgSz w:w="11900" w:h="16838" w:orient="portrait"/>
      <w:cols w:equalWidth="0" w:num="1">
        <w:col w:w="10139"/>
      </w:cols>
      <w:pgMar w:left="320" w:top="87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lvl>
    <w:lvl w:ilvl="1">
      <w:lvlJc w:val="left"/>
      <w:lvlText w:val="•"/>
      <w:numFmt w:val="bullet"/>
      <w:start w:val="1"/>
    </w:lvl>
  </w:abstractNum>
  <w:abstractNum w:abstractNumId="3">
    <w:nsid w:val="7545E146"/>
    <w:multiLevelType w:val="hybridMultilevel"/>
    <w:lvl w:ilvl="0">
      <w:lvlJc w:val="left"/>
      <w:lvlText w:val="(%1)"/>
      <w:numFmt w:val="decimal"/>
      <w:start w:val="3"/>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2"/>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2023-08-03T15:36:16Z</dcterms:created>
  <dcterms:modified xsi:type="dcterms:W3CDTF">2023-08-03T15:36:16Z</dcterms:modified>
</cp:coreProperties>
</file>