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November 7, 2024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5"/>
        <w:gridCol w:w="1237"/>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930-7766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2024, Dropbox, Inc. (“Dropbox” or the "Company") issued a press release and will hold a conference call announcing its financial results for the quarter ended September 30, 2024. A copy of the press release is attached as Exhibit 99.1 to this current report on Form 8-K and is incorporated by reference herein.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2024,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bidi w:val="0"/>
        <w:spacing w:before="0" w:after="140"/>
        <w:jc w:val="left"/>
        <w:rPr/>
      </w:pPr>
      <w:r>
        <w:rPr/>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001"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511"/>
        <w:gridCol w:w="2511"/>
        <w:gridCol w:w="35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32024er-exhibit991q2xq4.htm">
              <w:r>
                <w:rPr>
                  <w:rStyle w:val="InternetLink"/>
                  <w:rFonts w:ascii="Times New Roman;sans-serif" w:hAnsi="Times New Roman;sans-serif"/>
                  <w:b w:val="false"/>
                  <w:color w:val="0000FF"/>
                  <w:sz w:val="20"/>
                  <w:u w:val="single"/>
                </w:rPr>
                <w:t>Press Release entitled "Dropbox Announces Fiscal 2024 Third Quarter Results" dated November 7, 2024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p>
      <w:pPr>
        <w:pStyle w:val="TextBody"/>
        <w:bidi w:val="0"/>
        <w:spacing w:lineRule="auto" w:line="288" w:before="0" w:after="0"/>
        <w:jc w:val="center"/>
        <w:rPr>
          <w:color w:val="000000"/>
        </w:rPr>
      </w:pPr>
      <w:r>
        <w:rPr>
          <w:color w:val="000000"/>
        </w:rPr>
        <w:t>    </w:t>
      </w:r>
    </w:p>
    <w:tbl>
      <w:tblPr>
        <w:tblW w:w="2024" w:type="dxa"/>
        <w:jc w:val="center"/>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Dropbox Announces Fiscal 2024 Third Quarter Results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 Revenue of $638.8 Million, up 0.9% year-over-year on an as reported and constant currency basis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GAAP Operating Margin of 20.0% and Non-GAAP Operating Margin of 36.2%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$274.2 Million and Free Cash Flow of $270.1 Million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SAN FRANCISCO, Calif.</w:t>
      </w:r>
      <w:r>
        <w:rPr>
          <w:color w:val="000000"/>
        </w:rPr>
        <w:t xml:space="preserve"> </w:t>
      </w:r>
      <w:r>
        <w:rPr>
          <w:rFonts w:ascii="Times New Roman;sans-serif" w:hAnsi="Times New Roman;sans-serif"/>
          <w:b w:val="false"/>
          <w:color w:val="000000"/>
          <w:sz w:val="20"/>
        </w:rPr>
        <w:t>- November 7, 2024 - Dropbox, Inc. (NASDAQ: DBX), today announced financial results for its third quarter ended September 30,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As we've shared over the last year, we're in a transitional period as a company and we continue to face a challenging environment in 2024. We recently announced a reduction in our workforce to both increase efficiency in and strengthen our core business, and accelerate growth in our new bets, like Dropbox Dash,” said Dropbox Co-Founder and Chief Executive Officer Drew Houston. “As the market opportunity heats up, we can leverage our large installed base, trusted brand, and scaled infrastructure to deliver on our next phase of growth. I’m excited about the opportunity to reimagine how we solve our customers' biggest problems for the cloud-native, AI-powered world.”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Third Quarter Fiscal 2024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revenue was $638.8 million, an increase of 0.9% from the same period last year on an as reported and constant currency basis.</w:t>
      </w:r>
      <w:r>
        <w:rPr>
          <w:rFonts w:ascii="Times New Roman;sans-serif" w:hAnsi="Times New Roman;sans-serif"/>
          <w:b w:val="false"/>
          <w:color w:val="000000"/>
          <w:sz w:val="13"/>
        </w:rPr>
        <w:t xml:space="preserve">(1)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ARR was $2.579 billion, an increase of 2.1% from the same period last year. On a constant currency basis, year-over-year growth would have been 1.4%.</w:t>
      </w: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Total ARR increased $5.8 million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Paying users was 18.24 million, as compared to 18.17 million for the same period last year. Average revenue per paying user was $139.05, as compared to $138.71 for the same period last year. Paying users increased 19,000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gross margin was 82.5%, as compared to 81.1% for the same period last year. Non-GAAP gross margin was 84.0%, as compared to 82.6% for the same period last year. Effective January 1, 2024, the Company changed the estimate of the useful lives of certain infrastructure server and component assets, which are included in property and equipment, net and are depreciated through cost of revenue, from four to five years. The effect of this change in estimate during the three months ended September 30, 2024 was a reduction in depreciation expense of $6.9 million.</w:t>
      </w:r>
      <w:r>
        <w:rPr>
          <w:rFonts w:ascii="Times New Roman;sans-serif" w:hAnsi="Times New Roman;sans-serif"/>
          <w:b w:val="false"/>
          <w:color w:val="000000"/>
          <w:sz w:val="13"/>
        </w:rPr>
        <w:t>(4)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GAAP operating margin was 20.0%, as compared to 20.6% for the same period last year. Non-GAAP operating margin was 36.2%, as compared to 36.0%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GAAP net income was $106.7 million, as compared to $114.1 million for the same period last year. Non-GAAP net income was $190.4 million, as compared to $194.1 million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Net cash provided by operating activities was $274.2 million, as compared to $255.9 million for the same period last year. Free cash flow was $270.1 million, as compared to $246.5 million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diluted net income per share attributable to common stockholders was $0.34, as compared to $0.33 in the same period last year. Non-GAAP diluted net income per share attributable to common stockholders was $0.60, as compared to $0.56 in the same period last year.</w:t>
      </w:r>
      <w:r>
        <w:rPr>
          <w:rFonts w:ascii="Times New Roman;sans-serif" w:hAnsi="Times New Roman;sans-serif"/>
          <w:b w:val="false"/>
          <w:color w:val="000000"/>
          <w:sz w:val="13"/>
        </w:rPr>
        <w:t>(3)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 cash equivalents and short-term investments ended at $890.8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We calculate constant currency revenue growth rates by applying the prior period weighted average exchange rates to current period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 xml:space="preserve">GAAP and Non-GAAP diluted net income per share attributable to common stockholders is calculated based upon 316.4 million and 346.0 million diluted weighted-average shares of common stock for the three months ended September 30, 2024 and 2023, respectively.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8"/>
        </w:rPr>
        <w:t xml:space="preserve">The impact from the change in our estimate was calculated based on assets that existed as of the effective date of the change and applying the revised estimated useful lives prospectively.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Outlook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ans-serif" w:hAnsi="Times New Roman;sans-serif"/>
          <w:b w:val="false"/>
          <w:color w:val="000000"/>
          <w:sz w:val="20"/>
          <w:u w:val="single"/>
        </w:rPr>
        <w:t>http://investors.dropbox.com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plans to host a conference call today to review its third quarter financial results and to discuss its financial outlook. This call is scheduled to begin at 2:00 p.m. PT / 5:00 p.m. ET and can be accessed by using the web link at http://investors.dropbox.com.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Upcoming Events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 Regan, Chief Financial Officer, will be attending the UBS Global Technology Conference on Tuesday, December 3rd,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Dropbox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ans-serif" w:hAnsi="Times New Roman;sans-serif"/>
          <w:b w:val="false"/>
          <w:color w:val="000000"/>
          <w:sz w:val="20"/>
          <w:u w:val="single"/>
        </w:rPr>
        <w:t>http://dropbox.com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as well as our ability to improve shareholder returns.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or other potential legal, regulatory, or reputational consequences of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reduction in workforce announced in October 2024 or our Virtual First model with an increasingly distributed workforce; (xvii) our ability to realize the intended benefits of our workforce reduction announced in October 2024, (xviii) our capital allocation plans with respect to our stock repurchase program and other investments; and (xix) the dual class structure of our common stock and its effect of concentrating voting control with certain stockholders who held our capital stock prior to the completion of our initial public offering.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risks that could affect Dropbox’s results is included in our filings with the Securities and Exchange Commission ("SEC"), including our Form 10-Q for the quarter ended June 30, 2024. Additional information will be made available in our quarterly report on Form 10-Q for the quarter ended September 30, 2024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1"/>
        <w:gridCol w:w="1569"/>
        <w:gridCol w:w="151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5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on real estate assets</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Includes stock-based compensation expense as follows (in millions):</w:t>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2023 reduction in workforce such as severance, benefits and other related items during the three and nine months ended September 30, 2023.</w:t>
      </w:r>
    </w:p>
    <w:p>
      <w:pPr>
        <w:pStyle w:val="TextBody"/>
        <w:bidi w:val="0"/>
        <w:spacing w:lineRule="auto" w:line="288" w:before="0" w:after="12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 xml:space="preserve">Includes impairment charges related to real estate assets as a result of our Virtual First work model. </w:t>
      </w:r>
    </w:p>
    <w:p>
      <w:pPr>
        <w:pStyle w:val="TextBody"/>
        <w:bidi w:val="0"/>
        <w:spacing w:lineRule="auto" w:line="288" w:before="0" w:after="12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On March 15, 2023, the former President resigned, resulting in the reversal of $6.7 million in stock-based compensation expense. Of the total amount reversed, $4.4 million related to expense recognized prior to January 1, 2023. </w:t>
      </w:r>
    </w:p>
    <w:p>
      <w:pPr>
        <w:pStyle w:val="TextBody"/>
        <w:bidi w:val="0"/>
        <w:spacing w:before="0" w:after="120"/>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392" w:type="dxa"/>
        <w:jc w:val="center"/>
        <w:tblInd w:w="0" w:type="dxa"/>
        <w:tblLayout w:type="fixed"/>
        <w:tblCellMar>
          <w:top w:w="28" w:type="dxa"/>
          <w:left w:w="28" w:type="dxa"/>
          <w:bottom w:w="28" w:type="dxa"/>
          <w:right w:w="28" w:type="dxa"/>
        </w:tblCellMar>
      </w:tblPr>
      <w:tblGrid>
        <w:gridCol w:w="1270"/>
        <w:gridCol w:w="1120"/>
        <w:gridCol w:w="1135"/>
        <w:gridCol w:w="344"/>
        <w:gridCol w:w="1249"/>
        <w:gridCol w:w="177"/>
        <w:gridCol w:w="109"/>
        <w:gridCol w:w="109"/>
        <w:gridCol w:w="109"/>
        <w:gridCol w:w="330"/>
        <w:gridCol w:w="1199"/>
        <w:gridCol w:w="241"/>
      </w:tblGrid>
      <w:tr>
        <w:trPr/>
        <w:tc>
          <w:tcPr>
            <w:tcW w:w="12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2"/>
        <w:gridCol w:w="1561"/>
        <w:gridCol w:w="1573"/>
        <w:gridCol w:w="196"/>
        <w:gridCol w:w="556"/>
        <w:gridCol w:w="109"/>
        <w:gridCol w:w="109"/>
        <w:gridCol w:w="109"/>
        <w:gridCol w:w="109"/>
        <w:gridCol w:w="196"/>
        <w:gridCol w:w="556"/>
        <w:gridCol w:w="109"/>
        <w:gridCol w:w="109"/>
        <w:gridCol w:w="109"/>
        <w:gridCol w:w="109"/>
        <w:gridCol w:w="249"/>
        <w:gridCol w:w="709"/>
        <w:gridCol w:w="138"/>
        <w:gridCol w:w="138"/>
        <w:gridCol w:w="138"/>
        <w:gridCol w:w="138"/>
        <w:gridCol w:w="249"/>
        <w:gridCol w:w="709"/>
        <w:gridCol w:w="205"/>
      </w:tblGrid>
      <w:tr>
        <w:trPr/>
        <w:tc>
          <w:tcPr>
            <w:tcW w:w="202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flows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real estate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improvement allowance reimbursement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lease termination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acquisition-related holdback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September 30,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73"/>
        <w:gridCol w:w="394"/>
        <w:gridCol w:w="395"/>
        <w:gridCol w:w="211"/>
        <w:gridCol w:w="616"/>
        <w:gridCol w:w="271"/>
        <w:gridCol w:w="109"/>
        <w:gridCol w:w="109"/>
        <w:gridCol w:w="109"/>
        <w:gridCol w:w="318"/>
        <w:gridCol w:w="769"/>
        <w:gridCol w:w="409"/>
        <w:gridCol w:w="109"/>
        <w:gridCol w:w="109"/>
        <w:gridCol w:w="109"/>
        <w:gridCol w:w="491"/>
        <w:gridCol w:w="946"/>
        <w:gridCol w:w="632"/>
        <w:gridCol w:w="109"/>
        <w:gridCol w:w="109"/>
        <w:gridCol w:w="109"/>
        <w:gridCol w:w="332"/>
        <w:gridCol w:w="663"/>
        <w:gridCol w:w="428"/>
        <w:gridCol w:w="109"/>
        <w:gridCol w:w="109"/>
        <w:gridCol w:w="109"/>
        <w:gridCol w:w="211"/>
        <w:gridCol w:w="616"/>
        <w:gridCol w:w="322"/>
      </w:tblGrid>
      <w:tr>
        <w:trPr/>
        <w:tc>
          <w:tcPr>
            <w:tcW w:w="8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September 30,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436"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10"/>
        <w:gridCol w:w="789"/>
        <w:gridCol w:w="527"/>
        <w:gridCol w:w="109"/>
        <w:gridCol w:w="109"/>
        <w:gridCol w:w="109"/>
        <w:gridCol w:w="284"/>
        <w:gridCol w:w="566"/>
        <w:gridCol w:w="366"/>
        <w:gridCol w:w="109"/>
        <w:gridCol w:w="109"/>
        <w:gridCol w:w="109"/>
        <w:gridCol w:w="242"/>
        <w:gridCol w:w="483"/>
        <w:gridCol w:w="311"/>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Workforce reduction expense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Includes expenses related to our 2023 reduction in workforce such as severance, benefits and other related items.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Nine Months Ended September 30,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2"/>
        <w:gridCol w:w="488"/>
        <w:gridCol w:w="376"/>
        <w:gridCol w:w="211"/>
        <w:gridCol w:w="616"/>
        <w:gridCol w:w="271"/>
        <w:gridCol w:w="109"/>
        <w:gridCol w:w="109"/>
        <w:gridCol w:w="109"/>
        <w:gridCol w:w="276"/>
        <w:gridCol w:w="807"/>
        <w:gridCol w:w="360"/>
        <w:gridCol w:w="109"/>
        <w:gridCol w:w="109"/>
        <w:gridCol w:w="109"/>
        <w:gridCol w:w="421"/>
        <w:gridCol w:w="1023"/>
        <w:gridCol w:w="543"/>
        <w:gridCol w:w="109"/>
        <w:gridCol w:w="109"/>
        <w:gridCol w:w="109"/>
        <w:gridCol w:w="291"/>
        <w:gridCol w:w="706"/>
        <w:gridCol w:w="376"/>
        <w:gridCol w:w="109"/>
        <w:gridCol w:w="109"/>
        <w:gridCol w:w="109"/>
        <w:gridCol w:w="211"/>
        <w:gridCol w:w="616"/>
        <w:gridCol w:w="323"/>
      </w:tblGrid>
      <w:tr>
        <w:trPr/>
        <w:tc>
          <w:tcPr>
            <w:tcW w:w="98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Nine Months Ended September 30,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1651"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45"/>
        <w:gridCol w:w="715"/>
        <w:gridCol w:w="316"/>
        <w:gridCol w:w="109"/>
        <w:gridCol w:w="109"/>
        <w:gridCol w:w="109"/>
        <w:gridCol w:w="366"/>
        <w:gridCol w:w="888"/>
        <w:gridCol w:w="472"/>
        <w:gridCol w:w="109"/>
        <w:gridCol w:w="109"/>
        <w:gridCol w:w="109"/>
        <w:gridCol w:w="254"/>
        <w:gridCol w:w="634"/>
        <w:gridCol w:w="328"/>
        <w:gridCol w:w="109"/>
        <w:gridCol w:w="109"/>
        <w:gridCol w:w="109"/>
        <w:gridCol w:w="211"/>
        <w:gridCol w:w="406"/>
        <w:gridCol w:w="271"/>
        <w:gridCol w:w="109"/>
        <w:gridCol w:w="109"/>
        <w:gridCol w:w="109"/>
        <w:gridCol w:w="211"/>
        <w:gridCol w:w="511"/>
        <w:gridCol w:w="314"/>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Net loss on real estate assets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Workforce reduction expense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Includes impairment charges related to real estate assets as a result of changes in the corporate real estate market which has impacted our</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subleasing strategy in conjunction with the Company's Virtual First model.</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Includes expenses related to our 2023 reduction in workforce such as severance, benefits and other related items.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and Nine Months Ended September 30, 2024 and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net income to Non-GAAP net income and Non-GAAP diluted net income per share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10"/>
        <w:gridCol w:w="1331"/>
        <w:gridCol w:w="1186"/>
        <w:gridCol w:w="211"/>
        <w:gridCol w:w="616"/>
        <w:gridCol w:w="109"/>
        <w:gridCol w:w="109"/>
        <w:gridCol w:w="109"/>
        <w:gridCol w:w="109"/>
        <w:gridCol w:w="211"/>
        <w:gridCol w:w="616"/>
        <w:gridCol w:w="109"/>
        <w:gridCol w:w="418"/>
        <w:gridCol w:w="418"/>
        <w:gridCol w:w="420"/>
        <w:gridCol w:w="246"/>
        <w:gridCol w:w="720"/>
        <w:gridCol w:w="127"/>
        <w:gridCol w:w="127"/>
        <w:gridCol w:w="127"/>
        <w:gridCol w:w="127"/>
        <w:gridCol w:w="246"/>
        <w:gridCol w:w="720"/>
        <w:gridCol w:w="183"/>
      </w:tblGrid>
      <w:tr>
        <w:trPr/>
        <w:tc>
          <w:tcPr>
            <w:tcW w:w="161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Workforce reduction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non-GAAP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and Nine Months Ended September 30, 2024 and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free cash flow and supplemental cash flow disclosure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88"/>
        <w:gridCol w:w="1134"/>
        <w:gridCol w:w="1140"/>
        <w:gridCol w:w="211"/>
        <w:gridCol w:w="616"/>
        <w:gridCol w:w="271"/>
        <w:gridCol w:w="109"/>
        <w:gridCol w:w="109"/>
        <w:gridCol w:w="109"/>
        <w:gridCol w:w="211"/>
        <w:gridCol w:w="616"/>
        <w:gridCol w:w="271"/>
        <w:gridCol w:w="418"/>
        <w:gridCol w:w="418"/>
        <w:gridCol w:w="420"/>
        <w:gridCol w:w="235"/>
        <w:gridCol w:w="686"/>
        <w:gridCol w:w="302"/>
        <w:gridCol w:w="121"/>
        <w:gridCol w:w="121"/>
        <w:gridCol w:w="121"/>
        <w:gridCol w:w="235"/>
        <w:gridCol w:w="686"/>
        <w:gridCol w:w="357"/>
      </w:tblGrid>
      <w:tr>
        <w:trPr/>
        <w:tc>
          <w:tcPr>
            <w:tcW w:w="128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Key employee holdback payments related to acquisitions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Payments related to workforce reduction</w:t>
            </w:r>
            <w:r>
              <w:rPr>
                <w:rFonts w:ascii="Times New Roman;sans-serif" w:hAnsi="Times New Roman;sans-serif"/>
                <w:b w:val="false"/>
                <w:color w:val="000000"/>
                <w:sz w:val="13"/>
              </w:rPr>
              <w:t>(2)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paid for lease termination</w:t>
            </w:r>
            <w:r>
              <w:rPr>
                <w:rFonts w:ascii="Times New Roman;sans-serif" w:hAnsi="Times New Roman;sans-serif"/>
                <w:b w:val="false"/>
                <w:color w:val="000000"/>
                <w:sz w:val="13"/>
              </w:rPr>
              <w:t>(3)</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payments related to employee holdbacks pertaining to our acquisitions. The related expenses are recognized within research and development expenses over the required service period during the three and nine months ended September 30,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payments made related to our 2023 reduction in workforce such as severance, benefits, and other related items.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Includes the second tranche payment made for the partial termination of our lease for our San Francisco, California corporate headquarters.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net loss on real estate assets, expenses related to our reduction in workforce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September 30, 2024,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Peter Stabler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ir@dropbox.com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Maddy Pelton</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press@dropbox.com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5019</Words>
  <Characters>27315</Characters>
  <CharactersWithSpaces>31713</CharactersWithSpaces>
  <Paragraphs>1331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