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4"/>
          <w:szCs w:val="24"/>
          <w:color w:val="auto"/>
        </w:rPr>
      </w:pPr>
    </w:p>
    <w:p>
      <w:pPr>
        <w:jc w:val="right"/>
        <w:ind w:right="79"/>
        <w:spacing w:after="0"/>
        <w:rPr>
          <w:sz w:val="20"/>
          <w:szCs w:val="20"/>
          <w:color w:val="auto"/>
        </w:rPr>
      </w:pPr>
      <w:r>
        <w:rPr>
          <w:rFonts w:ascii="Arial" w:cs="Arial" w:eastAsia="Arial" w:hAnsi="Arial"/>
          <w:sz w:val="15"/>
          <w:szCs w:val="15"/>
          <w:b w:val="1"/>
          <w:bCs w:val="1"/>
          <w:color w:val="auto"/>
        </w:rPr>
        <w:t>Filed pursuant to Rule 424(b)(4)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-99695</wp:posOffset>
            </wp:positionV>
            <wp:extent cx="5843905" cy="697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3905" cy="6975475"/>
                    </a:xfrm>
                    <a:prstGeom prst="rect">
                      <a:avLst/>
                    </a:prstGeom>
                    <a:noFill/>
                  </pic:spPr>
                </pic:pic>
              </a:graphicData>
            </a:graphic>
          </wp:anchor>
        </w:drawing>
      </w:r>
    </w:p>
    <w:p>
      <w:pPr>
        <w:spacing w:after="0" w:line="1" w:lineRule="exact"/>
        <w:rPr>
          <w:sz w:val="24"/>
          <w:szCs w:val="24"/>
          <w:color w:val="auto"/>
        </w:rPr>
      </w:pPr>
    </w:p>
    <w:p>
      <w:pPr>
        <w:jc w:val="right"/>
        <w:ind w:right="79"/>
        <w:spacing w:after="0"/>
        <w:rPr>
          <w:sz w:val="20"/>
          <w:szCs w:val="20"/>
          <w:color w:val="auto"/>
        </w:rPr>
      </w:pPr>
      <w:r>
        <w:rPr>
          <w:rFonts w:ascii="Arial" w:cs="Arial" w:eastAsia="Arial" w:hAnsi="Arial"/>
          <w:sz w:val="15"/>
          <w:szCs w:val="15"/>
          <w:b w:val="1"/>
          <w:bCs w:val="1"/>
          <w:color w:val="auto"/>
        </w:rPr>
        <w:t>Registration No. 333-223182</w:t>
      </w:r>
    </w:p>
    <w:p>
      <w:pPr>
        <w:spacing w:after="0" w:line="8" w:lineRule="exact"/>
        <w:rPr>
          <w:sz w:val="24"/>
          <w:szCs w:val="24"/>
          <w:color w:val="auto"/>
        </w:rPr>
      </w:pPr>
    </w:p>
    <w:p>
      <w:pPr>
        <w:ind w:left="1260"/>
        <w:spacing w:after="0"/>
        <w:rPr>
          <w:sz w:val="20"/>
          <w:szCs w:val="20"/>
          <w:color w:val="auto"/>
        </w:rPr>
      </w:pPr>
      <w:r>
        <w:rPr>
          <w:rFonts w:ascii="Arial" w:cs="Arial" w:eastAsia="Arial" w:hAnsi="Arial"/>
          <w:sz w:val="21"/>
          <w:szCs w:val="21"/>
          <w:b w:val="1"/>
          <w:bCs w:val="1"/>
          <w:color w:val="auto"/>
        </w:rPr>
        <w:t>36,000,000 Shares</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1260"/>
        <w:spacing w:after="0"/>
        <w:rPr>
          <w:sz w:val="20"/>
          <w:szCs w:val="20"/>
          <w:color w:val="auto"/>
        </w:rPr>
      </w:pPr>
      <w:r>
        <w:rPr>
          <w:rFonts w:ascii="Arial" w:cs="Arial" w:eastAsia="Arial" w:hAnsi="Arial"/>
          <w:sz w:val="21"/>
          <w:szCs w:val="21"/>
          <w:b w:val="1"/>
          <w:bCs w:val="1"/>
          <w:color w:val="auto"/>
        </w:rPr>
        <w:t>Class A Common Stock</w:t>
      </w:r>
    </w:p>
    <w:p>
      <w:pPr>
        <w:spacing w:after="0" w:line="267" w:lineRule="exact"/>
        <w:rPr>
          <w:sz w:val="24"/>
          <w:szCs w:val="24"/>
          <w:color w:val="auto"/>
        </w:rPr>
      </w:pPr>
    </w:p>
    <w:p>
      <w:pPr>
        <w:ind w:left="1260"/>
        <w:spacing w:after="0"/>
        <w:rPr>
          <w:sz w:val="20"/>
          <w:szCs w:val="20"/>
          <w:color w:val="auto"/>
        </w:rPr>
      </w:pPr>
      <w:r>
        <w:rPr>
          <w:rFonts w:ascii="Arial" w:cs="Arial" w:eastAsia="Arial" w:hAnsi="Arial"/>
          <w:sz w:val="15"/>
          <w:szCs w:val="15"/>
          <w:color w:val="auto"/>
        </w:rPr>
        <w:t>This is an initial public offering of shares of Class A common stock of Dropbox, Inc.</w:t>
      </w:r>
    </w:p>
    <w:p>
      <w:pPr>
        <w:spacing w:after="0" w:line="87" w:lineRule="exact"/>
        <w:rPr>
          <w:sz w:val="24"/>
          <w:szCs w:val="24"/>
          <w:color w:val="auto"/>
        </w:rPr>
      </w:pPr>
    </w:p>
    <w:p>
      <w:pPr>
        <w:jc w:val="both"/>
        <w:ind w:left="1260" w:right="139"/>
        <w:spacing w:after="0"/>
        <w:rPr>
          <w:sz w:val="20"/>
          <w:szCs w:val="20"/>
          <w:color w:val="auto"/>
        </w:rPr>
      </w:pPr>
      <w:r>
        <w:rPr>
          <w:rFonts w:ascii="Arial" w:cs="Arial" w:eastAsia="Arial" w:hAnsi="Arial"/>
          <w:sz w:val="15"/>
          <w:szCs w:val="15"/>
          <w:color w:val="auto"/>
        </w:rPr>
        <w:t>Dropbox, Inc. is offering to sell 26,822,409 shares of Class A common stock in this offering. The selling stockholders identified in this prospectus are offering to sell an additional 9,177,591 shares of Class A common stock. We will not receive any of the proceeds from the sale of the shares being sold by the selling stockholders.</w:t>
      </w:r>
    </w:p>
    <w:p>
      <w:pPr>
        <w:spacing w:after="0" w:line="80" w:lineRule="exact"/>
        <w:rPr>
          <w:sz w:val="24"/>
          <w:szCs w:val="24"/>
          <w:color w:val="auto"/>
        </w:rPr>
      </w:pPr>
    </w:p>
    <w:p>
      <w:pPr>
        <w:ind w:left="1260" w:right="39"/>
        <w:spacing w:after="0" w:line="237" w:lineRule="auto"/>
        <w:rPr>
          <w:sz w:val="20"/>
          <w:szCs w:val="20"/>
          <w:color w:val="auto"/>
        </w:rPr>
      </w:pPr>
      <w:r>
        <w:rPr>
          <w:rFonts w:ascii="Arial" w:cs="Arial" w:eastAsia="Arial" w:hAnsi="Arial"/>
          <w:sz w:val="15"/>
          <w:szCs w:val="15"/>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 Shares of Class C common stock have no voting rights, except as otherwise required by law, and will convert into Class A common stock, on a share-for-share basis, following the conversion of all outstanding shares of Class B common stock into shares of Class A common stock and upon the date or time specified by the holders of a majority of the outstanding shares of Class A common stock voting as a separate class. Following this offering, outstanding shares of Class B common stock will represent approximately 98.1% of the voting power of our outstanding capital stock.</w:t>
      </w:r>
    </w:p>
    <w:p>
      <w:pPr>
        <w:spacing w:after="0" w:line="80" w:lineRule="exact"/>
        <w:rPr>
          <w:sz w:val="24"/>
          <w:szCs w:val="24"/>
          <w:color w:val="auto"/>
        </w:rPr>
      </w:pPr>
    </w:p>
    <w:p>
      <w:pPr>
        <w:ind w:left="1260" w:right="439"/>
        <w:spacing w:after="0" w:line="280" w:lineRule="auto"/>
        <w:rPr>
          <w:sz w:val="20"/>
          <w:szCs w:val="20"/>
          <w:color w:val="auto"/>
        </w:rPr>
      </w:pPr>
      <w:r>
        <w:rPr>
          <w:rFonts w:ascii="Arial" w:cs="Arial" w:eastAsia="Arial" w:hAnsi="Arial"/>
          <w:sz w:val="14"/>
          <w:szCs w:val="14"/>
          <w:color w:val="auto"/>
        </w:rPr>
        <w:t>Prior to this offering, there has been no public market for the Class A common stock. The initial public offering price per share is $21.00. We have been approved to list the Class A common stock on the Nasdaq Global Select Market under the symbol “DBX”.</w:t>
      </w:r>
    </w:p>
    <w:p>
      <w:pPr>
        <w:spacing w:after="0" w:line="53" w:lineRule="exact"/>
        <w:rPr>
          <w:sz w:val="24"/>
          <w:szCs w:val="24"/>
          <w:color w:val="auto"/>
        </w:rPr>
      </w:pPr>
    </w:p>
    <w:p>
      <w:pPr>
        <w:ind w:left="1260" w:right="479"/>
        <w:spacing w:after="0" w:line="239" w:lineRule="auto"/>
        <w:rPr>
          <w:sz w:val="20"/>
          <w:szCs w:val="20"/>
          <w:color w:val="auto"/>
        </w:rPr>
      </w:pPr>
      <w:r>
        <w:rPr>
          <w:rFonts w:ascii="Arial" w:cs="Arial" w:eastAsia="Arial" w:hAnsi="Arial"/>
          <w:sz w:val="15"/>
          <w:szCs w:val="15"/>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170" w:lineRule="exact"/>
        <w:rPr>
          <w:sz w:val="24"/>
          <w:szCs w:val="24"/>
          <w:color w:val="auto"/>
        </w:rPr>
      </w:pPr>
    </w:p>
    <w:p>
      <w:pPr>
        <w:ind w:left="1260" w:right="79"/>
        <w:spacing w:after="0"/>
        <w:rPr>
          <w:sz w:val="20"/>
          <w:szCs w:val="20"/>
          <w:color w:val="auto"/>
        </w:rPr>
      </w:pPr>
      <w:r>
        <w:rPr>
          <w:rFonts w:ascii="Arial" w:cs="Arial" w:eastAsia="Arial" w:hAnsi="Arial"/>
          <w:sz w:val="15"/>
          <w:szCs w:val="15"/>
          <w:color w:val="auto"/>
        </w:rPr>
        <w:t>Salesforce Ventures LLC has entered into an agreement with us pursuant to which it has agreed to purchase 4,761,905 shares of Class A common stock in a private placement. This transaction is contingent upon, and is scheduled to close immediately subsequent to, the closing of this offering.</w:t>
      </w:r>
    </w:p>
    <w:p>
      <w:pPr>
        <w:spacing w:after="0" w:line="288" w:lineRule="exact"/>
        <w:rPr>
          <w:sz w:val="24"/>
          <w:szCs w:val="24"/>
          <w:color w:val="auto"/>
        </w:rPr>
      </w:pPr>
    </w:p>
    <w:p>
      <w:pPr>
        <w:ind w:left="1260" w:right="359"/>
        <w:spacing w:after="0" w:line="270" w:lineRule="auto"/>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22">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16 to read about factors you should consider before buying shares of our Class A common stock.</w:t>
      </w:r>
    </w:p>
    <w:p>
      <w:pPr>
        <w:spacing w:after="0" w:line="266" w:lineRule="exact"/>
        <w:rPr>
          <w:sz w:val="24"/>
          <w:szCs w:val="24"/>
          <w:color w:val="auto"/>
        </w:rPr>
      </w:pPr>
    </w:p>
    <w:p>
      <w:pPr>
        <w:jc w:val="both"/>
        <w:ind w:left="1260" w:right="419"/>
        <w:spacing w:after="0" w:line="253"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39" w:lineRule="exact"/>
        <w:rPr>
          <w:sz w:val="24"/>
          <w:szCs w:val="24"/>
          <w:color w:val="auto"/>
        </w:rPr>
      </w:pPr>
    </w:p>
    <w:tbl>
      <w:tblPr>
        <w:tblLayout w:type="fixed"/>
        <w:tblInd w:w="1260" w:type="dxa"/>
        <w:tblCellMar>
          <w:top w:w="0" w:type="dxa"/>
          <w:left w:w="0" w:type="dxa"/>
          <w:bottom w:w="0" w:type="dxa"/>
          <w:right w:w="0" w:type="dxa"/>
        </w:tblCellMar>
      </w:tblPr>
      <w:tr>
        <w:trPr>
          <w:trHeight w:val="138"/>
        </w:trPr>
        <w:tc>
          <w:tcPr>
            <w:tcW w:w="5180" w:type="dxa"/>
            <w:vAlign w:val="bottom"/>
            <w:vMerge w:val="restart"/>
          </w:tcPr>
          <w:p>
            <w:pPr>
              <w:spacing w:after="0"/>
              <w:rPr>
                <w:sz w:val="20"/>
                <w:szCs w:val="20"/>
                <w:color w:val="auto"/>
              </w:rPr>
            </w:pPr>
            <w:r>
              <w:rPr>
                <w:rFonts w:ascii="Arial" w:cs="Arial" w:eastAsia="Arial" w:hAnsi="Arial"/>
                <w:sz w:val="15"/>
                <w:szCs w:val="15"/>
                <w:color w:val="auto"/>
              </w:rPr>
              <w:t>Initial public offering price</w:t>
            </w:r>
          </w:p>
        </w:tc>
        <w:tc>
          <w:tcPr>
            <w:tcW w:w="2760" w:type="dxa"/>
            <w:vAlign w:val="bottom"/>
            <w:gridSpan w:val="4"/>
          </w:tcPr>
          <w:p>
            <w:pPr>
              <w:ind w:left="1800"/>
              <w:spacing w:after="0"/>
              <w:rPr>
                <w:sz w:val="20"/>
                <w:szCs w:val="20"/>
                <w:color w:val="auto"/>
              </w:rPr>
            </w:pPr>
            <w:r>
              <w:rPr>
                <w:rFonts w:ascii="Arial" w:cs="Arial" w:eastAsia="Arial" w:hAnsi="Arial"/>
                <w:sz w:val="12"/>
                <w:szCs w:val="12"/>
                <w:color w:val="auto"/>
              </w:rPr>
              <w:t>Per share</w:t>
            </w:r>
          </w:p>
        </w:tc>
        <w:tc>
          <w:tcPr>
            <w:tcW w:w="920" w:type="dxa"/>
            <w:vAlign w:val="bottom"/>
            <w:gridSpan w:val="2"/>
          </w:tcPr>
          <w:p>
            <w:pPr>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8"/>
        </w:trPr>
        <w:tc>
          <w:tcPr>
            <w:tcW w:w="51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line="158" w:lineRule="exact"/>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5"/>
                <w:szCs w:val="15"/>
                <w:color w:val="auto"/>
                <w:w w:val="95"/>
              </w:rPr>
              <w:t>21.0000</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line="158"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5"/>
                <w:szCs w:val="15"/>
                <w:color w:val="auto"/>
                <w:w w:val="98"/>
              </w:rPr>
              <w:t>756,000,000</w:t>
            </w:r>
          </w:p>
        </w:tc>
        <w:tc>
          <w:tcPr>
            <w:tcW w:w="0" w:type="dxa"/>
            <w:vAlign w:val="bottom"/>
          </w:tcPr>
          <w:p>
            <w:pPr>
              <w:spacing w:after="0"/>
              <w:rPr>
                <w:sz w:val="1"/>
                <w:szCs w:val="1"/>
                <w:color w:val="auto"/>
              </w:rPr>
            </w:pPr>
          </w:p>
        </w:tc>
      </w:tr>
      <w:tr>
        <w:trPr>
          <w:trHeight w:val="171"/>
        </w:trPr>
        <w:tc>
          <w:tcPr>
            <w:tcW w:w="5180" w:type="dxa"/>
            <w:vAlign w:val="bottom"/>
          </w:tcPr>
          <w:p>
            <w:pPr>
              <w:spacing w:after="0" w:line="172" w:lineRule="exact"/>
              <w:rPr>
                <w:sz w:val="20"/>
                <w:szCs w:val="20"/>
                <w:color w:val="auto"/>
              </w:rPr>
            </w:pPr>
            <w:r>
              <w:rPr>
                <w:rFonts w:ascii="Arial" w:cs="Arial" w:eastAsia="Arial" w:hAnsi="Arial"/>
                <w:sz w:val="15"/>
                <w:szCs w:val="15"/>
                <w:color w:val="auto"/>
              </w:rPr>
              <w:t>Underwriting discount</w:t>
            </w:r>
            <w:r>
              <w:rPr>
                <w:rFonts w:ascii="Arial" w:cs="Arial" w:eastAsia="Arial" w:hAnsi="Arial"/>
                <w:sz w:val="12"/>
                <w:szCs w:val="12"/>
                <w:color w:val="auto"/>
              </w:rPr>
              <w:t>(1)</w:t>
            </w:r>
          </w:p>
        </w:tc>
        <w:tc>
          <w:tcPr>
            <w:tcW w:w="1900" w:type="dxa"/>
            <w:vAlign w:val="bottom"/>
            <w:gridSpan w:val="2"/>
          </w:tcPr>
          <w:p>
            <w:pPr>
              <w:ind w:left="1800"/>
              <w:spacing w:after="0" w:line="172" w:lineRule="exact"/>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line="172" w:lineRule="exact"/>
              <w:rPr>
                <w:sz w:val="20"/>
                <w:szCs w:val="20"/>
                <w:color w:val="auto"/>
              </w:rPr>
            </w:pPr>
            <w:r>
              <w:rPr>
                <w:rFonts w:ascii="Arial" w:cs="Arial" w:eastAsia="Arial" w:hAnsi="Arial"/>
                <w:sz w:val="15"/>
                <w:szCs w:val="15"/>
                <w:color w:val="auto"/>
              </w:rPr>
              <w:t>0.9345</w:t>
            </w:r>
          </w:p>
        </w:tc>
        <w:tc>
          <w:tcPr>
            <w:tcW w:w="320" w:type="dxa"/>
            <w:vAlign w:val="bottom"/>
          </w:tcPr>
          <w:p>
            <w:pPr>
              <w:spacing w:after="0"/>
              <w:rPr>
                <w:sz w:val="14"/>
                <w:szCs w:val="14"/>
                <w:color w:val="auto"/>
              </w:rPr>
            </w:pPr>
          </w:p>
        </w:tc>
        <w:tc>
          <w:tcPr>
            <w:tcW w:w="80" w:type="dxa"/>
            <w:vAlign w:val="bottom"/>
          </w:tcPr>
          <w:p>
            <w:pPr>
              <w:spacing w:after="0" w:line="172"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33,642,000</w:t>
            </w:r>
          </w:p>
        </w:tc>
        <w:tc>
          <w:tcPr>
            <w:tcW w:w="0" w:type="dxa"/>
            <w:vAlign w:val="bottom"/>
          </w:tcPr>
          <w:p>
            <w:pPr>
              <w:spacing w:after="0"/>
              <w:rPr>
                <w:sz w:val="1"/>
                <w:szCs w:val="1"/>
                <w:color w:val="auto"/>
              </w:rPr>
            </w:pPr>
          </w:p>
        </w:tc>
      </w:tr>
      <w:tr>
        <w:trPr>
          <w:trHeight w:val="169"/>
        </w:trPr>
        <w:tc>
          <w:tcPr>
            <w:tcW w:w="5180" w:type="dxa"/>
            <w:vAlign w:val="bottom"/>
          </w:tcPr>
          <w:p>
            <w:pPr>
              <w:spacing w:after="0" w:line="169" w:lineRule="exact"/>
              <w:rPr>
                <w:sz w:val="20"/>
                <w:szCs w:val="20"/>
                <w:color w:val="auto"/>
              </w:rPr>
            </w:pPr>
            <w:r>
              <w:rPr>
                <w:rFonts w:ascii="Arial" w:cs="Arial" w:eastAsia="Arial" w:hAnsi="Arial"/>
                <w:sz w:val="15"/>
                <w:szCs w:val="15"/>
                <w:color w:val="auto"/>
              </w:rPr>
              <w:t>Proceeds, before expenses, to Dropbox, Inc.</w:t>
            </w:r>
          </w:p>
        </w:tc>
        <w:tc>
          <w:tcPr>
            <w:tcW w:w="1900" w:type="dxa"/>
            <w:vAlign w:val="bottom"/>
            <w:gridSpan w:val="2"/>
          </w:tcPr>
          <w:p>
            <w:pPr>
              <w:ind w:left="1800"/>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95"/>
              </w:rPr>
              <w:t>20.0655</w:t>
            </w:r>
          </w:p>
        </w:tc>
        <w:tc>
          <w:tcPr>
            <w:tcW w:w="320" w:type="dxa"/>
            <w:vAlign w:val="bottom"/>
          </w:tcPr>
          <w:p>
            <w:pPr>
              <w:spacing w:after="0"/>
              <w:rPr>
                <w:sz w:val="14"/>
                <w:szCs w:val="14"/>
                <w:color w:val="auto"/>
              </w:rPr>
            </w:pPr>
          </w:p>
        </w:tc>
        <w:tc>
          <w:tcPr>
            <w:tcW w:w="80" w:type="dxa"/>
            <w:vAlign w:val="bottom"/>
          </w:tcPr>
          <w:p>
            <w:pPr>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w w:val="98"/>
              </w:rPr>
              <w:t>538,205,048</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20"/>
                <w:szCs w:val="20"/>
                <w:color w:val="auto"/>
              </w:rPr>
            </w:pPr>
            <w:r>
              <w:rPr>
                <w:rFonts w:ascii="Arial" w:cs="Arial" w:eastAsia="Arial" w:hAnsi="Arial"/>
                <w:sz w:val="15"/>
                <w:szCs w:val="15"/>
                <w:color w:val="auto"/>
              </w:rPr>
              <w:t>Proceeds, before expenses, to selling stockholders</w:t>
            </w:r>
          </w:p>
        </w:tc>
        <w:tc>
          <w:tcPr>
            <w:tcW w:w="1900" w:type="dxa"/>
            <w:vAlign w:val="bottom"/>
            <w:gridSpan w:val="2"/>
          </w:tcPr>
          <w:p>
            <w:pPr>
              <w:ind w:left="180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20.0655</w:t>
            </w:r>
          </w:p>
        </w:tc>
        <w:tc>
          <w:tcPr>
            <w:tcW w:w="3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w w:val="98"/>
              </w:rPr>
              <w:t>184,152,952</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1500" w:hanging="250"/>
        <w:spacing w:after="0"/>
        <w:tabs>
          <w:tab w:leader="none" w:pos="150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“Underwriting (Conflicts of Interest)” for a description of the compensation payable to the underwriters.</w:t>
      </w:r>
    </w:p>
    <w:p>
      <w:pPr>
        <w:spacing w:after="0" w:line="76" w:lineRule="exact"/>
        <w:rPr>
          <w:sz w:val="24"/>
          <w:szCs w:val="24"/>
          <w:color w:val="auto"/>
        </w:rPr>
      </w:pPr>
    </w:p>
    <w:p>
      <w:pPr>
        <w:ind w:left="1260" w:right="299"/>
        <w:spacing w:after="0" w:line="280" w:lineRule="auto"/>
        <w:rPr>
          <w:sz w:val="20"/>
          <w:szCs w:val="20"/>
          <w:color w:val="auto"/>
        </w:rPr>
      </w:pPr>
      <w:r>
        <w:rPr>
          <w:rFonts w:ascii="Arial" w:cs="Arial" w:eastAsia="Arial" w:hAnsi="Arial"/>
          <w:sz w:val="14"/>
          <w:szCs w:val="14"/>
          <w:color w:val="auto"/>
        </w:rPr>
        <w:t>To the extent that the underwriters sell more than 36,000,000 shares of Class A common stock, the underwriters have the option to purchase up to an additional 5,400,000 shares from Dropbox, Inc. at the initial public offering price less the underwriting discount.</w:t>
      </w:r>
    </w:p>
    <w:p>
      <w:pPr>
        <w:spacing w:after="0" w:line="53"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The underwriters expect to deliver the shares against payment in New York, New York, on or about March 27, 2018.</w:t>
      </w:r>
    </w:p>
    <w:p>
      <w:pPr>
        <w:sectPr>
          <w:pgSz w:w="11900" w:h="16838" w:orient="portrait"/>
          <w:cols w:equalWidth="0" w:num="1">
            <w:col w:w="10219"/>
          </w:cols>
          <w:pgMar w:left="240" w:top="216" w:right="1440" w:bottom="1440" w:gutter="0" w:footer="0" w:header="0"/>
        </w:sectPr>
      </w:pPr>
    </w:p>
    <w:p>
      <w:pPr>
        <w:spacing w:after="0" w:line="362" w:lineRule="exact"/>
        <w:rPr>
          <w:sz w:val="24"/>
          <w:szCs w:val="24"/>
          <w:color w:val="auto"/>
        </w:rPr>
      </w:pPr>
    </w:p>
    <w:p>
      <w:pPr>
        <w:ind w:left="1260"/>
        <w:spacing w:after="0"/>
        <w:tabs>
          <w:tab w:leader="none" w:pos="3560" w:val="left"/>
          <w:tab w:leader="none" w:pos="4700" w:val="left"/>
          <w:tab w:leader="none" w:pos="6880" w:val="left"/>
        </w:tabs>
        <w:rPr>
          <w:sz w:val="20"/>
          <w:szCs w:val="20"/>
          <w:color w:val="auto"/>
        </w:rPr>
      </w:pPr>
      <w:r>
        <w:rPr>
          <w:rFonts w:ascii="Arial" w:cs="Arial" w:eastAsia="Arial" w:hAnsi="Arial"/>
          <w:sz w:val="15"/>
          <w:szCs w:val="15"/>
          <w:b w:val="1"/>
          <w:bCs w:val="1"/>
          <w:color w:val="auto"/>
        </w:rPr>
        <w:t>Goldman Sachs &amp; Co. LLC</w:t>
      </w:r>
      <w:r>
        <w:rPr>
          <w:sz w:val="20"/>
          <w:szCs w:val="20"/>
          <w:color w:val="auto"/>
        </w:rPr>
        <w:tab/>
      </w:r>
      <w:r>
        <w:rPr>
          <w:rFonts w:ascii="Arial" w:cs="Arial" w:eastAsia="Arial" w:hAnsi="Arial"/>
          <w:sz w:val="15"/>
          <w:szCs w:val="15"/>
          <w:b w:val="1"/>
          <w:bCs w:val="1"/>
          <w:color w:val="auto"/>
        </w:rPr>
        <w:t>J.P. Morgan</w:t>
      </w:r>
      <w:r>
        <w:rPr>
          <w:sz w:val="20"/>
          <w:szCs w:val="20"/>
          <w:color w:val="auto"/>
        </w:rPr>
        <w:tab/>
      </w:r>
      <w:r>
        <w:rPr>
          <w:rFonts w:ascii="Arial" w:cs="Arial" w:eastAsia="Arial" w:hAnsi="Arial"/>
          <w:sz w:val="15"/>
          <w:szCs w:val="15"/>
          <w:b w:val="1"/>
          <w:bCs w:val="1"/>
          <w:color w:val="auto"/>
        </w:rPr>
        <w:t>Deutsche Bank Securities</w:t>
      </w:r>
      <w:r>
        <w:rPr>
          <w:sz w:val="20"/>
          <w:szCs w:val="20"/>
          <w:color w:val="auto"/>
        </w:rPr>
        <w:tab/>
      </w:r>
      <w:r>
        <w:rPr>
          <w:rFonts w:ascii="Arial" w:cs="Arial" w:eastAsia="Arial" w:hAnsi="Arial"/>
          <w:sz w:val="15"/>
          <w:szCs w:val="15"/>
          <w:b w:val="1"/>
          <w:bCs w:val="1"/>
          <w:color w:val="auto"/>
        </w:rPr>
        <w:t>Allen &amp; Company LLC</w:t>
      </w:r>
    </w:p>
    <w:p>
      <w:pPr>
        <w:spacing w:after="0" w:line="11" w:lineRule="exact"/>
        <w:rPr>
          <w:sz w:val="24"/>
          <w:szCs w:val="24"/>
          <w:color w:val="auto"/>
        </w:rPr>
      </w:pPr>
    </w:p>
    <w:p>
      <w:pPr>
        <w:ind w:left="3480"/>
        <w:spacing w:after="0"/>
        <w:tabs>
          <w:tab w:leader="none" w:pos="5460" w:val="left"/>
          <w:tab w:leader="none" w:pos="6640" w:val="left"/>
        </w:tabs>
        <w:rPr>
          <w:sz w:val="20"/>
          <w:szCs w:val="20"/>
          <w:color w:val="auto"/>
        </w:rPr>
      </w:pPr>
      <w:r>
        <w:rPr>
          <w:rFonts w:ascii="Arial" w:cs="Arial" w:eastAsia="Arial" w:hAnsi="Arial"/>
          <w:sz w:val="15"/>
          <w:szCs w:val="15"/>
          <w:b w:val="1"/>
          <w:bCs w:val="1"/>
          <w:color w:val="auto"/>
        </w:rPr>
        <w:t>RBC Capital Markets</w:t>
      </w:r>
      <w:r>
        <w:rPr>
          <w:sz w:val="20"/>
          <w:szCs w:val="20"/>
          <w:color w:val="auto"/>
        </w:rPr>
        <w:tab/>
      </w:r>
      <w:r>
        <w:rPr>
          <w:rFonts w:ascii="Arial" w:cs="Arial" w:eastAsia="Arial" w:hAnsi="Arial"/>
          <w:sz w:val="15"/>
          <w:szCs w:val="15"/>
          <w:b w:val="1"/>
          <w:bCs w:val="1"/>
          <w:color w:val="auto"/>
        </w:rPr>
        <w:t>Jefferies</w:t>
      </w:r>
      <w:r>
        <w:rPr>
          <w:sz w:val="20"/>
          <w:szCs w:val="20"/>
          <w:color w:val="auto"/>
        </w:rPr>
        <w:tab/>
      </w:r>
      <w:r>
        <w:rPr>
          <w:rFonts w:ascii="Arial" w:cs="Arial" w:eastAsia="Arial" w:hAnsi="Arial"/>
          <w:sz w:val="14"/>
          <w:szCs w:val="14"/>
          <w:b w:val="1"/>
          <w:bCs w:val="1"/>
          <w:color w:val="auto"/>
        </w:rPr>
        <w:t>Macquarie Capital</w:t>
      </w:r>
    </w:p>
    <w:p>
      <w:pPr>
        <w:ind w:left="2580"/>
        <w:spacing w:after="0"/>
        <w:tabs>
          <w:tab w:leader="none" w:pos="4560" w:val="left"/>
          <w:tab w:leader="none" w:pos="5880" w:val="left"/>
          <w:tab w:leader="none" w:pos="7900" w:val="left"/>
        </w:tabs>
        <w:rPr>
          <w:sz w:val="20"/>
          <w:szCs w:val="20"/>
          <w:color w:val="auto"/>
        </w:rPr>
      </w:pPr>
      <w:r>
        <w:rPr>
          <w:rFonts w:ascii="Arial" w:cs="Arial" w:eastAsia="Arial" w:hAnsi="Arial"/>
          <w:sz w:val="15"/>
          <w:szCs w:val="15"/>
          <w:b w:val="1"/>
          <w:bCs w:val="1"/>
          <w:color w:val="auto"/>
        </w:rPr>
        <w:t>Canaccord Genuity</w:t>
      </w:r>
      <w:r>
        <w:rPr>
          <w:sz w:val="20"/>
          <w:szCs w:val="20"/>
          <w:color w:val="auto"/>
        </w:rPr>
        <w:tab/>
      </w:r>
      <w:r>
        <w:rPr>
          <w:rFonts w:ascii="Arial" w:cs="Arial" w:eastAsia="Arial" w:hAnsi="Arial"/>
          <w:sz w:val="15"/>
          <w:szCs w:val="15"/>
          <w:b w:val="1"/>
          <w:bCs w:val="1"/>
          <w:color w:val="auto"/>
        </w:rPr>
        <w:t>JMP Securities</w:t>
      </w:r>
      <w:r>
        <w:rPr>
          <w:sz w:val="20"/>
          <w:szCs w:val="20"/>
          <w:color w:val="auto"/>
        </w:rPr>
        <w:tab/>
      </w:r>
      <w:r>
        <w:rPr>
          <w:rFonts w:ascii="Arial" w:cs="Arial" w:eastAsia="Arial" w:hAnsi="Arial"/>
          <w:sz w:val="15"/>
          <w:szCs w:val="15"/>
          <w:b w:val="1"/>
          <w:bCs w:val="1"/>
          <w:color w:val="auto"/>
        </w:rPr>
        <w:t>KeyBanc Capital Markets</w:t>
        <w:tab/>
        <w:t>Piper Jaffray</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BofA Merrill Lynch</w:t>
      </w:r>
    </w:p>
    <w:p>
      <w:pPr>
        <w:spacing w:after="0" w:line="407" w:lineRule="exact"/>
        <w:rPr>
          <w:sz w:val="24"/>
          <w:szCs w:val="24"/>
          <w:color w:val="auto"/>
        </w:rPr>
      </w:pPr>
    </w:p>
    <w:p>
      <w:pPr>
        <w:sectPr>
          <w:pgSz w:w="11900" w:h="16838" w:orient="portrait"/>
          <w:cols w:equalWidth="0" w:num="2">
            <w:col w:w="8840" w:space="0"/>
            <w:col w:w="1379"/>
          </w:cols>
          <w:pgMar w:left="240" w:top="216" w:right="1440" w:bottom="1440" w:gutter="0" w:footer="0" w:header="0"/>
          <w:type w:val="continuous"/>
        </w:sectPr>
      </w:pPr>
    </w:p>
    <w:p>
      <w:pPr>
        <w:ind w:left="1260"/>
        <w:spacing w:after="0"/>
        <w:rPr>
          <w:sz w:val="20"/>
          <w:szCs w:val="20"/>
          <w:color w:val="auto"/>
        </w:rPr>
      </w:pPr>
      <w:r>
        <w:rPr>
          <w:rFonts w:ascii="Arial" w:cs="Arial" w:eastAsia="Arial" w:hAnsi="Arial"/>
          <w:sz w:val="12"/>
          <w:szCs w:val="12"/>
          <w:b w:val="1"/>
          <w:bCs w:val="1"/>
          <w:color w:val="auto"/>
        </w:rPr>
        <w:t>Prospectus dated March 22, 2018</w:t>
      </w:r>
    </w:p>
    <w:p>
      <w:pPr>
        <w:sectPr>
          <w:pgSz w:w="11900" w:h="16838" w:orient="portrait"/>
          <w:cols w:equalWidth="0" w:num="1">
            <w:col w:w="10219"/>
          </w:cols>
          <w:pgMar w:left="240" w:top="216" w:right="1440" w:bottom="1440" w:gutter="0" w:footer="0" w:header="0"/>
          <w:type w:val="continuous"/>
        </w:sectPr>
      </w:pPr>
    </w:p>
    <w:bookmarkStart w:id="1" w:name="page2"/>
    <w:bookmarkEnd w:id="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186055</wp:posOffset>
            </wp:positionV>
            <wp:extent cx="4554855" cy="630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4855" cy="630237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6302375" cy="4297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2375" cy="429704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186055</wp:posOffset>
            </wp:positionV>
            <wp:extent cx="4619625" cy="6015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19625" cy="6015990"/>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rPr>
              <w:t>TABLE OF CONTENTS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w w:val="85"/>
              </w:rPr>
              <w:t>Prospectus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80" w:type="dxa"/>
            <w:vAlign w:val="bottom"/>
            <w:gridSpan w:val="25"/>
            <w:vMerge w:val="restart"/>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Prospectus Summary</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7"/>
        </w:trPr>
        <w:tc>
          <w:tcPr>
            <w:tcW w:w="8880" w:type="dxa"/>
            <w:vAlign w:val="bottom"/>
            <w:gridSpan w:val="25"/>
            <w:vMerge w:val="continue"/>
          </w:tcPr>
          <w:p>
            <w:pPr>
              <w:spacing w:after="0"/>
              <w:rPr>
                <w:sz w:val="11"/>
                <w:szCs w:val="11"/>
                <w:color w:val="auto"/>
              </w:rPr>
            </w:pPr>
          </w:p>
        </w:tc>
        <w:tc>
          <w:tcPr>
            <w:tcW w:w="280" w:type="dxa"/>
            <w:vAlign w:val="bottom"/>
          </w:tcPr>
          <w:p>
            <w:pPr>
              <w:jc w:val="right"/>
              <w:spacing w:after="0" w:line="11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1260" w:type="dxa"/>
            <w:vAlign w:val="bottom"/>
            <w:tcBorders>
              <w:top w:val="single" w:sz="8" w:color="0000EE"/>
            </w:tcBorders>
            <w:gridSpan w:val="10"/>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Risk Factors</w:t>
              </w:r>
            </w:hyperlink>
          </w:p>
        </w:tc>
        <w:tc>
          <w:tcPr>
            <w:tcW w:w="7620" w:type="dxa"/>
            <w:vAlign w:val="bottom"/>
            <w:gridSpan w:val="15"/>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40" w:type="dxa"/>
            <w:vAlign w:val="bottom"/>
            <w:tcBorders>
              <w:bottom w:val="single" w:sz="8" w:color="0000EE"/>
            </w:tcBorders>
            <w:gridSpan w:val="21"/>
          </w:tcPr>
          <w:p>
            <w:pPr>
              <w:spacing w:after="0" w:line="161" w:lineRule="exact"/>
              <w:rPr>
                <w:rFonts w:ascii="Arial" w:cs="Arial" w:eastAsia="Arial" w:hAnsi="Arial"/>
                <w:sz w:val="15"/>
                <w:szCs w:val="15"/>
                <w:color w:val="0000EE"/>
                <w:w w:val="90"/>
              </w:rPr>
            </w:pPr>
            <w:hyperlink w:anchor="page52">
              <w:r>
                <w:rPr>
                  <w:rFonts w:ascii="Arial" w:cs="Arial" w:eastAsia="Arial" w:hAnsi="Arial"/>
                  <w:sz w:val="15"/>
                  <w:szCs w:val="15"/>
                  <w:color w:val="0000EE"/>
                  <w:w w:val="90"/>
                </w:rPr>
                <w:t>Special Note Regarding Forward-Looking Statements</w:t>
              </w:r>
            </w:hyperlink>
          </w:p>
        </w:tc>
        <w:tc>
          <w:tcPr>
            <w:tcW w:w="5640" w:type="dxa"/>
            <w:vAlign w:val="bottom"/>
            <w:gridSpan w:val="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54">
              <w:r>
                <w:rPr>
                  <w:rFonts w:ascii="Arial" w:cs="Arial" w:eastAsia="Arial" w:hAnsi="Arial"/>
                  <w:sz w:val="15"/>
                  <w:szCs w:val="15"/>
                  <w:color w:val="0000EE"/>
                </w:rPr>
                <w:t>Industry And Market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0"/>
        </w:trPr>
        <w:tc>
          <w:tcPr>
            <w:tcW w:w="1580" w:type="dxa"/>
            <w:vAlign w:val="bottom"/>
            <w:tcBorders>
              <w:top w:val="single" w:sz="8" w:color="0000EE"/>
            </w:tcBorders>
            <w:gridSpan w:val="12"/>
          </w:tcPr>
          <w:p>
            <w:pPr>
              <w:spacing w:after="0" w:line="161" w:lineRule="exact"/>
              <w:rPr>
                <w:rFonts w:ascii="Arial" w:cs="Arial" w:eastAsia="Arial" w:hAnsi="Arial"/>
                <w:sz w:val="15"/>
                <w:szCs w:val="15"/>
                <w:color w:val="0000EE"/>
              </w:rPr>
            </w:pPr>
            <w:hyperlink w:anchor="page55">
              <w:r>
                <w:rPr>
                  <w:rFonts w:ascii="Arial" w:cs="Arial" w:eastAsia="Arial" w:hAnsi="Arial"/>
                  <w:sz w:val="15"/>
                  <w:szCs w:val="15"/>
                  <w:color w:val="0000EE"/>
                </w:rPr>
                <w:t>Use of Proceeds</w:t>
              </w:r>
            </w:hyperlink>
          </w:p>
        </w:tc>
        <w:tc>
          <w:tcPr>
            <w:tcW w:w="7300" w:type="dxa"/>
            <w:vAlign w:val="bottom"/>
            <w:gridSpan w:val="1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Borders>
              <w:bottom w:val="single" w:sz="8" w:color="0000EE"/>
            </w:tcBorders>
            <w:gridSpan w:val="9"/>
          </w:tcPr>
          <w:p>
            <w:pPr>
              <w:spacing w:after="0" w:line="161" w:lineRule="exact"/>
              <w:rPr>
                <w:rFonts w:ascii="Arial" w:cs="Arial" w:eastAsia="Arial" w:hAnsi="Arial"/>
                <w:sz w:val="15"/>
                <w:szCs w:val="15"/>
                <w:color w:val="0000EE"/>
                <w:w w:val="93"/>
              </w:rPr>
            </w:pPr>
            <w:hyperlink w:anchor="page56">
              <w:r>
                <w:rPr>
                  <w:rFonts w:ascii="Arial" w:cs="Arial" w:eastAsia="Arial" w:hAnsi="Arial"/>
                  <w:sz w:val="15"/>
                  <w:szCs w:val="15"/>
                  <w:color w:val="0000EE"/>
                  <w:w w:val="93"/>
                </w:rPr>
                <w:t>Dividend Policy</w:t>
              </w:r>
            </w:hyperlink>
          </w:p>
        </w:tc>
        <w:tc>
          <w:tcPr>
            <w:tcW w:w="7900" w:type="dxa"/>
            <w:vAlign w:val="bottom"/>
            <w:gridSpan w:val="1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0"/>
        </w:trPr>
        <w:tc>
          <w:tcPr>
            <w:tcW w:w="860" w:type="dxa"/>
            <w:vAlign w:val="bottom"/>
            <w:tcBorders>
              <w:bottom w:val="single" w:sz="8" w:color="0000EE"/>
            </w:tcBorders>
            <w:gridSpan w:val="7"/>
          </w:tcPr>
          <w:p>
            <w:pPr>
              <w:spacing w:after="0" w:line="161" w:lineRule="exact"/>
              <w:rPr>
                <w:rFonts w:ascii="Arial" w:cs="Arial" w:eastAsia="Arial" w:hAnsi="Arial"/>
                <w:sz w:val="15"/>
                <w:szCs w:val="15"/>
                <w:color w:val="0000EE"/>
                <w:w w:val="93"/>
              </w:rPr>
            </w:pPr>
            <w:hyperlink w:anchor="page57">
              <w:r>
                <w:rPr>
                  <w:rFonts w:ascii="Arial" w:cs="Arial" w:eastAsia="Arial" w:hAnsi="Arial"/>
                  <w:sz w:val="15"/>
                  <w:szCs w:val="15"/>
                  <w:color w:val="0000EE"/>
                  <w:w w:val="93"/>
                </w:rPr>
                <w:t>Capitalization</w:t>
              </w:r>
            </w:hyperlink>
          </w:p>
        </w:tc>
        <w:tc>
          <w:tcPr>
            <w:tcW w:w="8020" w:type="dxa"/>
            <w:vAlign w:val="bottom"/>
            <w:gridSpan w:val="1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0"/>
        </w:trPr>
        <w:tc>
          <w:tcPr>
            <w:tcW w:w="500" w:type="dxa"/>
            <w:vAlign w:val="bottom"/>
            <w:tcBorders>
              <w:bottom w:val="single" w:sz="8" w:color="0000EE"/>
            </w:tcBorders>
            <w:gridSpan w:val="2"/>
          </w:tcPr>
          <w:p>
            <w:pPr>
              <w:spacing w:after="0" w:line="161" w:lineRule="exact"/>
              <w:rPr>
                <w:rFonts w:ascii="Arial" w:cs="Arial" w:eastAsia="Arial" w:hAnsi="Arial"/>
                <w:sz w:val="15"/>
                <w:szCs w:val="15"/>
                <w:color w:val="0000EE"/>
                <w:w w:val="95"/>
              </w:rPr>
            </w:pPr>
            <w:hyperlink w:anchor="page61">
              <w:r>
                <w:rPr>
                  <w:rFonts w:ascii="Arial" w:cs="Arial" w:eastAsia="Arial" w:hAnsi="Arial"/>
                  <w:sz w:val="15"/>
                  <w:szCs w:val="15"/>
                  <w:color w:val="0000EE"/>
                  <w:w w:val="95"/>
                </w:rPr>
                <w:t>Dilution</w:t>
              </w:r>
            </w:hyperlink>
          </w:p>
        </w:tc>
        <w:tc>
          <w:tcPr>
            <w:tcW w:w="8380" w:type="dxa"/>
            <w:vAlign w:val="bottom"/>
            <w:gridSpan w:val="2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5">
              <w:r>
                <w:rPr>
                  <w:rFonts w:ascii="Arial" w:cs="Arial" w:eastAsia="Arial" w:hAnsi="Arial"/>
                  <w:sz w:val="15"/>
                  <w:szCs w:val="15"/>
                  <w:color w:val="0000EE"/>
                </w:rPr>
                <w:t>Selected Consolidated Financial and Other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7">
              <w:r>
                <w:rPr>
                  <w:rFonts w:ascii="Arial" w:cs="Arial" w:eastAsia="Arial" w:hAnsi="Arial"/>
                  <w:sz w:val="15"/>
                  <w:szCs w:val="15"/>
                  <w:color w:val="0000EE"/>
                </w:rPr>
                <w:t>Management’s Discussion and Analysis of Financial Condition and Results of Operations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0"/>
        </w:trPr>
        <w:tc>
          <w:tcPr>
            <w:tcW w:w="5380" w:type="dxa"/>
            <w:vAlign w:val="bottom"/>
            <w:tcBorders>
              <w:top w:val="single" w:sz="8" w:color="0000EE"/>
            </w:tcBorders>
            <w:gridSpan w:val="23"/>
          </w:tcPr>
          <w:p>
            <w:pPr>
              <w:spacing w:after="0" w:line="161" w:lineRule="exact"/>
              <w:rPr>
                <w:rFonts w:ascii="Arial" w:cs="Arial" w:eastAsia="Arial" w:hAnsi="Arial"/>
                <w:sz w:val="15"/>
                <w:szCs w:val="15"/>
                <w:color w:val="0000EE"/>
              </w:rPr>
            </w:pPr>
            <w:hyperlink w:anchor="page102">
              <w:r>
                <w:rPr>
                  <w:rFonts w:ascii="Arial" w:cs="Arial" w:eastAsia="Arial" w:hAnsi="Arial"/>
                  <w:sz w:val="15"/>
                  <w:szCs w:val="15"/>
                  <w:color w:val="0000EE"/>
                </w:rPr>
                <w:t>A Letter from Drew &amp; Arash</w:t>
              </w:r>
            </w:hyperlink>
          </w:p>
        </w:tc>
        <w:tc>
          <w:tcPr>
            <w:tcW w:w="3500" w:type="dxa"/>
            <w:vAlign w:val="bottom"/>
            <w:gridSpan w:val="2"/>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w:anchor="page107">
              <w:r>
                <w:rPr>
                  <w:rFonts w:ascii="Arial" w:cs="Arial" w:eastAsia="Arial" w:hAnsi="Arial"/>
                  <w:sz w:val="15"/>
                  <w:szCs w:val="15"/>
                  <w:color w:val="0000EE"/>
                </w:rPr>
                <w:t>Business</w:t>
              </w:r>
            </w:hyperlink>
          </w:p>
        </w:tc>
        <w:tc>
          <w:tcPr>
            <w:tcW w:w="7140" w:type="dxa"/>
            <w:vAlign w:val="bottom"/>
            <w:gridSpan w:val="11"/>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tcBorders>
              <w:bottom w:val="single" w:sz="8" w:color="0000EE"/>
            </w:tcBorders>
            <w:gridSpan w:val="5"/>
          </w:tcPr>
          <w:p>
            <w:pPr>
              <w:spacing w:after="0" w:line="161" w:lineRule="exact"/>
              <w:rPr>
                <w:rFonts w:ascii="Arial" w:cs="Arial" w:eastAsia="Arial" w:hAnsi="Arial"/>
                <w:sz w:val="15"/>
                <w:szCs w:val="15"/>
                <w:color w:val="0000EE"/>
                <w:w w:val="86"/>
              </w:rPr>
            </w:pPr>
            <w:hyperlink w:anchor="page143">
              <w:r>
                <w:rPr>
                  <w:rFonts w:ascii="Arial" w:cs="Arial" w:eastAsia="Arial" w:hAnsi="Arial"/>
                  <w:sz w:val="15"/>
                  <w:szCs w:val="15"/>
                  <w:color w:val="0000EE"/>
                  <w:w w:val="86"/>
                </w:rPr>
                <w:t>Management</w:t>
              </w:r>
            </w:hyperlink>
          </w:p>
        </w:tc>
        <w:tc>
          <w:tcPr>
            <w:tcW w:w="8100" w:type="dxa"/>
            <w:vAlign w:val="bottom"/>
            <w:gridSpan w:val="20"/>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0"/>
        </w:trPr>
        <w:tc>
          <w:tcPr>
            <w:tcW w:w="1500" w:type="dxa"/>
            <w:vAlign w:val="bottom"/>
            <w:tcBorders>
              <w:bottom w:val="single" w:sz="8" w:color="0000EE"/>
            </w:tcBorders>
            <w:gridSpan w:val="11"/>
          </w:tcPr>
          <w:p>
            <w:pPr>
              <w:spacing w:after="0" w:line="161" w:lineRule="exact"/>
              <w:rPr>
                <w:rFonts w:ascii="Arial" w:cs="Arial" w:eastAsia="Arial" w:hAnsi="Arial"/>
                <w:sz w:val="15"/>
                <w:szCs w:val="15"/>
                <w:color w:val="0000EE"/>
                <w:w w:val="89"/>
              </w:rPr>
            </w:pPr>
            <w:hyperlink w:anchor="page152">
              <w:r>
                <w:rPr>
                  <w:rFonts w:ascii="Arial" w:cs="Arial" w:eastAsia="Arial" w:hAnsi="Arial"/>
                  <w:sz w:val="15"/>
                  <w:szCs w:val="15"/>
                  <w:color w:val="0000EE"/>
                  <w:w w:val="89"/>
                </w:rPr>
                <w:t>Executive Compensation</w:t>
              </w:r>
            </w:hyperlink>
          </w:p>
        </w:tc>
        <w:tc>
          <w:tcPr>
            <w:tcW w:w="7380" w:type="dxa"/>
            <w:vAlign w:val="bottom"/>
            <w:gridSpan w:val="1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67">
              <w:r>
                <w:rPr>
                  <w:rFonts w:ascii="Arial" w:cs="Arial" w:eastAsia="Arial" w:hAnsi="Arial"/>
                  <w:sz w:val="15"/>
                  <w:szCs w:val="15"/>
                  <w:color w:val="0000EE"/>
                </w:rPr>
                <w:t>Certain Relationships, Related Party Transactions, and Other Transactions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0"/>
        </w:trPr>
        <w:tc>
          <w:tcPr>
            <w:tcW w:w="2080" w:type="dxa"/>
            <w:vAlign w:val="bottom"/>
            <w:tcBorders>
              <w:top w:val="single" w:sz="8" w:color="0000EE"/>
              <w:bottom w:val="single" w:sz="8" w:color="0000EE"/>
            </w:tcBorders>
            <w:gridSpan w:val="16"/>
          </w:tcPr>
          <w:p>
            <w:pPr>
              <w:spacing w:after="0" w:line="161" w:lineRule="exact"/>
              <w:rPr>
                <w:rFonts w:ascii="Arial" w:cs="Arial" w:eastAsia="Arial" w:hAnsi="Arial"/>
                <w:sz w:val="15"/>
                <w:szCs w:val="15"/>
                <w:color w:val="0000EE"/>
                <w:w w:val="90"/>
              </w:rPr>
            </w:pPr>
            <w:hyperlink w:anchor="page171">
              <w:r>
                <w:rPr>
                  <w:rFonts w:ascii="Arial" w:cs="Arial" w:eastAsia="Arial" w:hAnsi="Arial"/>
                  <w:sz w:val="15"/>
                  <w:szCs w:val="15"/>
                  <w:color w:val="0000EE"/>
                  <w:w w:val="90"/>
                </w:rPr>
                <w:t>Principal and Selling Stockholders</w:t>
              </w:r>
            </w:hyperlink>
          </w:p>
        </w:tc>
        <w:tc>
          <w:tcPr>
            <w:tcW w:w="2360" w:type="dxa"/>
            <w:vAlign w:val="bottom"/>
            <w:tcBorders>
              <w:top w:val="single" w:sz="8" w:color="0000EE"/>
            </w:tcBorders>
            <w:gridSpan w:val="6"/>
          </w:tcPr>
          <w:p>
            <w:pPr>
              <w:spacing w:after="0"/>
              <w:rPr>
                <w:sz w:val="13"/>
                <w:szCs w:val="13"/>
                <w:color w:val="auto"/>
              </w:rPr>
            </w:pPr>
          </w:p>
        </w:tc>
        <w:tc>
          <w:tcPr>
            <w:tcW w:w="4440" w:type="dxa"/>
            <w:vAlign w:val="bottom"/>
            <w:gridSpan w:val="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75">
              <w:r>
                <w:rPr>
                  <w:rFonts w:ascii="Arial" w:cs="Arial" w:eastAsia="Arial" w:hAnsi="Arial"/>
                  <w:sz w:val="15"/>
                  <w:szCs w:val="15"/>
                  <w:color w:val="0000EE"/>
                </w:rPr>
                <w:t>Description of Capital Stock</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84">
              <w:r>
                <w:rPr>
                  <w:rFonts w:ascii="Arial" w:cs="Arial" w:eastAsia="Arial" w:hAnsi="Arial"/>
                  <w:sz w:val="15"/>
                  <w:szCs w:val="15"/>
                  <w:color w:val="0000EE"/>
                </w:rPr>
                <w:t>Shares Eligible for Future Sale</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40" w:type="dxa"/>
            <w:vAlign w:val="bottom"/>
            <w:tcBorders>
              <w:bottom w:val="single" w:sz="8" w:color="0000EE"/>
            </w:tcBorders>
            <w:gridSpan w:val="24"/>
          </w:tcPr>
          <w:p>
            <w:pPr>
              <w:spacing w:after="0" w:line="161" w:lineRule="exact"/>
              <w:rPr>
                <w:rFonts w:ascii="Arial" w:cs="Arial" w:eastAsia="Arial" w:hAnsi="Arial"/>
                <w:sz w:val="15"/>
                <w:szCs w:val="15"/>
                <w:color w:val="0000EE"/>
                <w:w w:val="90"/>
              </w:rPr>
            </w:pPr>
            <w:hyperlink w:anchor="page187">
              <w:r>
                <w:rPr>
                  <w:rFonts w:ascii="Arial" w:cs="Arial" w:eastAsia="Arial" w:hAnsi="Arial"/>
                  <w:sz w:val="15"/>
                  <w:szCs w:val="15"/>
                  <w:color w:val="0000EE"/>
                  <w:w w:val="90"/>
                </w:rPr>
                <w:t>Material U.S. Federal Income Tax Consequences to Non-U.S. Holders of Our Class A Common Stock</w:t>
              </w:r>
            </w:hyperlink>
          </w:p>
        </w:tc>
        <w:tc>
          <w:tcPr>
            <w:tcW w:w="2740" w:type="dxa"/>
            <w:vAlign w:val="bottom"/>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91">
              <w:r>
                <w:rPr>
                  <w:rFonts w:ascii="Arial" w:cs="Arial" w:eastAsia="Arial" w:hAnsi="Arial"/>
                  <w:sz w:val="15"/>
                  <w:szCs w:val="15"/>
                  <w:color w:val="0000EE"/>
                </w:rPr>
                <w:t>Underwriting (Conflicts of Interest)</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0"/>
        </w:trPr>
        <w:tc>
          <w:tcPr>
            <w:tcW w:w="1840" w:type="dxa"/>
            <w:vAlign w:val="bottom"/>
            <w:tcBorders>
              <w:top w:val="single" w:sz="8" w:color="0000EE"/>
              <w:bottom w:val="single" w:sz="8" w:color="0000EE"/>
            </w:tcBorders>
            <w:gridSpan w:val="15"/>
          </w:tcPr>
          <w:p>
            <w:pPr>
              <w:spacing w:after="0" w:line="161" w:lineRule="exact"/>
              <w:rPr>
                <w:rFonts w:ascii="Arial" w:cs="Arial" w:eastAsia="Arial" w:hAnsi="Arial"/>
                <w:sz w:val="15"/>
                <w:szCs w:val="15"/>
                <w:color w:val="0000EE"/>
                <w:w w:val="89"/>
              </w:rPr>
            </w:pPr>
            <w:hyperlink w:anchor="page201">
              <w:r>
                <w:rPr>
                  <w:rFonts w:ascii="Arial" w:cs="Arial" w:eastAsia="Arial" w:hAnsi="Arial"/>
                  <w:sz w:val="15"/>
                  <w:szCs w:val="15"/>
                  <w:color w:val="0000EE"/>
                  <w:w w:val="89"/>
                </w:rPr>
                <w:t>Concurrent Private Placement</w:t>
              </w:r>
            </w:hyperlink>
          </w:p>
        </w:tc>
        <w:tc>
          <w:tcPr>
            <w:tcW w:w="300" w:type="dxa"/>
            <w:vAlign w:val="bottom"/>
            <w:tcBorders>
              <w:top w:val="single" w:sz="8" w:color="0000EE"/>
            </w:tcBorders>
            <w:gridSpan w:val="2"/>
          </w:tcPr>
          <w:p>
            <w:pPr>
              <w:spacing w:after="0"/>
              <w:rPr>
                <w:sz w:val="13"/>
                <w:szCs w:val="13"/>
                <w:color w:val="auto"/>
              </w:rPr>
            </w:pPr>
          </w:p>
        </w:tc>
        <w:tc>
          <w:tcPr>
            <w:tcW w:w="6740" w:type="dxa"/>
            <w:vAlign w:val="bottom"/>
            <w:gridSpan w:val="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4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1">
              <w:r>
                <w:rPr>
                  <w:rFonts w:ascii="Arial" w:cs="Arial" w:eastAsia="Arial" w:hAnsi="Arial"/>
                  <w:sz w:val="15"/>
                  <w:szCs w:val="15"/>
                  <w:color w:val="0000EE"/>
                  <w:w w:val="90"/>
                </w:rPr>
                <w:t>Legal Matters</w:t>
              </w:r>
            </w:hyperlink>
          </w:p>
        </w:tc>
        <w:tc>
          <w:tcPr>
            <w:tcW w:w="8040" w:type="dxa"/>
            <w:vAlign w:val="bottom"/>
            <w:gridSpan w:val="19"/>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460" w:type="dxa"/>
            <w:vAlign w:val="bottom"/>
            <w:tcBorders>
              <w:bottom w:val="single" w:sz="8" w:color="0000EE"/>
            </w:tcBorders>
          </w:tcPr>
          <w:p>
            <w:pPr>
              <w:spacing w:after="0" w:line="161" w:lineRule="exact"/>
              <w:rPr>
                <w:rFonts w:ascii="Arial" w:cs="Arial" w:eastAsia="Arial" w:hAnsi="Arial"/>
                <w:sz w:val="15"/>
                <w:szCs w:val="15"/>
                <w:color w:val="0000EE"/>
                <w:w w:val="86"/>
              </w:rPr>
            </w:pPr>
            <w:hyperlink w:anchor="page201">
              <w:r>
                <w:rPr>
                  <w:rFonts w:ascii="Arial" w:cs="Arial" w:eastAsia="Arial" w:hAnsi="Arial"/>
                  <w:sz w:val="15"/>
                  <w:szCs w:val="15"/>
                  <w:color w:val="0000EE"/>
                  <w:w w:val="86"/>
                </w:rPr>
                <w:t>Experts</w:t>
              </w:r>
            </w:hyperlink>
          </w:p>
        </w:tc>
        <w:tc>
          <w:tcPr>
            <w:tcW w:w="8420" w:type="dxa"/>
            <w:vAlign w:val="bottom"/>
            <w:gridSpan w:val="2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201">
              <w:r>
                <w:rPr>
                  <w:rFonts w:ascii="Arial" w:cs="Arial" w:eastAsia="Arial" w:hAnsi="Arial"/>
                  <w:sz w:val="15"/>
                  <w:szCs w:val="15"/>
                  <w:color w:val="0000EE"/>
                </w:rPr>
                <w:t>Where You Can Find Additional Information</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2620" w:type="dxa"/>
            <w:vAlign w:val="bottom"/>
            <w:tcBorders>
              <w:top w:val="single" w:sz="8" w:color="0000EE"/>
              <w:bottom w:val="single" w:sz="8" w:color="0000EE"/>
            </w:tcBorders>
            <w:gridSpan w:val="18"/>
          </w:tcPr>
          <w:p>
            <w:pPr>
              <w:spacing w:after="0" w:line="161" w:lineRule="exact"/>
              <w:rPr>
                <w:rFonts w:ascii="Arial" w:cs="Arial" w:eastAsia="Arial" w:hAnsi="Arial"/>
                <w:sz w:val="15"/>
                <w:szCs w:val="15"/>
                <w:color w:val="0000EE"/>
                <w:w w:val="89"/>
              </w:rPr>
            </w:pPr>
            <w:hyperlink w:anchor="page203">
              <w:r>
                <w:rPr>
                  <w:rFonts w:ascii="Arial" w:cs="Arial" w:eastAsia="Arial" w:hAnsi="Arial"/>
                  <w:sz w:val="15"/>
                  <w:szCs w:val="15"/>
                  <w:color w:val="0000EE"/>
                  <w:w w:val="89"/>
                </w:rPr>
                <w:t>Index to Consolidated Financial Statements</w:t>
              </w:r>
            </w:hyperlink>
          </w:p>
        </w:tc>
        <w:tc>
          <w:tcPr>
            <w:tcW w:w="80" w:type="dxa"/>
            <w:vAlign w:val="bottom"/>
            <w:tcBorders>
              <w:top w:val="single" w:sz="8" w:color="0000EE"/>
            </w:tcBorders>
          </w:tcPr>
          <w:p>
            <w:pPr>
              <w:spacing w:after="0"/>
              <w:rPr>
                <w:sz w:val="13"/>
                <w:szCs w:val="13"/>
                <w:color w:val="auto"/>
              </w:rPr>
            </w:pPr>
          </w:p>
        </w:tc>
        <w:tc>
          <w:tcPr>
            <w:tcW w:w="6180" w:type="dxa"/>
            <w:vAlign w:val="bottom"/>
            <w:gridSpan w:val="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207645</wp:posOffset>
            </wp:positionV>
            <wp:extent cx="12249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20" w:right="80" w:firstLine="368"/>
        <w:spacing w:after="0" w:line="293" w:lineRule="auto"/>
        <w:rPr>
          <w:sz w:val="20"/>
          <w:szCs w:val="20"/>
          <w:color w:val="auto"/>
        </w:rPr>
      </w:pPr>
      <w:r>
        <w:rPr>
          <w:rFonts w:ascii="Arial" w:cs="Arial" w:eastAsia="Arial" w:hAnsi="Arial"/>
          <w:sz w:val="14"/>
          <w:szCs w:val="14"/>
          <w:b w:val="1"/>
          <w:bCs w:val="1"/>
          <w:color w:val="auto"/>
        </w:rPr>
        <w:t>Through and including April 16,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165100</wp:posOffset>
            </wp:positionV>
            <wp:extent cx="12249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64"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0320"/>
          </w:cols>
          <w:pgMar w:left="240" w:top="407" w:right="13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82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9620" cy="4882515"/>
                    </a:xfrm>
                    <a:prstGeom prst="rect">
                      <a:avLst/>
                    </a:prstGeom>
                    <a:noFill/>
                  </pic:spPr>
                </pic:pic>
              </a:graphicData>
            </a:graphic>
          </wp:anchor>
        </w:drawing>
      </w: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PROSPECTUS SUMMARY</w:t>
      </w:r>
    </w:p>
    <w:p>
      <w:pPr>
        <w:spacing w:after="0" w:line="192" w:lineRule="exact"/>
        <w:rPr>
          <w:sz w:val="20"/>
          <w:szCs w:val="20"/>
          <w:color w:val="auto"/>
        </w:rPr>
      </w:pPr>
    </w:p>
    <w:p>
      <w:pPr>
        <w:ind w:left="1260" w:right="79" w:firstLine="356"/>
        <w:spacing w:after="0" w:line="255" w:lineRule="auto"/>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Class B common stock, and Class C common stock.</w:t>
      </w:r>
    </w:p>
    <w:p>
      <w:pPr>
        <w:spacing w:after="0" w:line="337"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260" w:right="359" w:firstLine="356"/>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ind w:left="1260" w:right="259" w:firstLine="356"/>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260" w:right="199" w:firstLine="356"/>
        <w:spacing w:after="0" w:line="290" w:lineRule="auto"/>
        <w:rPr>
          <w:sz w:val="20"/>
          <w:szCs w:val="20"/>
          <w:color w:val="auto"/>
        </w:rPr>
      </w:pPr>
      <w:r>
        <w:rPr>
          <w:rFonts w:ascii="Arial" w:cs="Arial" w:eastAsia="Arial" w:hAnsi="Arial"/>
          <w:sz w:val="14"/>
          <w:szCs w:val="14"/>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38"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260" w:right="259" w:firstLine="356"/>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260" w:right="279" w:firstLine="356"/>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260" w:right="159" w:firstLine="356"/>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19"/>
          </w:cols>
          <w:pgMar w:left="240" w:top="407" w:right="1440"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205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9620" cy="520509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260" w:right="79" w:firstLine="356"/>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commercial construction company shares blueprints with subcontractors on job sites and sends bids to prospective clients.</w:t>
      </w:r>
    </w:p>
    <w:p>
      <w:pPr>
        <w:spacing w:after="0" w:line="120" w:lineRule="exact"/>
        <w:rPr>
          <w:rFonts w:ascii="Arial" w:cs="Arial" w:eastAsia="Arial" w:hAnsi="Arial"/>
          <w:sz w:val="14"/>
          <w:szCs w:val="14"/>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260" w:right="519" w:firstLine="356"/>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ind w:left="1260" w:right="219" w:firstLine="356"/>
        <w:spacing w:after="0" w:line="322" w:lineRule="auto"/>
        <w:rPr>
          <w:sz w:val="20"/>
          <w:szCs w:val="20"/>
          <w:color w:val="auto"/>
        </w:rPr>
      </w:pPr>
      <w:r>
        <w:rPr>
          <w:rFonts w:ascii="Arial" w:cs="Arial" w:eastAsia="Arial" w:hAnsi="Arial"/>
          <w:sz w:val="13"/>
          <w:szCs w:val="13"/>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jc w:val="both"/>
        <w:ind w:left="1260" w:right="199" w:firstLine="356"/>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jc w:val="both"/>
        <w:ind w:left="1260" w:right="259" w:firstLine="356"/>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260" w:right="119" w:firstLine="356"/>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00" w:lineRule="exact"/>
        <w:rPr>
          <w:sz w:val="20"/>
          <w:szCs w:val="20"/>
          <w:color w:val="auto"/>
        </w:rPr>
      </w:pPr>
    </w:p>
    <w:p>
      <w:pPr>
        <w:spacing w:after="0" w:line="320"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19"/>
          </w:cols>
          <w:pgMar w:left="240" w:top="407"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40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9620" cy="540575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260" w:right="159" w:firstLine="356"/>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jc w:val="both"/>
        <w:ind w:left="1260" w:right="139" w:firstLine="356"/>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260" w:right="299" w:firstLine="356"/>
        <w:spacing w:after="0" w:line="259" w:lineRule="auto"/>
        <w:rPr>
          <w:sz w:val="20"/>
          <w:szCs w:val="20"/>
          <w:color w:val="auto"/>
        </w:rPr>
      </w:pPr>
      <w:r>
        <w:rPr>
          <w:rFonts w:ascii="Arial" w:cs="Arial" w:eastAsia="Arial" w:hAnsi="Arial"/>
          <w:sz w:val="15"/>
          <w:szCs w:val="15"/>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260" w:right="339" w:firstLine="356"/>
        <w:spacing w:after="0" w:line="354" w:lineRule="auto"/>
        <w:rPr>
          <w:sz w:val="20"/>
          <w:szCs w:val="20"/>
          <w:color w:val="auto"/>
        </w:rPr>
      </w:pPr>
      <w:r>
        <w:rPr>
          <w:rFonts w:ascii="Arial" w:cs="Arial" w:eastAsia="Arial" w:hAnsi="Arial"/>
          <w:sz w:val="13"/>
          <w:szCs w:val="13"/>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jc w:val="both"/>
        <w:ind w:left="1960" w:right="119" w:hanging="255"/>
        <w:spacing w:after="0" w:line="263" w:lineRule="auto"/>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Unified home for content. </w:t>
      </w:r>
      <w:r>
        <w:rPr>
          <w:rFonts w:ascii="Arial" w:cs="Arial" w:eastAsia="Arial" w:hAnsi="Arial"/>
          <w:sz w:val="15"/>
          <w:szCs w:val="15"/>
          <w:color w:val="auto"/>
        </w:rPr>
        <w:t>We provide a unified home for the world’s content and the relevant context around it. To date, our users have</w:t>
      </w:r>
      <w:r>
        <w:rPr>
          <w:rFonts w:ascii="Arial" w:cs="Arial" w:eastAsia="Arial" w:hAnsi="Arial"/>
          <w:sz w:val="15"/>
          <w:szCs w:val="15"/>
          <w:i w:val="1"/>
          <w:iCs w:val="1"/>
          <w:color w:val="auto"/>
        </w:rPr>
        <w:t xml:space="preserve"> </w:t>
      </w:r>
      <w:r>
        <w:rPr>
          <w:rFonts w:ascii="Arial" w:cs="Arial" w:eastAsia="Arial" w:hAnsi="Arial"/>
          <w:sz w:val="15"/>
          <w:szCs w:val="15"/>
          <w:color w:val="auto"/>
        </w:rPr>
        <w:t>added more than 400 billion pieces of content to Dropbox, totaling over an exabyte (more than 1,000,000,000 gigabytes) of data. When users join Dropbox, they gain</w:t>
      </w:r>
    </w:p>
    <w:p>
      <w:pPr>
        <w:spacing w:after="0" w:line="200" w:lineRule="exact"/>
        <w:rPr>
          <w:sz w:val="20"/>
          <w:szCs w:val="20"/>
          <w:color w:val="auto"/>
        </w:rPr>
      </w:pPr>
    </w:p>
    <w:p>
      <w:pPr>
        <w:spacing w:after="0" w:line="3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219"/>
          </w:cols>
          <w:pgMar w:left="240" w:top="407"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26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9620" cy="5126355"/>
                    </a:xfrm>
                    <a:prstGeom prst="rect">
                      <a:avLst/>
                    </a:prstGeom>
                    <a:noFill/>
                  </pic:spPr>
                </pic:pic>
              </a:graphicData>
            </a:graphic>
          </wp:anchor>
        </w:drawing>
      </w:r>
    </w:p>
    <w:p>
      <w:pPr>
        <w:spacing w:after="0" w:line="397" w:lineRule="exact"/>
        <w:rPr>
          <w:sz w:val="20"/>
          <w:szCs w:val="20"/>
          <w:color w:val="auto"/>
        </w:rPr>
      </w:pPr>
    </w:p>
    <w:p>
      <w:pPr>
        <w:ind w:left="1980" w:right="619"/>
        <w:spacing w:after="0" w:line="275" w:lineRule="auto"/>
        <w:rPr>
          <w:sz w:val="20"/>
          <w:szCs w:val="20"/>
          <w:color w:val="auto"/>
        </w:rPr>
      </w:pPr>
      <w:r>
        <w:rPr>
          <w:rFonts w:ascii="Arial" w:cs="Arial" w:eastAsia="Arial" w:hAnsi="Arial"/>
          <w:sz w:val="15"/>
          <w:szCs w:val="15"/>
          <w:color w:val="auto"/>
        </w:rPr>
        <w:t>access to a digital workspace that supports the full content lifecycle—they can create and organize their content, access it from anywhere, share it with internal and external collaborators, and review feedback and history.</w:t>
      </w:r>
    </w:p>
    <w:p>
      <w:pPr>
        <w:spacing w:after="0" w:line="67" w:lineRule="exact"/>
        <w:rPr>
          <w:sz w:val="20"/>
          <w:szCs w:val="20"/>
          <w:color w:val="auto"/>
        </w:rPr>
      </w:pPr>
    </w:p>
    <w:p>
      <w:pPr>
        <w:ind w:left="1960" w:right="159" w:hanging="255"/>
        <w:spacing w:after="0" w:line="259" w:lineRule="auto"/>
        <w:tabs>
          <w:tab w:leader="none" w:pos="19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w:t>
      </w:r>
      <w:r>
        <w:rPr>
          <w:rFonts w:ascii="Arial" w:cs="Arial" w:eastAsia="Arial" w:hAnsi="Arial"/>
          <w:sz w:val="15"/>
          <w:szCs w:val="15"/>
          <w:i w:val="1"/>
          <w:iCs w:val="1"/>
          <w:color w:val="auto"/>
        </w:rPr>
        <w:t xml:space="preserve"> </w:t>
      </w:r>
      <w:r>
        <w:rPr>
          <w:rFonts w:ascii="Arial" w:cs="Arial" w:eastAsia="Arial" w:hAnsi="Arial"/>
          <w:sz w:val="15"/>
          <w:szCs w:val="15"/>
          <w:color w:val="auto"/>
        </w:rPr>
        <w:t>shared 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ind w:left="1960" w:right="199" w:hanging="255"/>
        <w:spacing w:after="0" w:line="322" w:lineRule="auto"/>
        <w:tabs>
          <w:tab w:leader="none" w:pos="19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New product experiences. </w:t>
      </w:r>
      <w:r>
        <w:rPr>
          <w:rFonts w:ascii="Arial" w:cs="Arial" w:eastAsia="Arial" w:hAnsi="Arial"/>
          <w:sz w:val="13"/>
          <w:szCs w:val="13"/>
          <w:color w:val="auto"/>
        </w:rPr>
        <w:t>The insights we glean from our community of users lead us to develop new product experiences, like Paper,</w:t>
      </w:r>
      <w:r>
        <w:rPr>
          <w:rFonts w:ascii="Arial" w:cs="Arial" w:eastAsia="Arial" w:hAnsi="Arial"/>
          <w:sz w:val="13"/>
          <w:szCs w:val="13"/>
          <w:i w:val="1"/>
          <w:iCs w:val="1"/>
          <w:color w:val="auto"/>
        </w:rPr>
        <w:t xml:space="preserve"> </w:t>
      </w:r>
      <w:r>
        <w:rPr>
          <w:rFonts w:ascii="Arial" w:cs="Arial" w:eastAsia="Arial" w:hAnsi="Arial"/>
          <w:sz w:val="13"/>
          <w:szCs w:val="13"/>
          <w:color w:val="auto"/>
        </w:rPr>
        <w:t>Smart 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20" w:lineRule="exact"/>
        <w:rPr>
          <w:sz w:val="20"/>
          <w:szCs w:val="20"/>
          <w:color w:val="auto"/>
        </w:rPr>
      </w:pPr>
    </w:p>
    <w:p>
      <w:pPr>
        <w:jc w:val="both"/>
        <w:ind w:left="1260" w:right="179" w:firstLine="356"/>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ind w:left="1260" w:right="279" w:firstLine="356"/>
        <w:spacing w:after="0" w:line="276" w:lineRule="auto"/>
        <w:rPr>
          <w:sz w:val="20"/>
          <w:szCs w:val="20"/>
          <w:color w:val="auto"/>
        </w:rPr>
      </w:pPr>
      <w:r>
        <w:rPr>
          <w:rFonts w:ascii="Arial" w:cs="Arial" w:eastAsia="Arial" w:hAnsi="Arial"/>
          <w:sz w:val="14"/>
          <w:szCs w:val="14"/>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 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260" w:right="99" w:firstLine="356"/>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260" w:right="219" w:firstLine="356"/>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19"/>
          </w:cols>
          <w:pgMar w:left="240" w:top="407"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83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9620" cy="5183505"/>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jc w:val="both"/>
        <w:ind w:left="1260" w:right="139" w:firstLine="356"/>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260" w:right="539" w:firstLine="356"/>
        <w:spacing w:after="0" w:line="275" w:lineRule="auto"/>
        <w:rPr>
          <w:sz w:val="20"/>
          <w:szCs w:val="20"/>
          <w:color w:val="auto"/>
        </w:rPr>
      </w:pPr>
      <w:r>
        <w:rPr>
          <w:rFonts w:ascii="Arial" w:cs="Arial" w:eastAsia="Arial" w:hAnsi="Arial"/>
          <w:sz w:val="15"/>
          <w:szCs w:val="15"/>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46" w:lineRule="exact"/>
        <w:rPr>
          <w:sz w:val="20"/>
          <w:szCs w:val="20"/>
          <w:color w:val="auto"/>
        </w:rPr>
      </w:pPr>
    </w:p>
    <w:p>
      <w:pPr>
        <w:ind w:left="1260" w:right="79" w:firstLine="356"/>
        <w:spacing w:after="0" w:line="354" w:lineRule="auto"/>
        <w:rPr>
          <w:sz w:val="20"/>
          <w:szCs w:val="20"/>
          <w:color w:val="auto"/>
        </w:rPr>
      </w:pPr>
      <w:r>
        <w:rPr>
          <w:rFonts w:ascii="Arial" w:cs="Arial" w:eastAsia="Arial" w:hAnsi="Arial"/>
          <w:sz w:val="13"/>
          <w:szCs w:val="13"/>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Risk Factors Summary</w:t>
      </w:r>
    </w:p>
    <w:p>
      <w:pPr>
        <w:spacing w:after="0" w:line="102" w:lineRule="exact"/>
        <w:rPr>
          <w:sz w:val="20"/>
          <w:szCs w:val="20"/>
          <w:color w:val="auto"/>
        </w:rPr>
      </w:pPr>
    </w:p>
    <w:p>
      <w:pPr>
        <w:ind w:left="1260" w:right="419" w:firstLine="356"/>
        <w:spacing w:after="0" w:line="275"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67" w:lineRule="exact"/>
        <w:rPr>
          <w:sz w:val="20"/>
          <w:szCs w:val="20"/>
          <w:color w:val="auto"/>
        </w:rPr>
      </w:pPr>
    </w:p>
    <w:p>
      <w:pPr>
        <w:ind w:left="1960" w:right="1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on our ability to retain and upgrade paying users, and any decline in renewals or upgrades could adversely affect our future results of operations.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future growth could be harmed if we fail to attract new users or convert registered users to paying users.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revenue growth rate has declined in recent periods and may continue to slow in the future.</w:t>
      </w:r>
    </w:p>
    <w:p>
      <w:pPr>
        <w:spacing w:after="0" w:line="109" w:lineRule="exact"/>
        <w:rPr>
          <w:rFonts w:ascii="Arial" w:cs="Arial" w:eastAsia="Arial" w:hAnsi="Arial"/>
          <w:sz w:val="15"/>
          <w:szCs w:val="15"/>
          <w:color w:val="auto"/>
        </w:rPr>
      </w:pPr>
    </w:p>
    <w:p>
      <w:pPr>
        <w:ind w:left="1960" w:right="6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 history of net losses, we anticipate increasing expenses in the future, and we may not be able to achieve or maintain profitability.</w:t>
      </w:r>
    </w:p>
    <w:p>
      <w:pPr>
        <w:spacing w:after="0" w:line="67" w:lineRule="exact"/>
        <w:rPr>
          <w:rFonts w:ascii="Arial" w:cs="Arial" w:eastAsia="Arial" w:hAnsi="Arial"/>
          <w:sz w:val="15"/>
          <w:szCs w:val="15"/>
          <w:color w:val="auto"/>
        </w:rPr>
      </w:pPr>
    </w:p>
    <w:p>
      <w:pPr>
        <w:ind w:left="1960" w:right="7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could be damaged, and we could be subject to liability if there is any unauthorized access to our data or our users’ content, including through privacy and data security breaches.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could be harmed by any significant disruption of service on our platform or loss of content.</w:t>
      </w:r>
    </w:p>
    <w:p>
      <w:pPr>
        <w:spacing w:after="0" w:line="109" w:lineRule="exact"/>
        <w:rPr>
          <w:rFonts w:ascii="Arial" w:cs="Arial" w:eastAsia="Arial" w:hAnsi="Arial"/>
          <w:sz w:val="15"/>
          <w:szCs w:val="15"/>
          <w:color w:val="auto"/>
        </w:rPr>
      </w:pPr>
    </w:p>
    <w:p>
      <w:pPr>
        <w:ind w:left="1960" w:right="8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generate revenue from sales of subscriptions to our platform, and any decline in demand for our platform or for content collaboration solutions in general could negatively impact our business.</w:t>
      </w:r>
    </w:p>
    <w:p>
      <w:pPr>
        <w:spacing w:after="0" w:line="67" w:lineRule="exact"/>
        <w:rPr>
          <w:rFonts w:ascii="Arial" w:cs="Arial" w:eastAsia="Arial" w:hAnsi="Arial"/>
          <w:sz w:val="15"/>
          <w:szCs w:val="15"/>
          <w:color w:val="auto"/>
        </w:rPr>
      </w:pPr>
    </w:p>
    <w:p>
      <w:pPr>
        <w:ind w:left="1960" w:right="19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operate in competitive markets, and we must continue to compete effectively.</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not be able to respond to rapid technological changes, extend our platform, or develop new features.</w:t>
      </w:r>
    </w:p>
    <w:p>
      <w:pPr>
        <w:spacing w:after="0" w:line="200" w:lineRule="exact"/>
        <w:rPr>
          <w:sz w:val="20"/>
          <w:szCs w:val="20"/>
          <w:color w:val="auto"/>
        </w:rPr>
      </w:pPr>
    </w:p>
    <w:p>
      <w:pPr>
        <w:spacing w:after="0" w:line="34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19"/>
          </w:cols>
          <w:pgMar w:left="240" w:top="407"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087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9620" cy="4087495"/>
                    </a:xfrm>
                    <a:prstGeom prst="rect">
                      <a:avLst/>
                    </a:prstGeom>
                    <a:noFill/>
                  </pic:spPr>
                </pic:pic>
              </a:graphicData>
            </a:graphic>
          </wp:anchor>
        </w:drawing>
      </w:r>
    </w:p>
    <w:p>
      <w:pPr>
        <w:spacing w:after="0" w:line="397" w:lineRule="exact"/>
        <w:rPr>
          <w:sz w:val="20"/>
          <w:szCs w:val="20"/>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may not successfully manage our growth or plan for future growth.</w:t>
      </w:r>
    </w:p>
    <w:p>
      <w:pPr>
        <w:spacing w:after="0" w:line="109" w:lineRule="exact"/>
        <w:rPr>
          <w:rFonts w:ascii="Arial" w:cs="Arial" w:eastAsia="Arial" w:hAnsi="Arial"/>
          <w:sz w:val="15"/>
          <w:szCs w:val="15"/>
          <w:color w:val="auto"/>
        </w:rPr>
      </w:pPr>
    </w:p>
    <w:p>
      <w:pPr>
        <w:ind w:left="1960" w:right="79" w:hanging="255"/>
        <w:spacing w:after="0" w:line="312" w:lineRule="auto"/>
        <w:tabs>
          <w:tab w:leader="none" w:pos="19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Channels for Disclosure of Information</w:t>
      </w:r>
    </w:p>
    <w:p>
      <w:pPr>
        <w:spacing w:after="0" w:line="102" w:lineRule="exact"/>
        <w:rPr>
          <w:sz w:val="20"/>
          <w:szCs w:val="20"/>
          <w:color w:val="auto"/>
        </w:rPr>
      </w:pPr>
    </w:p>
    <w:p>
      <w:pPr>
        <w:jc w:val="both"/>
        <w:ind w:left="1260" w:right="79" w:firstLine="356"/>
        <w:spacing w:after="0" w:line="290" w:lineRule="auto"/>
        <w:rPr>
          <w:sz w:val="20"/>
          <w:szCs w:val="20"/>
          <w:color w:val="auto"/>
        </w:rPr>
      </w:pPr>
      <w:r>
        <w:rPr>
          <w:rFonts w:ascii="Arial" w:cs="Arial" w:eastAsia="Arial" w:hAnsi="Arial"/>
          <w:sz w:val="14"/>
          <w:szCs w:val="14"/>
          <w:color w:val="auto"/>
        </w:rPr>
        <w:t>Investors, the media, and others should note that, following the completion of this offering, we intend to announce material information to the public through filings with the Securities and Exchange Commission, or the SEC, the investor relations page on our website, press releases, public conference calls, webcasts, our company news site at dropbox.com/news, and our corporate blog at blogs.dropbox.com.</w:t>
      </w:r>
    </w:p>
    <w:p>
      <w:pPr>
        <w:spacing w:after="0" w:line="138" w:lineRule="exact"/>
        <w:rPr>
          <w:sz w:val="20"/>
          <w:szCs w:val="20"/>
          <w:color w:val="auto"/>
        </w:rPr>
      </w:pPr>
    </w:p>
    <w:p>
      <w:pPr>
        <w:ind w:left="1260" w:right="459" w:firstLine="356"/>
        <w:spacing w:after="0" w:line="312"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3" w:lineRule="exact"/>
        <w:rPr>
          <w:sz w:val="20"/>
          <w:szCs w:val="20"/>
          <w:color w:val="auto"/>
        </w:rPr>
      </w:pPr>
    </w:p>
    <w:p>
      <w:pPr>
        <w:ind w:left="1260" w:right="239" w:firstLine="356"/>
        <w:spacing w:after="0" w:line="275"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Corporate Information</w:t>
      </w:r>
    </w:p>
    <w:p>
      <w:pPr>
        <w:spacing w:after="0" w:line="102" w:lineRule="exact"/>
        <w:rPr>
          <w:sz w:val="20"/>
          <w:szCs w:val="20"/>
          <w:color w:val="auto"/>
        </w:rPr>
      </w:pPr>
    </w:p>
    <w:p>
      <w:pPr>
        <w:ind w:left="1260" w:right="119" w:firstLine="356"/>
        <w:spacing w:after="0" w:line="283" w:lineRule="auto"/>
        <w:rPr>
          <w:sz w:val="20"/>
          <w:szCs w:val="20"/>
          <w:color w:val="auto"/>
        </w:rPr>
      </w:pPr>
      <w:r>
        <w:rPr>
          <w:rFonts w:ascii="Arial" w:cs="Arial" w:eastAsia="Arial" w:hAnsi="Arial"/>
          <w:sz w:val="14"/>
          <w:szCs w:val="14"/>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43"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“Dropbox,” “Dropbox Paper,” “Dropbox Smart Sync,” “Dropbox Showcase,” our logo, and our other registered or common law trademarks, service marks, or trade names appearing in this prospectus are the property of Dropbox, Inc. We refer to Dropbox Paper as Paper, Dropbox Smart Sync as Smart Sync, and Dropbox Showcase as Showcase in this prospectus. Other trademarks and trade names referred to in this prospectus are the property of their respective owners.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JOBS Act</w:t>
      </w:r>
    </w:p>
    <w:p>
      <w:pPr>
        <w:spacing w:after="0" w:line="102" w:lineRule="exact"/>
        <w:rPr>
          <w:sz w:val="20"/>
          <w:szCs w:val="20"/>
          <w:color w:val="auto"/>
        </w:rPr>
      </w:pPr>
    </w:p>
    <w:p>
      <w:pPr>
        <w:ind w:left="1260" w:right="119" w:firstLine="356"/>
        <w:spacing w:after="0" w:line="290" w:lineRule="auto"/>
        <w:rPr>
          <w:sz w:val="20"/>
          <w:szCs w:val="20"/>
          <w:color w:val="auto"/>
        </w:rPr>
      </w:pPr>
      <w:r>
        <w:rPr>
          <w:rFonts w:ascii="Arial" w:cs="Arial" w:eastAsia="Arial" w:hAnsi="Arial"/>
          <w:sz w:val="14"/>
          <w:szCs w:val="14"/>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219"/>
          </w:cols>
          <w:pgMar w:left="240" w:top="407" w:right="1440"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183515</wp:posOffset>
            </wp:positionV>
            <wp:extent cx="5849620" cy="4524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9620" cy="4524375"/>
                    </a:xfrm>
                    <a:prstGeom prst="rect">
                      <a:avLst/>
                    </a:prstGeom>
                    <a:noFill/>
                  </pic:spPr>
                </pic:pic>
              </a:graphicData>
            </a:graphic>
          </wp:anchor>
        </w:drawing>
      </w:r>
    </w:p>
    <w:p>
      <w:pPr>
        <w:sectPr>
          <w:pgSz w:w="11900" w:h="16838" w:orient="portrait"/>
          <w:cols w:equalWidth="0" w:num="1">
            <w:col w:w="10320"/>
          </w:cols>
          <w:pgMar w:left="240" w:top="40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Class A common stock offered by us</w:t>
      </w:r>
    </w:p>
    <w:p>
      <w:pPr>
        <w:spacing w:after="0" w:line="222" w:lineRule="exact"/>
        <w:rPr>
          <w:sz w:val="20"/>
          <w:szCs w:val="20"/>
          <w:color w:val="auto"/>
        </w:rPr>
      </w:pPr>
    </w:p>
    <w:p>
      <w:pPr>
        <w:ind w:left="1340" w:right="400" w:hanging="65"/>
        <w:spacing w:after="0" w:line="275" w:lineRule="auto"/>
        <w:rPr>
          <w:sz w:val="20"/>
          <w:szCs w:val="20"/>
          <w:color w:val="auto"/>
        </w:rPr>
      </w:pPr>
      <w:r>
        <w:rPr>
          <w:rFonts w:ascii="Arial" w:cs="Arial" w:eastAsia="Arial" w:hAnsi="Arial"/>
          <w:sz w:val="15"/>
          <w:szCs w:val="15"/>
          <w:color w:val="auto"/>
        </w:rPr>
        <w:t>Class A common stock offered by the selling stockholders</w:t>
      </w:r>
    </w:p>
    <w:p>
      <w:pPr>
        <w:spacing w:after="0" w:line="180" w:lineRule="exact"/>
        <w:rPr>
          <w:sz w:val="20"/>
          <w:szCs w:val="20"/>
          <w:color w:val="auto"/>
        </w:rPr>
      </w:pPr>
    </w:p>
    <w:p>
      <w:pPr>
        <w:ind w:left="1340" w:hanging="65"/>
        <w:spacing w:after="0" w:line="275" w:lineRule="auto"/>
        <w:rPr>
          <w:sz w:val="20"/>
          <w:szCs w:val="20"/>
          <w:color w:val="auto"/>
        </w:rPr>
      </w:pPr>
      <w:r>
        <w:rPr>
          <w:rFonts w:ascii="Arial" w:cs="Arial" w:eastAsia="Arial" w:hAnsi="Arial"/>
          <w:sz w:val="15"/>
          <w:szCs w:val="15"/>
          <w:color w:val="auto"/>
        </w:rPr>
        <w:t>Class A common stock sold by us in the concurrent private 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26,822,409 shares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9,177,591 shares</w:t>
      </w:r>
    </w:p>
    <w:p>
      <w:pPr>
        <w:spacing w:after="0" w:line="200" w:lineRule="exact"/>
        <w:rPr>
          <w:sz w:val="20"/>
          <w:szCs w:val="20"/>
          <w:color w:val="auto"/>
        </w:rPr>
      </w:pPr>
    </w:p>
    <w:p>
      <w:pPr>
        <w:spacing w:after="0" w:line="203" w:lineRule="exact"/>
        <w:rPr>
          <w:sz w:val="20"/>
          <w:szCs w:val="20"/>
          <w:color w:val="auto"/>
        </w:rPr>
      </w:pPr>
    </w:p>
    <w:p>
      <w:pPr>
        <w:ind w:right="160"/>
        <w:spacing w:after="0" w:line="296" w:lineRule="auto"/>
        <w:rPr>
          <w:sz w:val="20"/>
          <w:szCs w:val="20"/>
          <w:color w:val="auto"/>
        </w:rPr>
      </w:pPr>
      <w:r>
        <w:rPr>
          <w:rFonts w:ascii="Arial" w:cs="Arial" w:eastAsia="Arial" w:hAnsi="Arial"/>
          <w:sz w:val="13"/>
          <w:szCs w:val="13"/>
          <w:color w:val="auto"/>
        </w:rPr>
        <w:t>Immediately subsequent to the closing of this offering, Salesforce Ventures LLC will purchase from us in a private placement 4,761,905 shares of Class A common stock. We will receive the full proceeds of $100.0 million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and lock-up agreement with the underwriters for a period of up to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160" w:lineRule="exact"/>
        <w:rPr>
          <w:sz w:val="20"/>
          <w:szCs w:val="20"/>
          <w:color w:val="auto"/>
        </w:rPr>
      </w:pPr>
    </w:p>
    <w:p>
      <w:pPr>
        <w:sectPr>
          <w:pgSz w:w="11900" w:h="16838" w:orient="portrait"/>
          <w:cols w:equalWidth="0" w:num="2">
            <w:col w:w="4360" w:space="280"/>
            <w:col w:w="5680"/>
          </w:cols>
          <w:pgMar w:left="240" w:top="407" w:right="1339" w:bottom="1440" w:gutter="0" w:footer="0" w:header="0"/>
          <w:type w:val="continuous"/>
        </w:sectPr>
      </w:pPr>
    </w:p>
    <w:p>
      <w:pPr>
        <w:ind w:left="1340" w:hanging="65"/>
        <w:spacing w:after="0" w:line="354" w:lineRule="auto"/>
        <w:rPr>
          <w:sz w:val="20"/>
          <w:szCs w:val="20"/>
          <w:color w:val="auto"/>
        </w:rPr>
      </w:pPr>
      <w:r>
        <w:rPr>
          <w:rFonts w:ascii="Arial" w:cs="Arial" w:eastAsia="Arial" w:hAnsi="Arial"/>
          <w:sz w:val="13"/>
          <w:szCs w:val="13"/>
          <w:color w:val="auto"/>
        </w:rPr>
        <w:t>Class A common stock to be outstanding after this offering and the concurrent private placement</w:t>
      </w:r>
    </w:p>
    <w:p>
      <w:pPr>
        <w:spacing w:after="0" w:line="20" w:lineRule="exact"/>
        <w:rPr>
          <w:sz w:val="20"/>
          <w:szCs w:val="20"/>
          <w:color w:val="auto"/>
        </w:rPr>
      </w:pPr>
      <w:r>
        <w:rPr>
          <w:sz w:val="20"/>
          <w:szCs w:val="20"/>
          <w:color w:val="auto"/>
        </w:rPr>
        <w:br w:type="column"/>
      </w:r>
    </w:p>
    <w:p>
      <w:pPr>
        <w:jc w:val="both"/>
        <w:ind w:right="260"/>
        <w:spacing w:after="0" w:line="259" w:lineRule="auto"/>
        <w:rPr>
          <w:sz w:val="20"/>
          <w:szCs w:val="20"/>
          <w:color w:val="auto"/>
        </w:rPr>
      </w:pPr>
      <w:r>
        <w:rPr>
          <w:rFonts w:ascii="Arial" w:cs="Arial" w:eastAsia="Arial" w:hAnsi="Arial"/>
          <w:sz w:val="15"/>
          <w:szCs w:val="15"/>
          <w:color w:val="auto"/>
        </w:rPr>
        <w:t>52,579,153 shares (excluding 14,733,333 shares of our Class A common stock subject to restricted stock awards, or RSAs, that were granted to our co-founders, or collectively, the Co-Founder Grants, and vest upon the satisfaction of a service condition and achievement of certain stock price goals)</w:t>
      </w:r>
    </w:p>
    <w:p>
      <w:pPr>
        <w:spacing w:after="0" w:line="180" w:lineRule="exact"/>
        <w:rPr>
          <w:sz w:val="20"/>
          <w:szCs w:val="20"/>
          <w:color w:val="auto"/>
        </w:rPr>
      </w:pPr>
    </w:p>
    <w:p>
      <w:pPr>
        <w:sectPr>
          <w:pgSz w:w="11900" w:h="16838" w:orient="portrait"/>
          <w:cols w:equalWidth="0" w:num="2">
            <w:col w:w="4280" w:space="360"/>
            <w:col w:w="5680"/>
          </w:cols>
          <w:pgMar w:left="240" w:top="407" w:right="1339" w:bottom="1440" w:gutter="0" w:footer="0" w:header="0"/>
          <w:type w:val="continuous"/>
        </w:sectPr>
      </w:pPr>
    </w:p>
    <w:tbl>
      <w:tblPr>
        <w:tblLayout w:type="fixed"/>
        <w:tblInd w:w="1120" w:type="dxa"/>
        <w:tblCellMar>
          <w:top w:w="0" w:type="dxa"/>
          <w:left w:w="0" w:type="dxa"/>
          <w:bottom w:w="0" w:type="dxa"/>
          <w:right w:w="0" w:type="dxa"/>
        </w:tblCellMar>
      </w:tblPr>
      <w:tr>
        <w:trPr>
          <w:trHeight w:val="180"/>
        </w:trPr>
        <w:tc>
          <w:tcPr>
            <w:tcW w:w="3500" w:type="dxa"/>
            <w:vAlign w:val="bottom"/>
          </w:tcPr>
          <w:p>
            <w:pPr>
              <w:ind w:left="140"/>
              <w:spacing w:after="0"/>
              <w:rPr>
                <w:sz w:val="20"/>
                <w:szCs w:val="20"/>
                <w:color w:val="auto"/>
              </w:rPr>
            </w:pPr>
            <w:r>
              <w:rPr>
                <w:rFonts w:ascii="Arial" w:cs="Arial" w:eastAsia="Arial" w:hAnsi="Arial"/>
                <w:sz w:val="15"/>
                <w:szCs w:val="15"/>
                <w:color w:val="auto"/>
              </w:rPr>
              <w:t>Class B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339,323,858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9"/>
              </w:rPr>
              <w:t>Class C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None</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4"/>
              </w:rPr>
              <w:t>Total Class A common stock, Class B common stock,</w:t>
            </w:r>
          </w:p>
        </w:tc>
        <w:tc>
          <w:tcPr>
            <w:tcW w:w="5700" w:type="dxa"/>
            <w:vAlign w:val="bottom"/>
          </w:tcPr>
          <w:p>
            <w:pPr>
              <w:ind w:left="20"/>
              <w:spacing w:after="0"/>
              <w:rPr>
                <w:sz w:val="20"/>
                <w:szCs w:val="20"/>
                <w:color w:val="auto"/>
              </w:rPr>
            </w:pPr>
            <w:r>
              <w:rPr>
                <w:rFonts w:ascii="Arial" w:cs="Arial" w:eastAsia="Arial" w:hAnsi="Arial"/>
                <w:sz w:val="15"/>
                <w:szCs w:val="15"/>
                <w:color w:val="auto"/>
              </w:rPr>
              <w:t>391,903,011 shares</w:t>
            </w:r>
          </w:p>
        </w:tc>
      </w:tr>
      <w:tr>
        <w:trPr>
          <w:trHeight w:val="180"/>
        </w:trPr>
        <w:tc>
          <w:tcPr>
            <w:tcW w:w="3500" w:type="dxa"/>
            <w:vAlign w:val="bottom"/>
          </w:tcPr>
          <w:p>
            <w:pPr>
              <w:ind w:left="220"/>
              <w:spacing w:after="0"/>
              <w:rPr>
                <w:sz w:val="20"/>
                <w:szCs w:val="20"/>
                <w:color w:val="auto"/>
              </w:rPr>
            </w:pPr>
            <w:r>
              <w:rPr>
                <w:rFonts w:ascii="Arial" w:cs="Arial" w:eastAsia="Arial" w:hAnsi="Arial"/>
                <w:sz w:val="15"/>
                <w:szCs w:val="15"/>
                <w:color w:val="auto"/>
                <w:w w:val="89"/>
              </w:rPr>
              <w:t>and Class C common stock to be outstanding after this</w:t>
            </w:r>
          </w:p>
        </w:tc>
        <w:tc>
          <w:tcPr>
            <w:tcW w:w="5700" w:type="dxa"/>
            <w:vAlign w:val="bottom"/>
          </w:tcPr>
          <w:p>
            <w:pPr>
              <w:spacing w:after="0"/>
              <w:rPr>
                <w:sz w:val="15"/>
                <w:szCs w:val="15"/>
                <w:color w:val="auto"/>
              </w:rPr>
            </w:pP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rPr>
              <w:t>Option to purchase additional shares of Class A</w:t>
            </w:r>
          </w:p>
        </w:tc>
        <w:tc>
          <w:tcPr>
            <w:tcW w:w="5700" w:type="dxa"/>
            <w:vAlign w:val="bottom"/>
          </w:tcPr>
          <w:p>
            <w:pPr>
              <w:ind w:left="20"/>
              <w:spacing w:after="0"/>
              <w:rPr>
                <w:sz w:val="20"/>
                <w:szCs w:val="20"/>
                <w:color w:val="auto"/>
              </w:rPr>
            </w:pPr>
            <w:r>
              <w:rPr>
                <w:rFonts w:ascii="Arial" w:cs="Arial" w:eastAsia="Arial" w:hAnsi="Arial"/>
                <w:sz w:val="15"/>
                <w:szCs w:val="15"/>
                <w:color w:val="auto"/>
              </w:rPr>
              <w:t>5,400,000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common stock from us</w:t>
            </w:r>
          </w:p>
        </w:tc>
        <w:tc>
          <w:tcPr>
            <w:tcW w:w="5700" w:type="dxa"/>
            <w:vAlign w:val="bottom"/>
          </w:tcPr>
          <w:p>
            <w:pPr>
              <w:spacing w:after="0"/>
              <w:rPr>
                <w:sz w:val="16"/>
                <w:szCs w:val="16"/>
                <w:color w:val="auto"/>
              </w:rPr>
            </w:pPr>
          </w:p>
        </w:tc>
      </w:tr>
      <w:tr>
        <w:trPr>
          <w:trHeight w:val="211"/>
        </w:trPr>
        <w:tc>
          <w:tcPr>
            <w:tcW w:w="350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r>
      <w:tr>
        <w:trPr>
          <w:trHeight w:val="502"/>
        </w:trPr>
        <w:tc>
          <w:tcPr>
            <w:tcW w:w="3500" w:type="dxa"/>
            <w:vAlign w:val="bottom"/>
          </w:tcPr>
          <w:p>
            <w:pPr>
              <w:spacing w:after="0"/>
              <w:rPr>
                <w:sz w:val="24"/>
                <w:szCs w:val="24"/>
                <w:color w:val="auto"/>
              </w:rPr>
            </w:pPr>
          </w:p>
        </w:tc>
        <w:tc>
          <w:tcPr>
            <w:tcW w:w="5700" w:type="dxa"/>
            <w:vAlign w:val="bottom"/>
          </w:tcPr>
          <w:p>
            <w:pPr>
              <w:ind w:left="1060"/>
              <w:spacing w:after="0"/>
              <w:rPr>
                <w:sz w:val="20"/>
                <w:szCs w:val="20"/>
                <w:color w:val="auto"/>
              </w:rPr>
            </w:pPr>
            <w:r>
              <w:rPr>
                <w:rFonts w:ascii="Arial" w:cs="Arial" w:eastAsia="Arial" w:hAnsi="Arial"/>
                <w:sz w:val="15"/>
                <w:szCs w:val="15"/>
                <w:color w:val="auto"/>
              </w:rPr>
              <w:t>7</w:t>
            </w:r>
          </w:p>
        </w:tc>
      </w:tr>
    </w:tbl>
    <w:p>
      <w:pPr>
        <w:sectPr>
          <w:pgSz w:w="11900" w:h="16838" w:orient="portrait"/>
          <w:cols w:equalWidth="0" w:num="1">
            <w:col w:w="10320"/>
          </w:cols>
          <w:pgMar w:left="240" w:top="407" w:right="1339" w:bottom="1440" w:gutter="0" w:footer="0" w:header="0"/>
          <w:type w:val="continuous"/>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1130" w:type="dxa"/>
        <w:tblCellMar>
          <w:top w:w="0" w:type="dxa"/>
          <w:left w:w="0" w:type="dxa"/>
          <w:bottom w:w="0" w:type="dxa"/>
          <w:right w:w="0" w:type="dxa"/>
        </w:tblCellMar>
      </w:tblPr>
      <w:tr>
        <w:trPr>
          <w:trHeight w:val="332"/>
        </w:trPr>
        <w:tc>
          <w:tcPr>
            <w:tcW w:w="23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5"/>
                <w:szCs w:val="15"/>
                <w:color w:val="auto"/>
              </w:rPr>
              <w:t>Use of proceeds</w:t>
            </w:r>
          </w:p>
        </w:tc>
        <w:tc>
          <w:tcPr>
            <w:tcW w:w="688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5"/>
                <w:szCs w:val="15"/>
                <w:color w:val="auto"/>
                <w:w w:val="96"/>
              </w:rPr>
              <w:t>We estimate that the net proceeds to us from the sale of shares of our Class A common</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stock in this offering and the concurrent private placement will be approximately</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$631.2 million (or approximately $739.6 million if the underwriters’ option to purchase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additional shares of our Class A common stock from us and the selling stockholders is</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exercised in full), based upon the initial public offering price of $21.00 per share and after</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deducting underwriting discounts and commissions and estimated offering expenses</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payable by us.</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The principal purposes of this offering are to increase our capitalization and financial</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flexibility, create a public market for our Class A common stock, and enable access to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public equity markets for us and our stockholders. We intend to use a portion of the net</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proceeds we receive from this offering and the concurrent private placement to repay</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$213.4 million that is expected to be outstanding immediately prior to the completion of</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this offering under our revolving credit facility, which we intend to draw down prior to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completion of this offering to satisfy tax withholding and remittance obligations of</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4"/>
              </w:rPr>
              <w:t>$213.4 million related to the settlement of certain restricted stock units, or RSUs, for which</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the service condition was satisfied as of December 31, 2017, and for which we expect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liquidity event-related performance vesting condition, or the Performance Vesting</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3"/>
              </w:rPr>
              <w:t>Condition, to be satisfied upon the effectiveness of our registration statement related to this</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9"/>
              </w:rPr>
              <w:t>offering. We also intend to use the net proceeds we receive from this offering and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concurrent private placement for general corporate purposes, including working capital,</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3"/>
              </w:rPr>
              <w:t>operating expenses, and capital expenditures. Additionally, we may use a portion of the net</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proceeds we receive from this offering and the concurrent private placement to acquire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businesses, products, services, or technologies. However, we do not have agreements or</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commitments for any material acquisitions at this time. We will not receive any of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proceeds from the sale of Class A common stock in this offering by the selling</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stockholders. See “Use of Proceeds” for additional information.</w:t>
            </w:r>
          </w:p>
        </w:tc>
      </w:tr>
      <w:tr>
        <w:trPr>
          <w:trHeight w:val="383"/>
        </w:trPr>
        <w:tc>
          <w:tcPr>
            <w:tcW w:w="232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Voting rights</w:t>
            </w: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Shares of our Class A common stock are entitled to one vote per share.</w:t>
            </w:r>
          </w:p>
        </w:tc>
      </w:tr>
      <w:tr>
        <w:trPr>
          <w:trHeight w:val="395"/>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Shares of our Class B common stock are entitled to ten votes per share.</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2"/>
              </w:rPr>
              <w:t>Shares of our Class C common stock have no voting rights, except as otherwise required by</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law.</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Holders of our Class A common stock and Class B common stock will generally vote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together as a single class, unless otherwise required by law or our amended and restated</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certificate of incorporation. The holders of our outstanding Class B common stock</w:t>
            </w:r>
          </w:p>
        </w:tc>
      </w:tr>
      <w:tr>
        <w:trPr>
          <w:trHeight w:val="200"/>
        </w:trPr>
        <w:tc>
          <w:tcPr>
            <w:tcW w:w="2320" w:type="dxa"/>
            <w:vAlign w:val="bottom"/>
            <w:tcBorders>
              <w:left w:val="single" w:sz="8" w:color="auto"/>
              <w:bottom w:val="single" w:sz="8" w:color="auto"/>
            </w:tcBorders>
          </w:tcPr>
          <w:p>
            <w:pPr>
              <w:spacing w:after="0"/>
              <w:rPr>
                <w:sz w:val="17"/>
                <w:szCs w:val="17"/>
                <w:color w:val="auto"/>
              </w:rPr>
            </w:pPr>
          </w:p>
        </w:tc>
        <w:tc>
          <w:tcPr>
            <w:tcW w:w="6880" w:type="dxa"/>
            <w:vAlign w:val="bottom"/>
            <w:tcBorders>
              <w:bottom w:val="single" w:sz="8" w:color="auto"/>
              <w:right w:val="single" w:sz="8" w:color="auto"/>
            </w:tcBorders>
          </w:tcPr>
          <w:p>
            <w:pPr>
              <w:spacing w:after="0"/>
              <w:rPr>
                <w:sz w:val="17"/>
                <w:szCs w:val="17"/>
                <w:color w:val="auto"/>
              </w:rPr>
            </w:pPr>
          </w:p>
        </w:tc>
      </w:tr>
      <w:tr>
        <w:trPr>
          <w:trHeight w:val="502"/>
        </w:trPr>
        <w:tc>
          <w:tcPr>
            <w:tcW w:w="2320" w:type="dxa"/>
            <w:vAlign w:val="bottom"/>
          </w:tcPr>
          <w:p>
            <w:pPr>
              <w:spacing w:after="0"/>
              <w:rPr>
                <w:sz w:val="24"/>
                <w:szCs w:val="24"/>
                <w:color w:val="auto"/>
              </w:rPr>
            </w:pPr>
          </w:p>
        </w:tc>
        <w:tc>
          <w:tcPr>
            <w:tcW w:w="6880" w:type="dxa"/>
            <w:vAlign w:val="bottom"/>
          </w:tcPr>
          <w:p>
            <w:pPr>
              <w:ind w:left="2240"/>
              <w:spacing w:after="0"/>
              <w:rPr>
                <w:sz w:val="20"/>
                <w:szCs w:val="20"/>
                <w:color w:val="auto"/>
              </w:rPr>
            </w:pPr>
            <w:r>
              <w:rPr>
                <w:rFonts w:ascii="Arial" w:cs="Arial" w:eastAsia="Arial" w:hAnsi="Arial"/>
                <w:sz w:val="15"/>
                <w:szCs w:val="15"/>
                <w:color w:val="auto"/>
              </w:rPr>
              <w:t>8</w:t>
            </w:r>
          </w:p>
        </w:tc>
      </w:tr>
    </w:tbl>
    <w:p>
      <w:pPr>
        <w:sectPr>
          <w:pgSz w:w="11900" w:h="16838" w:orient="portrait"/>
          <w:cols w:equalWidth="0" w:num="1">
            <w:col w:w="10320"/>
          </w:cols>
          <w:pgMar w:left="240" w:top="407" w:right="13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75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9620" cy="4875530"/>
                    </a:xfrm>
                    <a:prstGeom prst="rect">
                      <a:avLst/>
                    </a:prstGeom>
                    <a:noFill/>
                  </pic:spPr>
                </pic:pic>
              </a:graphicData>
            </a:graphic>
          </wp:anchor>
        </w:drawing>
      </w:r>
    </w:p>
    <w:p>
      <w:pPr>
        <w:spacing w:after="0" w:line="397" w:lineRule="exact"/>
        <w:rPr>
          <w:sz w:val="20"/>
          <w:szCs w:val="20"/>
          <w:color w:val="auto"/>
        </w:rPr>
      </w:pPr>
    </w:p>
    <w:p>
      <w:pPr>
        <w:ind w:left="4640" w:right="119"/>
        <w:spacing w:after="0" w:line="272" w:lineRule="auto"/>
        <w:rPr>
          <w:sz w:val="20"/>
          <w:szCs w:val="20"/>
          <w:color w:val="auto"/>
        </w:rPr>
      </w:pPr>
      <w:r>
        <w:rPr>
          <w:rFonts w:ascii="Arial" w:cs="Arial" w:eastAsia="Arial" w:hAnsi="Arial"/>
          <w:sz w:val="14"/>
          <w:szCs w:val="14"/>
          <w:color w:val="auto"/>
        </w:rPr>
        <w:t>will hold approximately 98.1% of the voting power of our outstanding capital stock following this offering and the concurrent private placement and will have the ability to control the outcome of matters submitted to our stockholders for approval, including the election of our directors and the approval of any change in control transaction. Additionally, our executive officers, directors, and holders of 5% or more of our common stock will hold, in the aggregate, approximately 75.7% of the voting power of our outstanding capital stock following this offering and the concurrent private placement, which includes voting agreements that our co-founders have entered into with certain of our stockholders, or the Co-Founder Voting Agreements, that cover an aggregate of 6.9% of the voting power of our outstanding capital stock after our initial public offering and the concurrent private placement. See “Principal and Selling Stockholders” and “Description of Capital Stock” for additional information.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Proposed Nasdaq Global Select Market trading symbol “DBX”</w:t>
      </w:r>
    </w:p>
    <w:p>
      <w:pPr>
        <w:sectPr>
          <w:pgSz w:w="11900" w:h="16838" w:orient="portrait"/>
          <w:cols w:equalWidth="0" w:num="1">
            <w:col w:w="10219"/>
          </w:cols>
          <w:pgMar w:left="240" w:top="407" w:right="1440" w:bottom="1440" w:gutter="0" w:footer="0" w:header="0"/>
        </w:sectPr>
      </w:pP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Conflict of interest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79"/>
        <w:spacing w:after="0" w:line="272" w:lineRule="auto"/>
        <w:rPr>
          <w:sz w:val="20"/>
          <w:szCs w:val="20"/>
          <w:color w:val="auto"/>
        </w:rPr>
      </w:pPr>
      <w:r>
        <w:rPr>
          <w:rFonts w:ascii="Arial" w:cs="Arial" w:eastAsia="Arial" w:hAnsi="Arial"/>
          <w:sz w:val="14"/>
          <w:szCs w:val="14"/>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 $213.4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of 1933, as amended, or the Securities Act.</w:t>
      </w:r>
    </w:p>
    <w:p>
      <w:pPr>
        <w:spacing w:after="0" w:line="156" w:lineRule="exact"/>
        <w:rPr>
          <w:sz w:val="20"/>
          <w:szCs w:val="20"/>
          <w:color w:val="auto"/>
        </w:rPr>
      </w:pPr>
    </w:p>
    <w:p>
      <w:pPr>
        <w:sectPr>
          <w:pgSz w:w="11900" w:h="16838" w:orient="portrait"/>
          <w:cols w:equalWidth="0" w:num="2">
            <w:col w:w="3920" w:space="720"/>
            <w:col w:w="5579"/>
          </w:cols>
          <w:pgMar w:left="240" w:top="407" w:right="1440" w:bottom="1440" w:gutter="0" w:footer="0" w:header="0"/>
          <w:type w:val="continuous"/>
        </w:sectPr>
      </w:pPr>
    </w:p>
    <w:p>
      <w:pPr>
        <w:ind w:left="1260" w:right="279" w:firstLine="356"/>
        <w:spacing w:after="0" w:line="290" w:lineRule="auto"/>
        <w:rPr>
          <w:sz w:val="20"/>
          <w:szCs w:val="20"/>
          <w:color w:val="auto"/>
        </w:rPr>
      </w:pPr>
      <w:r>
        <w:rPr>
          <w:rFonts w:ascii="Arial" w:cs="Arial" w:eastAsia="Arial" w:hAnsi="Arial"/>
          <w:sz w:val="14"/>
          <w:szCs w:val="14"/>
          <w:color w:val="auto"/>
        </w:rPr>
        <w:t>The number of shares of our Class A common stock, Class B common stock, and Class C common stock that will be outstanding after this offering and the concurrent private placement is based on 11,817,248 shares of our Class A common stock, 348,501,449 shares of our Class B common stock, and no shares of our Class C common stock outstanding as of December 31, 2017, and reflects:</w:t>
      </w:r>
    </w:p>
    <w:p>
      <w:pPr>
        <w:spacing w:after="0" w:line="59" w:lineRule="exact"/>
        <w:rPr>
          <w:sz w:val="20"/>
          <w:szCs w:val="20"/>
          <w:color w:val="auto"/>
        </w:rPr>
      </w:pPr>
    </w:p>
    <w:p>
      <w:pPr>
        <w:ind w:left="1960" w:right="79" w:hanging="255"/>
        <w:spacing w:after="0" w:line="257" w:lineRule="auto"/>
        <w:tabs>
          <w:tab w:leader="none" w:pos="1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 pursuant to the terms of our amended and restated certificate of incorporation, which we refer to, collectively, as the Capital Stock Conversions; and</w:t>
      </w:r>
    </w:p>
    <w:p>
      <w:pPr>
        <w:spacing w:after="0" w:line="80" w:lineRule="exact"/>
        <w:rPr>
          <w:rFonts w:ascii="Arial" w:cs="Arial" w:eastAsia="Arial" w:hAnsi="Arial"/>
          <w:sz w:val="15"/>
          <w:szCs w:val="15"/>
          <w:color w:val="auto"/>
        </w:rPr>
      </w:pPr>
    </w:p>
    <w:p>
      <w:pPr>
        <w:ind w:left="1960" w:right="279" w:hanging="255"/>
        <w:spacing w:after="0" w:line="263" w:lineRule="auto"/>
        <w:tabs>
          <w:tab w:leader="none" w:pos="1960" w:val="left"/>
        </w:tabs>
        <w:numPr>
          <w:ilvl w:val="0"/>
          <w:numId w:val="7"/>
        </w:numPr>
        <w:rPr>
          <w:rFonts w:ascii="Arial" w:cs="Arial" w:eastAsia="Arial" w:hAnsi="Arial"/>
          <w:sz w:val="15"/>
          <w:szCs w:val="15"/>
          <w:color w:val="auto"/>
        </w:rPr>
      </w:pPr>
      <w:r>
        <w:rPr>
          <w:rFonts w:ascii="Arial" w:cs="Arial" w:eastAsia="Arial" w:hAnsi="Arial"/>
          <w:sz w:val="15"/>
          <w:szCs w:val="15"/>
          <w:color w:val="auto"/>
        </w:rPr>
        <w:t>15,897,254 shares of our Class B common stock subject to RSUs, for which the service condition was satisfied as of December 31, 2017, and for which we expect the Performance Vesting Condition to be satisfied upon the effectiveness of our registration statement related to this offering (after repurchasing</w:t>
      </w:r>
    </w:p>
    <w:p>
      <w:pPr>
        <w:spacing w:after="0" w:line="200" w:lineRule="exact"/>
        <w:rPr>
          <w:sz w:val="20"/>
          <w:szCs w:val="20"/>
          <w:color w:val="auto"/>
        </w:rPr>
      </w:pPr>
    </w:p>
    <w:p>
      <w:pPr>
        <w:spacing w:after="0" w:line="3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19"/>
          </w:cols>
          <w:pgMar w:left="240" w:top="407" w:right="1440" w:bottom="1440" w:gutter="0" w:footer="0" w:header="0"/>
          <w:type w:val="continuous"/>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961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9620" cy="4961255"/>
                    </a:xfrm>
                    <a:prstGeom prst="rect">
                      <a:avLst/>
                    </a:prstGeom>
                    <a:noFill/>
                  </pic:spPr>
                </pic:pic>
              </a:graphicData>
            </a:graphic>
          </wp:anchor>
        </w:drawing>
      </w:r>
    </w:p>
    <w:p>
      <w:pPr>
        <w:spacing w:after="0" w:line="397" w:lineRule="exact"/>
        <w:rPr>
          <w:sz w:val="20"/>
          <w:szCs w:val="20"/>
          <w:color w:val="auto"/>
        </w:rPr>
      </w:pPr>
    </w:p>
    <w:p>
      <w:pPr>
        <w:ind w:left="1980" w:right="179"/>
        <w:spacing w:after="0" w:line="263" w:lineRule="auto"/>
        <w:rPr>
          <w:sz w:val="20"/>
          <w:szCs w:val="20"/>
          <w:color w:val="auto"/>
        </w:rPr>
      </w:pPr>
      <w:r>
        <w:rPr>
          <w:rFonts w:ascii="Arial" w:cs="Arial" w:eastAsia="Arial" w:hAnsi="Arial"/>
          <w:sz w:val="15"/>
          <w:szCs w:val="15"/>
          <w:color w:val="auto"/>
        </w:rPr>
        <w:t>10,163,817 shares of our Class B common stock subject to RSUs to satisfy tax withholding obligations at an assumed tax rate of 39%, with an equivalent number of shares of our Class A common stock becoming available for issuance under our 2018 Equity Incentive Plan, or our 2018 Plan), or the RSU Settlement.</w:t>
      </w:r>
    </w:p>
    <w:p>
      <w:pPr>
        <w:spacing w:after="0" w:line="155"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The shares of our Class A common stock, Class B common stock, and Class C common stock outstanding as of December 31, 2017 excludes the following:</w:t>
      </w:r>
    </w:p>
    <w:p>
      <w:pPr>
        <w:spacing w:after="0" w:line="67" w:lineRule="exact"/>
        <w:rPr>
          <w:sz w:val="20"/>
          <w:szCs w:val="20"/>
          <w:color w:val="auto"/>
        </w:rPr>
      </w:pPr>
    </w:p>
    <w:p>
      <w:pPr>
        <w:ind w:left="1960" w:right="219" w:hanging="255"/>
        <w:spacing w:after="0" w:line="275" w:lineRule="auto"/>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960" w:right="219" w:hanging="255"/>
        <w:spacing w:after="0" w:line="275" w:lineRule="auto"/>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960" w:right="139" w:hanging="255"/>
        <w:spacing w:after="0" w:line="275" w:lineRule="auto"/>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400" w:right="119" w:hanging="346"/>
        <w:spacing w:after="0" w:line="263" w:lineRule="auto"/>
        <w:tabs>
          <w:tab w:leader="none" w:pos="2400" w:val="left"/>
        </w:tabs>
        <w:numPr>
          <w:ilvl w:val="1"/>
          <w:numId w:val="8"/>
        </w:numPr>
        <w:rPr>
          <w:rFonts w:ascii="Arial" w:cs="Arial" w:eastAsia="Arial" w:hAnsi="Arial"/>
          <w:sz w:val="15"/>
          <w:szCs w:val="15"/>
          <w:color w:val="auto"/>
        </w:rPr>
      </w:pPr>
      <w:r>
        <w:rPr>
          <w:rFonts w:ascii="Arial" w:cs="Arial" w:eastAsia="Arial" w:hAnsi="Arial"/>
          <w:sz w:val="15"/>
          <w:szCs w:val="15"/>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75" w:lineRule="exact"/>
        <w:rPr>
          <w:rFonts w:ascii="Arial" w:cs="Arial" w:eastAsia="Arial" w:hAnsi="Arial"/>
          <w:sz w:val="15"/>
          <w:szCs w:val="15"/>
          <w:color w:val="auto"/>
        </w:rPr>
      </w:pPr>
    </w:p>
    <w:p>
      <w:pPr>
        <w:ind w:left="2400" w:right="99" w:hanging="346"/>
        <w:spacing w:after="0" w:line="257" w:lineRule="auto"/>
        <w:tabs>
          <w:tab w:leader="none" w:pos="2400" w:val="left"/>
        </w:tabs>
        <w:numPr>
          <w:ilvl w:val="1"/>
          <w:numId w:val="8"/>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400" w:right="179" w:hanging="346"/>
        <w:spacing w:after="0" w:line="263" w:lineRule="auto"/>
        <w:tabs>
          <w:tab w:leader="none" w:pos="2400" w:val="left"/>
        </w:tabs>
        <w:numPr>
          <w:ilvl w:val="1"/>
          <w:numId w:val="8"/>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960" w:right="159" w:hanging="255"/>
        <w:spacing w:after="0" w:line="275" w:lineRule="auto"/>
        <w:tabs>
          <w:tab w:leader="none" w:pos="1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45,505,158 shares of our Class C common stock reserved for future issuance under certain other equity compensation plans, consisting of:</w:t>
      </w:r>
    </w:p>
    <w:p>
      <w:pPr>
        <w:spacing w:after="0" w:line="67" w:lineRule="exact"/>
        <w:rPr>
          <w:rFonts w:ascii="Arial" w:cs="Arial" w:eastAsia="Arial" w:hAnsi="Arial"/>
          <w:sz w:val="15"/>
          <w:szCs w:val="15"/>
          <w:color w:val="auto"/>
        </w:rPr>
      </w:pPr>
    </w:p>
    <w:p>
      <w:pPr>
        <w:ind w:left="2400" w:right="99" w:hanging="346"/>
        <w:spacing w:after="0" w:line="275" w:lineRule="auto"/>
        <w:tabs>
          <w:tab w:leader="none" w:pos="2400" w:val="left"/>
        </w:tabs>
        <w:numPr>
          <w:ilvl w:val="1"/>
          <w:numId w:val="8"/>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400" w:right="79" w:hanging="346"/>
        <w:spacing w:after="0" w:line="290" w:lineRule="auto"/>
        <w:tabs>
          <w:tab w:leader="none" w:pos="2400" w:val="left"/>
        </w:tabs>
        <w:numPr>
          <w:ilvl w:val="1"/>
          <w:numId w:val="8"/>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138" w:lineRule="exact"/>
        <w:rPr>
          <w:sz w:val="20"/>
          <w:szCs w:val="20"/>
          <w:color w:val="auto"/>
        </w:rPr>
      </w:pPr>
    </w:p>
    <w:p>
      <w:pPr>
        <w:ind w:left="1260" w:right="399" w:firstLine="356"/>
        <w:spacing w:after="0" w:line="275" w:lineRule="auto"/>
        <w:rPr>
          <w:sz w:val="20"/>
          <w:szCs w:val="20"/>
          <w:color w:val="auto"/>
        </w:rPr>
      </w:pPr>
      <w:r>
        <w:rPr>
          <w:rFonts w:ascii="Arial" w:cs="Arial" w:eastAsia="Arial" w:hAnsi="Arial"/>
          <w:sz w:val="15"/>
          <w:szCs w:val="15"/>
          <w:color w:val="auto"/>
        </w:rPr>
        <w:t>The Co-Founder Grants are legally issued and outstanding shares of our Class A common stock and, as a result, the holders have certain stockholder rights, such as the right to vote the shares immediately upon grant and prior to their vesting.</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19"/>
          </w:cols>
          <w:pgMar w:left="24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2870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9620" cy="2870200"/>
                    </a:xfrm>
                    <a:prstGeom prst="rect">
                      <a:avLst/>
                    </a:prstGeom>
                    <a:noFill/>
                  </pic:spPr>
                </pic:pic>
              </a:graphicData>
            </a:graphic>
          </wp:anchor>
        </w:drawing>
      </w:r>
    </w:p>
    <w:p>
      <w:pPr>
        <w:spacing w:after="0" w:line="397" w:lineRule="exact"/>
        <w:rPr>
          <w:sz w:val="20"/>
          <w:szCs w:val="20"/>
          <w:color w:val="auto"/>
        </w:rPr>
      </w:pPr>
    </w:p>
    <w:p>
      <w:pPr>
        <w:ind w:left="1260" w:right="59" w:firstLine="356"/>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109" w:lineRule="exact"/>
        <w:rPr>
          <w:sz w:val="20"/>
          <w:szCs w:val="20"/>
          <w:color w:val="auto"/>
        </w:rPr>
      </w:pPr>
    </w:p>
    <w:p>
      <w:pPr>
        <w:ind w:left="1960" w:hanging="255"/>
        <w:spacing w:after="0"/>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1-for-1.5 reverse stock split effected on March 7, 2018;</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Capital Stock Conversions will occur immediately prior to the completion of this offering;</w:t>
      </w:r>
    </w:p>
    <w:p>
      <w:pPr>
        <w:spacing w:after="0" w:line="109" w:lineRule="exact"/>
        <w:rPr>
          <w:rFonts w:ascii="Arial" w:cs="Arial" w:eastAsia="Arial" w:hAnsi="Arial"/>
          <w:sz w:val="15"/>
          <w:szCs w:val="15"/>
          <w:color w:val="auto"/>
        </w:rPr>
      </w:pPr>
    </w:p>
    <w:p>
      <w:pPr>
        <w:ind w:left="1960" w:right="23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issuance of 4,761,905 shares of our Class A common stock to Salesforce Ventures LLC upon the closing of the concurrent private placement immediately subsequent to the closing of this offering;</w:t>
      </w:r>
    </w:p>
    <w:p>
      <w:pPr>
        <w:spacing w:after="0" w:line="67" w:lineRule="exact"/>
        <w:rPr>
          <w:rFonts w:ascii="Arial" w:cs="Arial" w:eastAsia="Arial" w:hAnsi="Arial"/>
          <w:sz w:val="15"/>
          <w:szCs w:val="15"/>
          <w:color w:val="auto"/>
        </w:rPr>
      </w:pPr>
    </w:p>
    <w:p>
      <w:pPr>
        <w:ind w:left="1960" w:right="21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67" w:lineRule="exact"/>
        <w:rPr>
          <w:rFonts w:ascii="Arial" w:cs="Arial" w:eastAsia="Arial" w:hAnsi="Arial"/>
          <w:sz w:val="15"/>
          <w:szCs w:val="15"/>
          <w:color w:val="auto"/>
        </w:rPr>
      </w:pPr>
    </w:p>
    <w:p>
      <w:pPr>
        <w:ind w:left="1960" w:right="23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conversion of shares of our Class B common stock held by certain selling stockholders into an equivalent number of shares of our Class A common stock upon the sale by the selling stockholders in this offering;</w:t>
      </w:r>
    </w:p>
    <w:p>
      <w:pPr>
        <w:spacing w:after="0" w:line="67" w:lineRule="exact"/>
        <w:rPr>
          <w:rFonts w:ascii="Arial" w:cs="Arial" w:eastAsia="Arial" w:hAnsi="Arial"/>
          <w:sz w:val="15"/>
          <w:szCs w:val="15"/>
          <w:color w:val="auto"/>
        </w:rPr>
      </w:pPr>
    </w:p>
    <w:p>
      <w:pPr>
        <w:ind w:left="1960" w:right="43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exercise of outstanding stock options or settlement of outstanding RSUs subsequent to December 31, 2017, other than the RSU Settlement; and</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an additional 5,400,000 shares of our Class A common stock from us.</w:t>
      </w:r>
    </w:p>
    <w:p>
      <w:pPr>
        <w:spacing w:after="0" w:line="200" w:lineRule="exact"/>
        <w:rPr>
          <w:sz w:val="20"/>
          <w:szCs w:val="20"/>
          <w:color w:val="auto"/>
        </w:rPr>
      </w:pPr>
    </w:p>
    <w:p>
      <w:pPr>
        <w:spacing w:after="0" w:line="37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19"/>
          </w:cols>
          <w:pgMar w:left="24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45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9620" cy="4453255"/>
                    </a:xfrm>
                    <a:prstGeom prst="rect">
                      <a:avLst/>
                    </a:prstGeom>
                    <a:noFill/>
                  </pic:spPr>
                </pic:pic>
              </a:graphicData>
            </a:graphic>
          </wp:anchor>
        </w:drawing>
      </w:r>
    </w:p>
    <w:p>
      <w:pPr>
        <w:spacing w:after="0" w:line="393"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92" w:lineRule="exact"/>
        <w:rPr>
          <w:sz w:val="20"/>
          <w:szCs w:val="20"/>
          <w:color w:val="auto"/>
        </w:rPr>
      </w:pPr>
    </w:p>
    <w:p>
      <w:pPr>
        <w:ind w:left="1260" w:right="180" w:firstLine="356"/>
        <w:spacing w:after="0" w:line="276" w:lineRule="auto"/>
        <w:rPr>
          <w:sz w:val="20"/>
          <w:szCs w:val="20"/>
          <w:color w:val="auto"/>
        </w:rPr>
      </w:pPr>
      <w:r>
        <w:rPr>
          <w:rFonts w:ascii="Arial" w:cs="Arial" w:eastAsia="Arial" w:hAnsi="Arial"/>
          <w:sz w:val="14"/>
          <w:szCs w:val="14"/>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2017 are derived from our audited consolidated financial statements that are included elsewhere in this prospectus. Our historical results are not necessarily indicative of our future results.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0"/>
              </w:rPr>
              <w:t>Year ended December 31,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7"/>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w w:val="97"/>
              </w:rPr>
              <w:t>2016</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7"/>
          </w:tcPr>
          <w:p>
            <w:pPr>
              <w:jc w:val="right"/>
              <w:ind w:right="126"/>
              <w:spacing w:after="0" w:line="127" w:lineRule="exact"/>
              <w:rPr>
                <w:sz w:val="20"/>
                <w:szCs w:val="20"/>
                <w:color w:val="auto"/>
              </w:rPr>
            </w:pPr>
            <w:r>
              <w:rPr>
                <w:rFonts w:ascii="Arial" w:cs="Arial" w:eastAsia="Arial" w:hAnsi="Arial"/>
                <w:sz w:val="12"/>
                <w:szCs w:val="12"/>
                <w:i w:val="1"/>
                <w:iCs w:val="1"/>
                <w:color w:val="auto"/>
                <w:w w:val="94"/>
              </w:rPr>
              <w:t>(In millions, except for per share amounts)</w:t>
            </w:r>
          </w:p>
        </w:tc>
        <w:tc>
          <w:tcPr>
            <w:tcW w:w="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603.8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844.8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1,106.8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407.4</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390.6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368.9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196.4</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454.2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737.9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289.7</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193.1</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250.6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314.0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107.4</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502.6</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647.7</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851.6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(306.2)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4.9</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Loss before income taxes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(325.6)</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(210.2)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5"/>
                <w:szCs w:val="15"/>
                <w:color w:val="auto"/>
              </w:rPr>
              <w:t>(1.77)</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167" w:lineRule="exact"/>
              <w:rPr>
                <w:sz w:val="20"/>
                <w:szCs w:val="20"/>
                <w:color w:val="auto"/>
              </w:rPr>
            </w:pPr>
            <w:r>
              <w:rPr>
                <w:rFonts w:ascii="Arial" w:cs="Arial" w:eastAsia="Arial" w:hAnsi="Arial"/>
                <w:sz w:val="15"/>
                <w:szCs w:val="15"/>
                <w:color w:val="auto"/>
              </w:rPr>
              <w:t>(1.11)</w:t>
            </w: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3"/>
              </w:rPr>
              <w:t>Weighted-average shares used in computing net loss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12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184.5</w:t>
            </w:r>
          </w:p>
        </w:tc>
        <w:tc>
          <w:tcPr>
            <w:tcW w:w="1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189.1</w:t>
            </w: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195.9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7"/>
              </w:rPr>
              <w:t>Weighted-average shares used in computing pro forma net loss per share attributable to common</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stockholders, basic and diluted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358.6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4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6480" w:type="dxa"/>
            <w:vAlign w:val="bottom"/>
            <w:gridSpan w:val="2"/>
          </w:tcPr>
          <w:p>
            <w:pPr>
              <w:jc w:val="right"/>
              <w:ind w:right="1745"/>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732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9620" cy="4732020"/>
                    </a:xfrm>
                    <a:prstGeom prst="rect">
                      <a:avLst/>
                    </a:prstGeom>
                    <a:noFill/>
                  </pic:spPr>
                </pic:pic>
              </a:graphicData>
            </a:graphic>
          </wp:anchor>
        </w:drawing>
      </w:r>
    </w:p>
    <w:p>
      <w:pPr>
        <w:spacing w:after="0" w:line="308" w:lineRule="exact"/>
        <w:rPr>
          <w:sz w:val="20"/>
          <w:szCs w:val="20"/>
          <w:color w:val="auto"/>
        </w:rPr>
      </w:pPr>
    </w:p>
    <w:p>
      <w:pPr>
        <w:ind w:left="1520" w:hanging="255"/>
        <w:spacing w:after="0"/>
        <w:tabs>
          <w:tab w:leader="none" w:pos="1520"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ind w:left="11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164.6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1520" w:right="119" w:hanging="255"/>
        <w:spacing w:after="0" w:line="209" w:lineRule="auto"/>
        <w:tabs>
          <w:tab w:leader="none" w:pos="152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As of December 31, 2017</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Actual</w:t>
            </w:r>
          </w:p>
        </w:tc>
        <w:tc>
          <w:tcPr>
            <w:tcW w:w="1440" w:type="dxa"/>
            <w:vAlign w:val="bottom"/>
          </w:tcPr>
          <w:p>
            <w:pPr>
              <w:jc w:val="right"/>
              <w:ind w:right="630"/>
              <w:spacing w:after="0" w:line="96" w:lineRule="exact"/>
              <w:rPr>
                <w:sz w:val="20"/>
                <w:szCs w:val="20"/>
                <w:color w:val="auto"/>
              </w:rPr>
            </w:pPr>
            <w:r>
              <w:rPr>
                <w:rFonts w:ascii="Arial" w:cs="Arial" w:eastAsia="Arial" w:hAnsi="Arial"/>
                <w:sz w:val="11"/>
                <w:szCs w:val="11"/>
                <w:b w:val="1"/>
                <w:bCs w:val="1"/>
                <w:color w:val="auto"/>
              </w:rPr>
              <w:t>Pro</w:t>
            </w:r>
          </w:p>
        </w:tc>
        <w:tc>
          <w:tcPr>
            <w:tcW w:w="120" w:type="dxa"/>
            <w:vAlign w:val="bottom"/>
          </w:tcPr>
          <w:p>
            <w:pPr>
              <w:spacing w:after="0"/>
              <w:rPr>
                <w:sz w:val="8"/>
                <w:szCs w:val="8"/>
                <w:color w:val="auto"/>
              </w:rPr>
            </w:pPr>
          </w:p>
        </w:tc>
        <w:tc>
          <w:tcPr>
            <w:tcW w:w="620" w:type="dxa"/>
            <w:vAlign w:val="bottom"/>
          </w:tcPr>
          <w:p>
            <w:pPr>
              <w:jc w:val="right"/>
              <w:ind w:right="7"/>
              <w:spacing w:after="0" w:line="96" w:lineRule="exact"/>
              <w:rPr>
                <w:sz w:val="20"/>
                <w:szCs w:val="20"/>
                <w:color w:val="auto"/>
              </w:rPr>
            </w:pPr>
            <w:r>
              <w:rPr>
                <w:rFonts w:ascii="Arial" w:cs="Arial" w:eastAsia="Arial" w:hAnsi="Arial"/>
                <w:sz w:val="11"/>
                <w:szCs w:val="11"/>
                <w:b w:val="1"/>
                <w:bCs w:val="1"/>
                <w:color w:val="auto"/>
                <w:w w:val="99"/>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40" w:type="dxa"/>
            <w:vAlign w:val="bottom"/>
          </w:tcPr>
          <w:p>
            <w:pPr>
              <w:jc w:val="right"/>
              <w:ind w:right="490"/>
              <w:spacing w:after="0"/>
              <w:rPr>
                <w:sz w:val="20"/>
                <w:szCs w:val="20"/>
                <w:color w:val="auto"/>
              </w:rPr>
            </w:pPr>
            <w:r>
              <w:rPr>
                <w:rFonts w:ascii="Arial" w:cs="Arial" w:eastAsia="Arial" w:hAnsi="Arial"/>
                <w:sz w:val="12"/>
                <w:szCs w:val="12"/>
                <w:b w:val="1"/>
                <w:bCs w:val="1"/>
                <w:color w:val="auto"/>
              </w:rPr>
              <w:t>forma</w:t>
            </w:r>
            <w:r>
              <w:rPr>
                <w:rFonts w:ascii="Arial" w:cs="Arial" w:eastAsia="Arial" w:hAnsi="Arial"/>
                <w:sz w:val="10"/>
                <w:szCs w:val="10"/>
                <w:b w:val="1"/>
                <w:bCs w:val="1"/>
                <w:color w:val="auto"/>
              </w:rPr>
              <w:t>(1)</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w w:val="91"/>
              </w:rPr>
              <w:t>as adjusted</w:t>
            </w:r>
            <w:r>
              <w:rPr>
                <w:rFonts w:ascii="Arial" w:cs="Arial" w:eastAsia="Arial" w:hAnsi="Arial"/>
                <w:sz w:val="10"/>
                <w:szCs w:val="10"/>
                <w:b w:val="1"/>
                <w:bCs w:val="1"/>
                <w:color w:val="auto"/>
                <w:w w:val="91"/>
              </w:rPr>
              <w:t>(2)</w:t>
            </w:r>
          </w:p>
        </w:tc>
        <w:tc>
          <w:tcPr>
            <w:tcW w:w="0" w:type="dxa"/>
            <w:vAlign w:val="bottom"/>
          </w:tcPr>
          <w:p>
            <w:pPr>
              <w:spacing w:after="0"/>
              <w:rPr>
                <w:sz w:val="1"/>
                <w:szCs w:val="1"/>
                <w:color w:val="auto"/>
              </w:rPr>
            </w:pPr>
          </w:p>
        </w:tc>
      </w:tr>
      <w:tr>
        <w:trPr>
          <w:trHeight w:val="115"/>
        </w:trPr>
        <w:tc>
          <w:tcPr>
            <w:tcW w:w="4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right"/>
              <w:ind w:right="330"/>
              <w:spacing w:after="0" w:line="115" w:lineRule="exact"/>
              <w:rPr>
                <w:sz w:val="20"/>
                <w:szCs w:val="20"/>
                <w:color w:val="auto"/>
              </w:rPr>
            </w:pPr>
            <w:r>
              <w:rPr>
                <w:rFonts w:ascii="Arial" w:cs="Arial" w:eastAsia="Arial" w:hAnsi="Arial"/>
                <w:sz w:val="12"/>
                <w:szCs w:val="12"/>
                <w:i w:val="1"/>
                <w:iCs w:val="1"/>
                <w:color w:val="auto"/>
              </w:rPr>
              <w:t>(In millions)</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2"/>
              </w:rPr>
              <w:t>$  430.0</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5"/>
                <w:szCs w:val="15"/>
                <w:color w:val="auto"/>
              </w:rPr>
              <w:t>$  430.0</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847.6</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Working capital</w:t>
            </w:r>
          </w:p>
        </w:tc>
        <w:tc>
          <w:tcPr>
            <w:tcW w:w="680" w:type="dxa"/>
            <w:vAlign w:val="bottom"/>
          </w:tcPr>
          <w:p>
            <w:pPr>
              <w:jc w:val="right"/>
              <w:ind w:right="27"/>
              <w:spacing w:after="0"/>
              <w:rPr>
                <w:sz w:val="20"/>
                <w:szCs w:val="20"/>
                <w:color w:val="auto"/>
              </w:rPr>
            </w:pPr>
            <w:r>
              <w:rPr>
                <w:rFonts w:ascii="Arial" w:cs="Arial" w:eastAsia="Arial" w:hAnsi="Arial"/>
                <w:sz w:val="15"/>
                <w:szCs w:val="15"/>
                <w:color w:val="auto"/>
              </w:rPr>
              <w:t>(220.3)</w:t>
            </w:r>
          </w:p>
        </w:tc>
        <w:tc>
          <w:tcPr>
            <w:tcW w:w="1440" w:type="dxa"/>
            <w:vAlign w:val="bottom"/>
          </w:tcPr>
          <w:p>
            <w:pPr>
              <w:jc w:val="right"/>
              <w:ind w:right="450"/>
              <w:spacing w:after="0"/>
              <w:rPr>
                <w:sz w:val="20"/>
                <w:szCs w:val="20"/>
                <w:color w:val="auto"/>
              </w:rPr>
            </w:pPr>
            <w:r>
              <w:rPr>
                <w:rFonts w:ascii="Arial" w:cs="Arial" w:eastAsia="Arial" w:hAnsi="Arial"/>
                <w:sz w:val="15"/>
                <w:szCs w:val="15"/>
                <w:color w:val="auto"/>
              </w:rPr>
              <w:t>(433.7)</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197.3</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341.9</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5"/>
                <w:szCs w:val="15"/>
                <w:color w:val="auto"/>
              </w:rPr>
              <w:t>341.9</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341.9</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Total assets</w:t>
            </w:r>
          </w:p>
        </w:tc>
        <w:tc>
          <w:tcPr>
            <w:tcW w:w="680" w:type="dxa"/>
            <w:vAlign w:val="bottom"/>
          </w:tcPr>
          <w:p>
            <w:pPr>
              <w:jc w:val="right"/>
              <w:ind w:right="87"/>
              <w:spacing w:after="0"/>
              <w:rPr>
                <w:sz w:val="20"/>
                <w:szCs w:val="20"/>
                <w:color w:val="auto"/>
              </w:rPr>
            </w:pPr>
            <w:r>
              <w:rPr>
                <w:rFonts w:ascii="Arial" w:cs="Arial" w:eastAsia="Arial" w:hAnsi="Arial"/>
                <w:sz w:val="15"/>
                <w:szCs w:val="15"/>
                <w:color w:val="auto"/>
                <w:w w:val="99"/>
              </w:rPr>
              <w:t>1,019.9</w:t>
            </w:r>
          </w:p>
        </w:tc>
        <w:tc>
          <w:tcPr>
            <w:tcW w:w="1440" w:type="dxa"/>
            <w:vAlign w:val="bottom"/>
          </w:tcPr>
          <w:p>
            <w:pPr>
              <w:jc w:val="right"/>
              <w:ind w:right="450"/>
              <w:spacing w:after="0"/>
              <w:rPr>
                <w:sz w:val="20"/>
                <w:szCs w:val="20"/>
                <w:color w:val="auto"/>
              </w:rPr>
            </w:pPr>
            <w:r>
              <w:rPr>
                <w:rFonts w:ascii="Arial" w:cs="Arial" w:eastAsia="Arial" w:hAnsi="Arial"/>
                <w:sz w:val="15"/>
                <w:szCs w:val="15"/>
                <w:color w:val="auto"/>
              </w:rPr>
              <w:t>1,019.9</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1,437.5</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419.2</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5"/>
                <w:szCs w:val="15"/>
                <w:color w:val="auto"/>
              </w:rPr>
              <w:t>419.2</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419.2</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680" w:type="dxa"/>
            <w:vAlign w:val="bottom"/>
          </w:tcPr>
          <w:p>
            <w:pPr>
              <w:jc w:val="right"/>
              <w:ind w:right="87"/>
              <w:spacing w:after="0"/>
              <w:rPr>
                <w:sz w:val="20"/>
                <w:szCs w:val="20"/>
                <w:color w:val="auto"/>
              </w:rPr>
            </w:pPr>
            <w:r>
              <w:rPr>
                <w:rFonts w:ascii="Arial" w:cs="Arial" w:eastAsia="Arial" w:hAnsi="Arial"/>
                <w:sz w:val="15"/>
                <w:szCs w:val="15"/>
                <w:color w:val="auto"/>
              </w:rPr>
              <w:t>174.3</w:t>
            </w:r>
          </w:p>
        </w:tc>
        <w:tc>
          <w:tcPr>
            <w:tcW w:w="1440" w:type="dxa"/>
            <w:vAlign w:val="bottom"/>
          </w:tcPr>
          <w:p>
            <w:pPr>
              <w:jc w:val="right"/>
              <w:ind w:right="450"/>
              <w:spacing w:after="0"/>
              <w:rPr>
                <w:sz w:val="20"/>
                <w:szCs w:val="20"/>
                <w:color w:val="auto"/>
              </w:rPr>
            </w:pPr>
            <w:r>
              <w:rPr>
                <w:rFonts w:ascii="Arial" w:cs="Arial" w:eastAsia="Arial" w:hAnsi="Arial"/>
                <w:sz w:val="15"/>
                <w:szCs w:val="15"/>
                <w:color w:val="auto"/>
              </w:rPr>
              <w:t>174.3</w:t>
            </w: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Revolving credit facility</w:t>
            </w:r>
          </w:p>
        </w:tc>
        <w:tc>
          <w:tcPr>
            <w:tcW w:w="6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5"/>
                <w:szCs w:val="15"/>
                <w:color w:val="auto"/>
              </w:rPr>
              <w:t>213.4</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5"/>
                <w:szCs w:val="15"/>
                <w:color w:val="auto"/>
              </w:rPr>
              <w:t>Total stockholders’ equity (deficit)</w:t>
            </w:r>
          </w:p>
        </w:tc>
        <w:tc>
          <w:tcPr>
            <w:tcW w:w="680" w:type="dxa"/>
            <w:vAlign w:val="bottom"/>
          </w:tcPr>
          <w:p>
            <w:pPr>
              <w:jc w:val="right"/>
              <w:ind w:right="87"/>
              <w:spacing w:after="0"/>
              <w:rPr>
                <w:sz w:val="20"/>
                <w:szCs w:val="20"/>
                <w:color w:val="auto"/>
              </w:rPr>
            </w:pPr>
            <w:r>
              <w:rPr>
                <w:rFonts w:ascii="Arial" w:cs="Arial" w:eastAsia="Arial" w:hAnsi="Arial"/>
                <w:sz w:val="15"/>
                <w:szCs w:val="15"/>
                <w:color w:val="auto"/>
              </w:rPr>
              <w:t>102.9</w:t>
            </w:r>
          </w:p>
        </w:tc>
        <w:tc>
          <w:tcPr>
            <w:tcW w:w="1440" w:type="dxa"/>
            <w:vAlign w:val="bottom"/>
          </w:tcPr>
          <w:p>
            <w:pPr>
              <w:jc w:val="right"/>
              <w:ind w:right="450"/>
              <w:spacing w:after="0"/>
              <w:rPr>
                <w:sz w:val="20"/>
                <w:szCs w:val="20"/>
                <w:color w:val="auto"/>
              </w:rPr>
            </w:pPr>
            <w:r>
              <w:rPr>
                <w:rFonts w:ascii="Arial" w:cs="Arial" w:eastAsia="Arial" w:hAnsi="Arial"/>
                <w:sz w:val="15"/>
                <w:szCs w:val="15"/>
                <w:color w:val="auto"/>
              </w:rPr>
              <w:t>(110.5)</w:t>
            </w: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520.5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520" w:right="179" w:hanging="255"/>
        <w:spacing w:after="0" w:line="244" w:lineRule="auto"/>
        <w:tabs>
          <w:tab w:leader="none" w:pos="1520" w:val="left"/>
        </w:tabs>
        <w:numPr>
          <w:ilvl w:val="0"/>
          <w:numId w:val="12"/>
        </w:numPr>
        <w:rPr>
          <w:rFonts w:ascii="Arial" w:cs="Arial" w:eastAsia="Arial" w:hAnsi="Arial"/>
          <w:sz w:val="22"/>
          <w:szCs w:val="22"/>
          <w:color w:val="auto"/>
          <w:vertAlign w:val="superscript"/>
        </w:rPr>
      </w:pPr>
      <w:r>
        <w:rPr>
          <w:rFonts w:ascii="Arial" w:cs="Arial" w:eastAsia="Arial" w:hAnsi="Arial"/>
          <w:sz w:val="13"/>
          <w:szCs w:val="13"/>
          <w:color w:val="auto"/>
        </w:rPr>
        <w:t>The pro forma column in the balance sheet data table above reflects (a) the Capital Stock Conversions, as if such conversions had occurred on December 31, 2017, (b) the filing and effectiveness of our amended and restated certificate of incorporation in Delaware that will become effective immediately prior to the completion of this offering, (c) stock-based compensation expense of $415.6 million associated with the RSU Settlement, (d) the net issuance of 15,897,254 shares of our Class B common stock upon the RSU Settlement, (e) the borrowing of $213.4 million under our revolving credit facility to satisfy our tax withholding and remittance obligations related to the RSU Settlement, and (f) a cash payment of $213.4 million to satisfy our tax withholding and remittance obligations related to the RSU Settlement.</w:t>
      </w:r>
    </w:p>
    <w:p>
      <w:pPr>
        <w:spacing w:after="0" w:line="1" w:lineRule="exact"/>
        <w:rPr>
          <w:rFonts w:ascii="Arial" w:cs="Arial" w:eastAsia="Arial" w:hAnsi="Arial"/>
          <w:sz w:val="22"/>
          <w:szCs w:val="22"/>
          <w:color w:val="auto"/>
          <w:vertAlign w:val="superscript"/>
        </w:rPr>
      </w:pPr>
    </w:p>
    <w:p>
      <w:pPr>
        <w:ind w:left="1520" w:right="99" w:hanging="255"/>
        <w:spacing w:after="0" w:line="238" w:lineRule="auto"/>
        <w:tabs>
          <w:tab w:leader="none" w:pos="1520" w:val="left"/>
        </w:tabs>
        <w:numPr>
          <w:ilvl w:val="0"/>
          <w:numId w:val="12"/>
        </w:numPr>
        <w:rPr>
          <w:rFonts w:ascii="Arial" w:cs="Arial" w:eastAsia="Arial" w:hAnsi="Arial"/>
          <w:sz w:val="22"/>
          <w:szCs w:val="22"/>
          <w:color w:val="auto"/>
          <w:vertAlign w:val="superscript"/>
        </w:rPr>
      </w:pPr>
      <w:r>
        <w:rPr>
          <w:rFonts w:ascii="Arial" w:cs="Arial" w:eastAsia="Arial" w:hAnsi="Arial"/>
          <w:sz w:val="13"/>
          <w:szCs w:val="13"/>
          <w:color w:val="auto"/>
        </w:rPr>
        <w:t>The pro forma as adjusted column in the balance sheet data table above gives effect to (a) the pro forma adjustments set forth above, (b) the sale and issuance by us of 31,584,314 shares of our Class A common stock in this offering and the concurrent private placement, based upon the initial public offering price of $21.00 per share and after deducting underwriting discounts and commissions and estimated offering expenses payable by us, and (c) the use of proceeds from the offering to repay $213.4 million drawn down under our revolving credit facility to satisfy our tax withholding and remittance obligations related to the RSU Settlement and pay related net costs of approximately $0.2 million.</w:t>
      </w:r>
    </w:p>
    <w:p>
      <w:pPr>
        <w:spacing w:after="0" w:line="200" w:lineRule="exact"/>
        <w:rPr>
          <w:sz w:val="20"/>
          <w:szCs w:val="20"/>
          <w:color w:val="auto"/>
        </w:rPr>
      </w:pPr>
    </w:p>
    <w:p>
      <w:pPr>
        <w:spacing w:after="0" w:line="33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19"/>
          </w:cols>
          <w:pgMar w:left="24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073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9620" cy="407352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260" w:right="779" w:firstLine="356"/>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260" w:right="59" w:firstLine="356"/>
        <w:spacing w:after="0" w:line="283" w:lineRule="auto"/>
        <w:rPr>
          <w:sz w:val="20"/>
          <w:szCs w:val="20"/>
          <w:color w:val="auto"/>
        </w:rPr>
      </w:pPr>
      <w:r>
        <w:rPr>
          <w:rFonts w:ascii="Arial" w:cs="Arial" w:eastAsia="Arial" w:hAnsi="Arial"/>
          <w:sz w:val="14"/>
          <w:szCs w:val="14"/>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160"/>
        <w:spacing w:after="0"/>
        <w:rPr>
          <w:sz w:val="20"/>
          <w:szCs w:val="20"/>
          <w:color w:val="auto"/>
        </w:rPr>
      </w:pPr>
      <w:r>
        <w:rPr>
          <w:rFonts w:ascii="Arial" w:cs="Arial" w:eastAsia="Arial" w:hAnsi="Arial"/>
          <w:sz w:val="12"/>
          <w:szCs w:val="12"/>
          <w:b w:val="1"/>
          <w:bCs w:val="1"/>
          <w:color w:val="auto"/>
        </w:rPr>
        <w:t>As of December 31,</w:t>
      </w:r>
    </w:p>
    <w:p>
      <w:pPr>
        <w:spacing w:after="0" w:line="9" w:lineRule="exact"/>
        <w:rPr>
          <w:sz w:val="20"/>
          <w:szCs w:val="20"/>
          <w:color w:val="auto"/>
        </w:rPr>
      </w:pPr>
    </w:p>
    <w:p>
      <w:pPr>
        <w:ind w:left="7920"/>
        <w:spacing w:after="0"/>
        <w:tabs>
          <w:tab w:leader="none" w:pos="8500" w:val="left"/>
          <w:tab w:leader="none" w:pos="91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6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980" w:type="dxa"/>
        <w:tblCellMar>
          <w:top w:w="0" w:type="dxa"/>
          <w:left w:w="0" w:type="dxa"/>
          <w:bottom w:w="0" w:type="dxa"/>
          <w:right w:w="0" w:type="dxa"/>
        </w:tblCellMar>
      </w:tblPr>
      <w:tr>
        <w:trPr>
          <w:trHeight w:val="172"/>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0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5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260" w:right="79" w:firstLine="356"/>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p>
      <w:pPr>
        <w:jc w:val="center"/>
        <w:ind w:left="5880"/>
        <w:spacing w:after="0"/>
        <w:rPr>
          <w:sz w:val="20"/>
          <w:szCs w:val="20"/>
          <w:color w:val="auto"/>
        </w:rPr>
      </w:pPr>
      <w:r>
        <w:rPr>
          <w:rFonts w:ascii="Arial" w:cs="Arial" w:eastAsia="Arial" w:hAnsi="Arial"/>
          <w:sz w:val="12"/>
          <w:szCs w:val="12"/>
          <w:b w:val="1"/>
          <w:bCs w:val="1"/>
          <w:color w:val="auto"/>
        </w:rPr>
        <w:t>Year ended December 31,</w:t>
      </w:r>
    </w:p>
    <w:p>
      <w:pPr>
        <w:spacing w:after="0" w:line="3" w:lineRule="exact"/>
        <w:rPr>
          <w:sz w:val="20"/>
          <w:szCs w:val="20"/>
          <w:color w:val="auto"/>
        </w:rPr>
      </w:pPr>
    </w:p>
    <w:p>
      <w:pPr>
        <w:ind w:left="7660"/>
        <w:spacing w:after="0"/>
        <w:tabs>
          <w:tab w:leader="none" w:pos="8520" w:val="left"/>
          <w:tab w:leader="none" w:pos="938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tbl>
      <w:tblPr>
        <w:tblLayout w:type="fixed"/>
        <w:tblInd w:w="1620" w:type="dxa"/>
        <w:tblCellMar>
          <w:top w:w="0" w:type="dxa"/>
          <w:left w:w="0" w:type="dxa"/>
          <w:bottom w:w="0" w:type="dxa"/>
          <w:right w:w="0" w:type="dxa"/>
        </w:tblCellMar>
      </w:tblPr>
      <w:tr>
        <w:trPr>
          <w:trHeight w:val="172"/>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ARPU</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define free cash flow, or FCF, as net cash provided by operating activities less capital expenditures.</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19"/>
          </w:cols>
          <w:pgMar w:left="24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146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9620" cy="1466850"/>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Year ended December 31,</w:t>
      </w:r>
    </w:p>
    <w:p>
      <w:pPr>
        <w:spacing w:after="0" w:line="9" w:lineRule="exact"/>
        <w:rPr>
          <w:sz w:val="20"/>
          <w:szCs w:val="20"/>
          <w:color w:val="auto"/>
        </w:rPr>
      </w:pPr>
    </w:p>
    <w:p>
      <w:pPr>
        <w:ind w:left="7700"/>
        <w:spacing w:after="0"/>
        <w:tabs>
          <w:tab w:leader="none" w:pos="8520" w:val="left"/>
          <w:tab w:leader="none" w:pos="93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Capital expenditures</w:t>
            </w:r>
          </w:p>
        </w:tc>
        <w:tc>
          <w:tcPr>
            <w:tcW w:w="17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right="379" w:firstLine="356"/>
        <w:spacing w:after="0" w:line="27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19"/>
          </w:cols>
          <w:pgMar w:left="24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 FACTORS</w:t>
      </w:r>
    </w:p>
    <w:p>
      <w:pPr>
        <w:spacing w:after="0" w:line="19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47"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19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business depends on our ability to retain and upgrade paying users, and any decline in renewals or upgrades could adversely affect our future results of operations.</w:t>
      </w:r>
    </w:p>
    <w:p>
      <w:pPr>
        <w:spacing w:after="0" w:line="56"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64" w:lineRule="exact"/>
        <w:rPr>
          <w:sz w:val="20"/>
          <w:szCs w:val="20"/>
          <w:color w:val="auto"/>
        </w:rPr>
      </w:pPr>
    </w:p>
    <w:p>
      <w:pPr>
        <w:ind w:left="1120" w:right="220" w:firstLine="368"/>
        <w:spacing w:after="0" w:line="255"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64" w:lineRule="exact"/>
        <w:rPr>
          <w:sz w:val="20"/>
          <w:szCs w:val="20"/>
          <w:color w:val="auto"/>
        </w:rPr>
      </w:pPr>
    </w:p>
    <w:p>
      <w:pPr>
        <w:jc w:val="both"/>
        <w:ind w:left="1120" w:right="140" w:firstLine="368"/>
        <w:spacing w:after="0" w:line="290" w:lineRule="auto"/>
        <w:rPr>
          <w:sz w:val="20"/>
          <w:szCs w:val="20"/>
          <w:color w:val="auto"/>
        </w:rPr>
      </w:pPr>
      <w:r>
        <w:rPr>
          <w:rFonts w:ascii="Arial" w:cs="Arial" w:eastAsia="Arial" w:hAnsi="Arial"/>
          <w:sz w:val="14"/>
          <w:szCs w:val="14"/>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future growth could be harmed if we fail to attract new users or convert registered users to paying users.</w:t>
      </w:r>
    </w:p>
    <w:p>
      <w:pPr>
        <w:spacing w:after="0" w:line="98" w:lineRule="exact"/>
        <w:rPr>
          <w:sz w:val="20"/>
          <w:szCs w:val="20"/>
          <w:color w:val="auto"/>
        </w:rPr>
      </w:pPr>
    </w:p>
    <w:p>
      <w:pPr>
        <w:ind w:left="1120" w:right="80" w:firstLine="368"/>
        <w:spacing w:after="0" w:line="290" w:lineRule="auto"/>
        <w:rPr>
          <w:sz w:val="20"/>
          <w:szCs w:val="20"/>
          <w:color w:val="auto"/>
        </w:rPr>
      </w:pPr>
      <w:r>
        <w:rPr>
          <w:rFonts w:ascii="Arial" w:cs="Arial" w:eastAsia="Arial" w:hAnsi="Arial"/>
          <w:sz w:val="14"/>
          <w:szCs w:val="14"/>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3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2017, we served over 500 million registered users but only 11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300"/>
          </w:cols>
          <w:pgMar w:left="240" w:top="407" w:right="13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revenue growth rate has declined in recent periods and may continue to slow in the future.</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We have a history of net losses, we anticipate increasing expenses in the future, and we may not be able to achieve or maintain profitability.</w:t>
      </w:r>
    </w:p>
    <w:p>
      <w:pPr>
        <w:spacing w:after="0" w:line="121"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47"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56"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320"/>
          </w:cols>
          <w:pgMar w:left="240" w:top="407" w:right="13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that we are unable to defend against 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4"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55"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43"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harmed by any significant disruption of service on our platform or loss of content.</w:t>
      </w:r>
    </w:p>
    <w:p>
      <w:pPr>
        <w:spacing w:after="0" w:line="98" w:lineRule="exact"/>
        <w:rPr>
          <w:sz w:val="20"/>
          <w:szCs w:val="20"/>
          <w:color w:val="auto"/>
        </w:rPr>
      </w:pPr>
    </w:p>
    <w:p>
      <w:pPr>
        <w:jc w:val="both"/>
        <w:ind w:left="1120" w:right="20" w:firstLine="368"/>
        <w:spacing w:after="0" w:line="279" w:lineRule="auto"/>
        <w:rPr>
          <w:sz w:val="20"/>
          <w:szCs w:val="20"/>
          <w:color w:val="auto"/>
        </w:rPr>
      </w:pPr>
      <w:r>
        <w:rPr>
          <w:rFonts w:ascii="Arial" w:cs="Arial" w:eastAsia="Arial" w:hAnsi="Arial"/>
          <w:sz w:val="14"/>
          <w:szCs w:val="14"/>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47"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80"/>
          </w:cols>
          <w:pgMar w:left="240" w:top="407" w:right="137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5" w:lineRule="auto"/>
        <w:rPr>
          <w:sz w:val="20"/>
          <w:szCs w:val="20"/>
          <w:color w:val="auto"/>
        </w:rPr>
      </w:pPr>
      <w:r>
        <w:rPr>
          <w:rFonts w:ascii="Arial" w:cs="Arial" w:eastAsia="Arial" w:hAnsi="Arial"/>
          <w:sz w:val="13"/>
          <w:szCs w:val="13"/>
          <w:color w:val="auto"/>
        </w:rPr>
        <w:t>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33"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23"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56"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awareness of the content collaboration category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availability of products and services that compete with ours;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customer support;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380" w:firstLine="368"/>
        <w:spacing w:after="0" w:line="263" w:lineRule="auto"/>
        <w:rPr>
          <w:sz w:val="20"/>
          <w:szCs w:val="20"/>
          <w:color w:val="auto"/>
        </w:rPr>
      </w:pPr>
      <w:r>
        <w:rPr>
          <w:rFonts w:ascii="Arial" w:cs="Arial" w:eastAsia="Arial" w:hAnsi="Arial"/>
          <w:sz w:val="15"/>
          <w:szCs w:val="15"/>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45" w:lineRule="exact"/>
        <w:rPr>
          <w:sz w:val="20"/>
          <w:szCs w:val="20"/>
          <w:color w:val="auto"/>
        </w:rPr>
      </w:pPr>
    </w:p>
    <w:p>
      <w:pPr>
        <w:ind w:left="1120" w:right="460"/>
        <w:spacing w:after="0" w:line="275" w:lineRule="auto"/>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80"/>
          </w:cols>
          <w:pgMar w:left="240" w:top="407" w:right="137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0" w:lineRule="auto"/>
        <w:rPr>
          <w:sz w:val="20"/>
          <w:szCs w:val="20"/>
          <w:color w:val="auto"/>
        </w:rPr>
      </w:pPr>
      <w:r>
        <w:rPr>
          <w:rFonts w:ascii="Arial" w:cs="Arial" w:eastAsia="Arial" w:hAnsi="Arial"/>
          <w:sz w:val="13"/>
          <w:szCs w:val="13"/>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3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operate in competitive markets, and we must continue to compete effectively.</w:t>
      </w:r>
    </w:p>
    <w:p>
      <w:pPr>
        <w:spacing w:after="0" w:line="98"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80" w:lineRule="exact"/>
        <w:rPr>
          <w:sz w:val="20"/>
          <w:szCs w:val="20"/>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With the introduction of new technologies and market entrants, we expect competition to intensify in the future. Many of our actual and potential competitors benefit from competitive advantages over us, such as greater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300"/>
          </w:cols>
          <w:pgMar w:left="240" w:top="407" w:right="135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57" w:lineRule="auto"/>
        <w:rPr>
          <w:sz w:val="20"/>
          <w:szCs w:val="20"/>
          <w:color w:val="auto"/>
        </w:rPr>
      </w:pPr>
      <w:r>
        <w:rPr>
          <w:rFonts w:ascii="Arial" w:cs="Arial" w:eastAsia="Arial" w:hAnsi="Arial"/>
          <w:sz w:val="15"/>
          <w:szCs w:val="15"/>
          <w:color w:val="auto"/>
        </w:rPr>
        <w:t>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59" w:lineRule="exact"/>
        <w:rPr>
          <w:sz w:val="20"/>
          <w:szCs w:val="20"/>
          <w:color w:val="auto"/>
        </w:rPr>
      </w:pPr>
    </w:p>
    <w:p>
      <w:pPr>
        <w:ind w:left="1120" w:right="120" w:firstLine="368"/>
        <w:spacing w:after="0" w:line="302" w:lineRule="auto"/>
        <w:rPr>
          <w:sz w:val="20"/>
          <w:szCs w:val="20"/>
          <w:color w:val="auto"/>
        </w:rPr>
      </w:pPr>
      <w:r>
        <w:rPr>
          <w:rFonts w:ascii="Arial" w:cs="Arial" w:eastAsia="Arial" w:hAnsi="Arial"/>
          <w:sz w:val="13"/>
          <w:szCs w:val="13"/>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be able to respond to rapid technological changes, extend our platform, or develop new features.</w:t>
      </w:r>
    </w:p>
    <w:p>
      <w:pPr>
        <w:spacing w:after="0" w:line="98"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4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successfully manage our growth or plan for future growth.</w:t>
      </w:r>
    </w:p>
    <w:p>
      <w:pPr>
        <w:spacing w:after="0" w:line="98"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Since our founding in 2007, we have experienced rapid growth. For example, our headcount has grown from 1,446 employees as of December 31, 2015, to 1,858 employees as of December 31, 2017, with employees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320"/>
          </w:cols>
          <w:pgMar w:left="240" w:top="407" w:right="13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61"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lack of a significant outbound sales force may limit the potential growth of our business.</w:t>
      </w:r>
    </w:p>
    <w:p>
      <w:pPr>
        <w:spacing w:after="0" w:line="9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expand sales to large organizations, which could lengthen sales cycles and result in greater deployment challenges.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Any failure to offer high-quality customer support may harm our relationships with our users and our financial results.</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320"/>
          </w:cols>
          <w:pgMar w:left="240" w:top="407" w:right="13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6" w:lineRule="auto"/>
        <w:rPr>
          <w:sz w:val="20"/>
          <w:szCs w:val="20"/>
          <w:color w:val="auto"/>
        </w:rPr>
      </w:pPr>
      <w:r>
        <w:rPr>
          <w:rFonts w:ascii="Arial" w:cs="Arial" w:eastAsia="Arial" w:hAnsi="Arial"/>
          <w:sz w:val="14"/>
          <w:szCs w:val="14"/>
          <w:color w:val="auto"/>
        </w:rPr>
        <w:t>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11 million as of December 31,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3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quarterly results may fluctuate significantly and may not fully reflect the underlying performance of our business.</w:t>
      </w:r>
    </w:p>
    <w:p>
      <w:pPr>
        <w:spacing w:after="0" w:line="98" w:lineRule="exact"/>
        <w:rPr>
          <w:sz w:val="20"/>
          <w:szCs w:val="20"/>
          <w:color w:val="auto"/>
        </w:rPr>
      </w:pPr>
    </w:p>
    <w:p>
      <w:pPr>
        <w:ind w:left="1120" w:right="120" w:firstLine="368"/>
        <w:spacing w:after="0" w:line="255" w:lineRule="auto"/>
        <w:rPr>
          <w:sz w:val="20"/>
          <w:szCs w:val="20"/>
          <w:color w:val="auto"/>
        </w:rPr>
      </w:pPr>
      <w:r>
        <w:rPr>
          <w:rFonts w:ascii="Arial" w:cs="Arial" w:eastAsia="Arial" w:hAnsi="Arial"/>
          <w:sz w:val="15"/>
          <w:szCs w:val="15"/>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85" w:lineRule="exact"/>
        <w:rPr>
          <w:sz w:val="20"/>
          <w:szCs w:val="20"/>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attract new paying users and convert registered to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of expenses and recognition of revenue;</w:t>
      </w:r>
    </w:p>
    <w:p>
      <w:pPr>
        <w:spacing w:after="0" w:line="109"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the maintenance and expansion of our business, operations, and infrastructure, as well as entry into operating and capital leases;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of expenses related to acquisitions;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any large indemnification payments to our users or other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our pricing policies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and success of new product feature and service introductions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27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results of operations may not immediately reflect downturns or upturns in sales because we recognize revenue from our users over the term of their subscriptions with us.</w:t>
      </w:r>
    </w:p>
    <w:p>
      <w:pPr>
        <w:spacing w:after="0" w:line="56"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300"/>
          </w:cols>
          <w:pgMar w:left="240" w:top="407" w:right="135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0"/>
        <w:spacing w:after="0" w:line="290" w:lineRule="auto"/>
        <w:rPr>
          <w:sz w:val="20"/>
          <w:szCs w:val="20"/>
          <w:color w:val="auto"/>
        </w:rPr>
      </w:pPr>
      <w:r>
        <w:rPr>
          <w:rFonts w:ascii="Arial" w:cs="Arial" w:eastAsia="Arial" w:hAnsi="Arial"/>
          <w:sz w:val="14"/>
          <w:szCs w:val="14"/>
          <w:color w:val="auto"/>
        </w:rPr>
        <w:t>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28"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56"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47"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8" w:lineRule="exact"/>
        <w:rPr>
          <w:sz w:val="20"/>
          <w:szCs w:val="20"/>
          <w:color w:val="auto"/>
        </w:rPr>
      </w:pPr>
    </w:p>
    <w:p>
      <w:pPr>
        <w:ind w:left="1120" w:right="40" w:firstLine="368"/>
        <w:spacing w:after="0" w:line="296" w:lineRule="auto"/>
        <w:rPr>
          <w:sz w:val="20"/>
          <w:szCs w:val="20"/>
          <w:color w:val="auto"/>
        </w:rPr>
      </w:pPr>
      <w:r>
        <w:rPr>
          <w:rFonts w:ascii="Arial" w:cs="Arial" w:eastAsia="Arial" w:hAnsi="Arial"/>
          <w:sz w:val="13"/>
          <w:szCs w:val="13"/>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41" w:lineRule="exact"/>
        <w:rPr>
          <w:sz w:val="20"/>
          <w:szCs w:val="20"/>
          <w:color w:val="auto"/>
        </w:rPr>
      </w:pPr>
    </w:p>
    <w:p>
      <w:pPr>
        <w:jc w:val="both"/>
        <w:ind w:left="1120" w:right="240" w:firstLine="368"/>
        <w:spacing w:after="0" w:line="263" w:lineRule="auto"/>
        <w:rPr>
          <w:sz w:val="20"/>
          <w:szCs w:val="20"/>
          <w:color w:val="auto"/>
        </w:rPr>
      </w:pPr>
      <w:r>
        <w:rPr>
          <w:rFonts w:ascii="Arial" w:cs="Arial" w:eastAsia="Arial" w:hAnsi="Arial"/>
          <w:sz w:val="15"/>
          <w:szCs w:val="15"/>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45"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5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320"/>
          </w:cols>
          <w:pgMar w:left="240" w:top="407" w:right="13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the Dropbox brand, or if we incur excessive expenses in this effort, our business, results of operations, and financial condition will be materially and adversely affected.</w:t>
      </w:r>
    </w:p>
    <w:p>
      <w:pPr>
        <w:spacing w:after="0" w:line="236" w:lineRule="exact"/>
        <w:rPr>
          <w:sz w:val="20"/>
          <w:szCs w:val="20"/>
          <w:color w:val="auto"/>
        </w:rPr>
      </w:pPr>
    </w:p>
    <w:p>
      <w:pPr>
        <w:ind w:left="1120" w:right="20"/>
        <w:spacing w:after="0" w:line="275" w:lineRule="auto"/>
        <w:rPr>
          <w:sz w:val="20"/>
          <w:szCs w:val="20"/>
          <w:color w:val="auto"/>
        </w:rPr>
      </w:pPr>
      <w:r>
        <w:rPr>
          <w:rFonts w:ascii="Arial" w:cs="Arial" w:eastAsia="Arial" w:hAnsi="Arial"/>
          <w:sz w:val="15"/>
          <w:szCs w:val="15"/>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56"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71" w:lineRule="exact"/>
        <w:rPr>
          <w:sz w:val="20"/>
          <w:szCs w:val="20"/>
          <w:color w:val="auto"/>
        </w:rPr>
      </w:pPr>
    </w:p>
    <w:p>
      <w:pPr>
        <w:ind w:left="1840" w:right="220" w:hanging="276"/>
        <w:spacing w:after="0" w:line="275"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67" w:lineRule="exact"/>
        <w:rPr>
          <w:rFonts w:ascii="Arial" w:cs="Arial" w:eastAsia="Arial" w:hAnsi="Arial"/>
          <w:sz w:val="15"/>
          <w:szCs w:val="15"/>
          <w:color w:val="auto"/>
        </w:rPr>
      </w:pPr>
    </w:p>
    <w:p>
      <w:pPr>
        <w:ind w:left="1840" w:right="400" w:hanging="276"/>
        <w:spacing w:after="0" w:line="263"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5" w:lineRule="exact"/>
        <w:rPr>
          <w:rFonts w:ascii="Arial" w:cs="Arial" w:eastAsia="Arial" w:hAnsi="Arial"/>
          <w:sz w:val="15"/>
          <w:szCs w:val="15"/>
          <w:color w:val="auto"/>
        </w:rPr>
      </w:pPr>
    </w:p>
    <w:p>
      <w:pPr>
        <w:ind w:left="1840" w:right="180" w:hanging="276"/>
        <w:spacing w:after="0" w:line="263"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75"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to the same extent as does the United States;</w:t>
      </w:r>
    </w:p>
    <w:p>
      <w:pPr>
        <w:spacing w:after="0" w:line="109" w:lineRule="exact"/>
        <w:rPr>
          <w:rFonts w:ascii="Arial" w:cs="Arial" w:eastAsia="Arial" w:hAnsi="Arial"/>
          <w:sz w:val="15"/>
          <w:szCs w:val="15"/>
          <w:color w:val="auto"/>
        </w:rPr>
      </w:pPr>
    </w:p>
    <w:p>
      <w:pPr>
        <w:ind w:left="1840" w:right="380" w:hanging="276"/>
        <w:spacing w:after="0" w:line="312" w:lineRule="auto"/>
        <w:tabs>
          <w:tab w:leader="none" w:pos="1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3" w:lineRule="exact"/>
        <w:rPr>
          <w:rFonts w:ascii="Arial" w:cs="Arial" w:eastAsia="Arial" w:hAnsi="Arial"/>
          <w:sz w:val="14"/>
          <w:szCs w:val="14"/>
          <w:color w:val="auto"/>
        </w:rPr>
      </w:pPr>
    </w:p>
    <w:p>
      <w:pPr>
        <w:ind w:left="1840" w:hanging="276"/>
        <w:spacing w:after="0" w:line="275"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09"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200" w:lineRule="exact"/>
        <w:rPr>
          <w:sz w:val="20"/>
          <w:szCs w:val="20"/>
          <w:color w:val="auto"/>
        </w:rPr>
      </w:pPr>
    </w:p>
    <w:p>
      <w:pPr>
        <w:jc w:val="both"/>
        <w:ind w:left="1120" w:right="360" w:firstLine="368"/>
        <w:spacing w:after="0" w:line="322" w:lineRule="auto"/>
        <w:rPr>
          <w:sz w:val="20"/>
          <w:szCs w:val="20"/>
          <w:color w:val="auto"/>
        </w:rPr>
      </w:pPr>
      <w:r>
        <w:rPr>
          <w:rFonts w:ascii="Arial" w:cs="Arial" w:eastAsia="Arial" w:hAnsi="Arial"/>
          <w:sz w:val="13"/>
          <w:szCs w:val="13"/>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80"/>
          </w:cols>
          <w:pgMar w:left="240" w:top="407" w:right="137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00"/>
        <w:spacing w:after="0" w:line="290" w:lineRule="auto"/>
        <w:rPr>
          <w:sz w:val="20"/>
          <w:szCs w:val="20"/>
          <w:color w:val="auto"/>
        </w:rPr>
      </w:pPr>
      <w:r>
        <w:rPr>
          <w:rFonts w:ascii="Arial" w:cs="Arial" w:eastAsia="Arial" w:hAnsi="Arial"/>
          <w:sz w:val="14"/>
          <w:szCs w:val="14"/>
          <w:color w:val="auto"/>
        </w:rPr>
        <w:t>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28"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56"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5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5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9"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80"/>
          </w:cols>
          <w:pgMar w:left="240" w:top="407" w:right="137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56"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4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254" w:lineRule="exact"/>
        <w:rPr>
          <w:sz w:val="20"/>
          <w:szCs w:val="20"/>
          <w:color w:val="auto"/>
        </w:rPr>
      </w:pPr>
    </w:p>
    <w:p>
      <w:pPr>
        <w:ind w:left="1120" w:right="180"/>
        <w:spacing w:after="0" w:line="263"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65"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34"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We are also subject to various U.S. and international anti-corruption laws, such as the U.S. Foreign Corrupt Practices Act and the U.K. Bribery Act, as well as other similar anti-bribery and anti-kickback laws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80"/>
          </w:cols>
          <w:pgMar w:left="240" w:top="407" w:right="137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248"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56"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If we are found to be in violation of U.S. sanctions or export control laws, it could result in substantial fines and penalties for us and for the individuals working for us.</w:t>
      </w:r>
    </w:p>
    <w:p>
      <w:pPr>
        <w:spacing w:after="0" w:line="156" w:lineRule="exact"/>
        <w:rPr>
          <w:sz w:val="20"/>
          <w:szCs w:val="20"/>
          <w:color w:val="auto"/>
        </w:rPr>
      </w:pPr>
    </w:p>
    <w:p>
      <w:pPr>
        <w:ind w:left="1120" w:right="60" w:firstLine="368"/>
        <w:spacing w:after="0" w:line="298" w:lineRule="auto"/>
        <w:rPr>
          <w:sz w:val="20"/>
          <w:szCs w:val="20"/>
          <w:color w:val="auto"/>
        </w:rPr>
      </w:pPr>
      <w:r>
        <w:rPr>
          <w:rFonts w:ascii="Arial" w:cs="Arial" w:eastAsia="Arial" w:hAnsi="Arial"/>
          <w:sz w:val="13"/>
          <w:szCs w:val="13"/>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2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5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320"/>
          </w:cols>
          <w:pgMar w:left="240" w:top="407" w:right="13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41"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business could be adversely impacted by changes in internet access for our users or laws specifically governing the internet.</w:t>
      </w:r>
    </w:p>
    <w:p>
      <w:pPr>
        <w:spacing w:after="0" w:line="110"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79" w:lineRule="exact"/>
        <w:rPr>
          <w:sz w:val="20"/>
          <w:szCs w:val="20"/>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implement usage-based pricing;</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discount pricing for competitive products;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otherwise materially change their pricing rates or schemes;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charge us to deliver our traffic at certain levels or at all;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throttle traffic based on its source or type;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implement bandwidth caps or other usage restrictions;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otherwise try to monetize or control access to their networks.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320"/>
          </w:cols>
          <w:pgMar w:left="240" w:top="407" w:right="13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59"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51" w:lineRule="exact"/>
        <w:rPr>
          <w:sz w:val="20"/>
          <w:szCs w:val="20"/>
          <w:color w:val="auto"/>
        </w:rPr>
      </w:pPr>
    </w:p>
    <w:p>
      <w:pPr>
        <w:ind w:left="1120" w:right="260"/>
        <w:spacing w:after="0" w:line="275" w:lineRule="auto"/>
        <w:rPr>
          <w:sz w:val="20"/>
          <w:szCs w:val="20"/>
          <w:color w:val="auto"/>
        </w:rPr>
      </w:pPr>
      <w:r>
        <w:rPr>
          <w:rFonts w:ascii="Arial" w:cs="Arial" w:eastAsia="Arial" w:hAnsi="Arial"/>
          <w:sz w:val="15"/>
          <w:szCs w:val="15"/>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56" w:lineRule="exact"/>
        <w:rPr>
          <w:sz w:val="20"/>
          <w:szCs w:val="20"/>
          <w:color w:val="auto"/>
        </w:rPr>
      </w:pPr>
    </w:p>
    <w:p>
      <w:pPr>
        <w:ind w:left="1120" w:right="40" w:firstLine="368"/>
        <w:spacing w:after="0" w:line="295" w:lineRule="auto"/>
        <w:rPr>
          <w:sz w:val="20"/>
          <w:szCs w:val="20"/>
          <w:color w:val="auto"/>
        </w:rPr>
      </w:pPr>
      <w:r>
        <w:rPr>
          <w:rFonts w:ascii="Arial" w:cs="Arial" w:eastAsia="Arial" w:hAnsi="Arial"/>
          <w:sz w:val="13"/>
          <w:szCs w:val="13"/>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110" w:lineRule="exact"/>
        <w:rPr>
          <w:sz w:val="20"/>
          <w:szCs w:val="20"/>
          <w:color w:val="auto"/>
        </w:rPr>
      </w:pPr>
    </w:p>
    <w:p>
      <w:pPr>
        <w:ind w:left="1120" w:right="100" w:firstLine="368"/>
        <w:spacing w:after="0" w:line="283" w:lineRule="auto"/>
        <w:rPr>
          <w:sz w:val="20"/>
          <w:szCs w:val="20"/>
          <w:color w:val="auto"/>
        </w:rPr>
      </w:pPr>
      <w:r>
        <w:rPr>
          <w:rFonts w:ascii="Arial" w:cs="Arial" w:eastAsia="Arial" w:hAnsi="Arial"/>
          <w:sz w:val="14"/>
          <w:szCs w:val="14"/>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 our proprietary rights, third parties may challenge our</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320"/>
          </w:cols>
          <w:pgMar w:left="240" w:top="407" w:right="13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2" w:lineRule="auto"/>
        <w:rPr>
          <w:sz w:val="20"/>
          <w:szCs w:val="20"/>
          <w:color w:val="auto"/>
        </w:rPr>
      </w:pPr>
      <w:r>
        <w:rPr>
          <w:rFonts w:ascii="Arial" w:cs="Arial" w:eastAsia="Arial" w:hAnsi="Arial"/>
          <w:sz w:val="14"/>
          <w:szCs w:val="14"/>
          <w:color w:val="auto"/>
        </w:rPr>
        <w:t>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offer and sell subscriptions to our platform and subject us to possible litigation.</w:t>
      </w:r>
    </w:p>
    <w:p>
      <w:pPr>
        <w:spacing w:after="0" w:line="110"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sell subscriptions to our platform could be harmed by real or perceived material defects or errors in our platform.</w:t>
      </w:r>
    </w:p>
    <w:p>
      <w:pPr>
        <w:spacing w:after="0" w:line="9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36" w:lineRule="exact"/>
        <w:rPr>
          <w:sz w:val="20"/>
          <w:szCs w:val="20"/>
          <w:color w:val="auto"/>
        </w:rPr>
      </w:pPr>
    </w:p>
    <w:p>
      <w:pPr>
        <w:ind w:left="1120" w:right="500" w:firstLine="368"/>
        <w:spacing w:after="0" w:line="263"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76" w:lineRule="exact"/>
        <w:rPr>
          <w:sz w:val="20"/>
          <w:szCs w:val="20"/>
          <w:color w:val="auto"/>
        </w:rPr>
      </w:pPr>
    </w:p>
    <w:p>
      <w:pPr>
        <w:ind w:left="5640" w:right="3940" w:hanging="4076"/>
        <w:spacing w:after="0" w:line="497" w:lineRule="auto"/>
        <w:tabs>
          <w:tab w:leader="none" w:pos="1835"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 31</w:t>
      </w:r>
    </w:p>
    <w:p>
      <w:pPr>
        <w:sectPr>
          <w:pgSz w:w="11900" w:h="16838" w:orient="portrait"/>
          <w:cols w:equalWidth="0" w:num="1">
            <w:col w:w="10320"/>
          </w:cols>
          <w:pgMar w:left="240" w:top="407" w:right="13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require us to issue refunds to our users or expose us to claims for damages;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cause us to lose existing users and make it more difficult to attract new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increase our technical support costs;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harm our reputation and brand.</w:t>
      </w:r>
    </w:p>
    <w:p>
      <w:pPr>
        <w:spacing w:after="0" w:line="279"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may acquire other businesses or receive offers to be acquired, which could require significant management attention, disrupt our business, or dilute stockholder value.</w:t>
      </w:r>
    </w:p>
    <w:p>
      <w:pPr>
        <w:spacing w:after="0" w:line="56"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54"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business may be significantly impacted by a change in the economy, including any resulting effect on consumer or business spending.</w:t>
      </w:r>
    </w:p>
    <w:p>
      <w:pPr>
        <w:spacing w:after="0" w:line="121"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disrupted by catastrophic events.</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80"/>
          </w:cols>
          <w:pgMar w:left="240" w:top="407" w:right="137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0"/>
        <w:spacing w:after="0" w:line="263" w:lineRule="auto"/>
        <w:rPr>
          <w:sz w:val="20"/>
          <w:szCs w:val="20"/>
          <w:color w:val="auto"/>
        </w:rPr>
      </w:pPr>
      <w:r>
        <w:rPr>
          <w:rFonts w:ascii="Arial" w:cs="Arial" w:eastAsia="Arial" w:hAnsi="Arial"/>
          <w:sz w:val="15"/>
          <w:szCs w:val="15"/>
          <w:color w:val="auto"/>
        </w:rPr>
        <w:t>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have exposure to greater than anticipated tax liabilities, which could adversely impact our results of operations.</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59" w:lineRule="exact"/>
        <w:rPr>
          <w:sz w:val="20"/>
          <w:szCs w:val="20"/>
          <w:color w:val="auto"/>
        </w:rPr>
      </w:pPr>
    </w:p>
    <w:p>
      <w:pPr>
        <w:jc w:val="both"/>
        <w:ind w:left="1120" w:right="160" w:firstLine="368"/>
        <w:spacing w:after="0" w:line="294" w:lineRule="auto"/>
        <w:rPr>
          <w:sz w:val="20"/>
          <w:szCs w:val="20"/>
          <w:color w:val="auto"/>
        </w:rPr>
      </w:pPr>
      <w:r>
        <w:rPr>
          <w:rFonts w:ascii="Arial" w:cs="Arial" w:eastAsia="Arial" w:hAnsi="Arial"/>
          <w:sz w:val="13"/>
          <w:szCs w:val="13"/>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w:t>
      </w:r>
    </w:p>
    <w:p>
      <w:pPr>
        <w:spacing w:after="0" w:line="1" w:lineRule="exact"/>
        <w:rPr>
          <w:sz w:val="20"/>
          <w:szCs w:val="20"/>
          <w:color w:val="auto"/>
        </w:rPr>
      </w:pPr>
    </w:p>
    <w:p>
      <w:pPr>
        <w:ind w:left="1120" w:right="420"/>
        <w:spacing w:after="0" w:line="256" w:lineRule="auto"/>
        <w:rPr>
          <w:sz w:val="20"/>
          <w:szCs w:val="20"/>
          <w:color w:val="auto"/>
        </w:rPr>
      </w:pPr>
      <w:r>
        <w:rPr>
          <w:rFonts w:ascii="Arial" w:cs="Arial" w:eastAsia="Arial" w:hAnsi="Arial"/>
          <w:sz w:val="15"/>
          <w:szCs w:val="15"/>
          <w:color w:val="auto"/>
        </w:rPr>
        <w:t>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60" w:lineRule="exact"/>
        <w:rPr>
          <w:sz w:val="20"/>
          <w:szCs w:val="20"/>
          <w:color w:val="auto"/>
        </w:rPr>
      </w:pPr>
    </w:p>
    <w:p>
      <w:pPr>
        <w:ind w:left="1120" w:right="20" w:firstLine="368"/>
        <w:spacing w:after="0" w:line="277" w:lineRule="auto"/>
        <w:rPr>
          <w:sz w:val="20"/>
          <w:szCs w:val="20"/>
          <w:color w:val="auto"/>
        </w:rPr>
      </w:pPr>
      <w:r>
        <w:rPr>
          <w:rFonts w:ascii="Arial" w:cs="Arial" w:eastAsia="Arial" w:hAnsi="Arial"/>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and certain other tax attributes may be limited.</w:t>
      </w:r>
    </w:p>
    <w:p>
      <w:pPr>
        <w:spacing w:after="0" w:line="9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320"/>
          </w:cols>
          <w:pgMar w:left="240" w:top="407" w:right="13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5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37"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56"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On December 22, 2017, the legislation commonly referred to as the Tax Cuts and Jobs Act, or the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230" w:lineRule="exact"/>
        <w:rPr>
          <w:sz w:val="20"/>
          <w:szCs w:val="20"/>
          <w:color w:val="auto"/>
        </w:rPr>
      </w:pPr>
    </w:p>
    <w:p>
      <w:pPr>
        <w:ind w:left="1120" w:right="420"/>
        <w:spacing w:after="0" w:line="275"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As a public company, we will be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7" w:lineRule="exact"/>
        <w:rPr>
          <w:sz w:val="20"/>
          <w:szCs w:val="20"/>
          <w:color w:val="auto"/>
        </w:rPr>
      </w:pPr>
    </w:p>
    <w:p>
      <w:pPr>
        <w:ind w:left="1120" w:right="100" w:firstLine="368"/>
        <w:spacing w:after="0" w:line="300"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300"/>
          </w:cols>
          <w:pgMar w:left="240" w:top="407" w:right="135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51"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254"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b w:val="1"/>
          <w:bCs w:val="1"/>
          <w:i w:val="1"/>
          <w:iCs w:val="1"/>
          <w:color w:val="auto"/>
        </w:rPr>
        <w:t>Although we ceased to be an “emerging growth company,” we can continue to take advantage of certain reduced disclosure requirements in this registration statement, which may make our Class A common stock less attractive to investors.</w:t>
      </w:r>
    </w:p>
    <w:p>
      <w:pPr>
        <w:spacing w:after="0" w:line="56"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color w:val="auto"/>
        </w:rPr>
        <w:t>We ceased to be an “emerging growth company,” as defined in the Jumpstart Our Business Startups Act of 2012, or the JOBS Act, on December 31, 2017. However, because we ceased to be an “emerging growth company” after we confidentially submitted our registration statement related to this offering to the SEC, we will continue to be treated as an “emerging growth company” for certain purposes until the earlier of the date on which we complete this offering or December 31, 2018. As such, we have taken advantage of certain reduced disclosure obligations regarding selected financial data and executive compensation arrangements in our registration statement related to this offering that are not available to non-emerging growth companies. We cannot predict if investors will find our Class A common stock less attractive because we have relied on these exemptions. If some investors find our Class A common stock less attractive as a result, there may be less demand for our Class A common stock and the price that some investors are willing to pay for our Class A common stock may decrease.</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with Customers (Topic 606)</w:t>
      </w:r>
      <w:r>
        <w:rPr>
          <w:rFonts w:ascii="Arial" w:cs="Arial" w:eastAsia="Arial" w:hAnsi="Arial"/>
          <w:sz w:val="14"/>
          <w:szCs w:val="14"/>
          <w:color w:val="auto"/>
        </w:rPr>
        <w:t>, or Topic 606, which superseded nearly all existing revenue recognition guidance. We adopted the requirements of Topic</w:t>
      </w:r>
      <w:r>
        <w:rPr>
          <w:rFonts w:ascii="Arial" w:cs="Arial" w:eastAsia="Arial" w:hAnsi="Arial"/>
          <w:sz w:val="14"/>
          <w:szCs w:val="14"/>
          <w:i w:val="1"/>
          <w:iCs w:val="1"/>
          <w:color w:val="auto"/>
        </w:rPr>
        <w:t xml:space="preserve"> </w:t>
      </w:r>
      <w:r>
        <w:rPr>
          <w:rFonts w:ascii="Arial" w:cs="Arial" w:eastAsia="Arial" w:hAnsi="Arial"/>
          <w:sz w:val="14"/>
          <w:szCs w:val="14"/>
          <w:color w:val="auto"/>
        </w:rPr>
        <w:t>606 as of January 1, 2017, utilizing the full retrospective method of transition. As such, Topic 606 is reflected in our financial results for all periods presented in this prospectus. The adoption of Topic 606 primarily resulted in</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80"/>
          </w:cols>
          <w:pgMar w:left="240" w:top="407" w:right="137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63" w:lineRule="auto"/>
        <w:rPr>
          <w:sz w:val="20"/>
          <w:szCs w:val="20"/>
          <w:color w:val="auto"/>
        </w:rPr>
      </w:pPr>
      <w:r>
        <w:rPr>
          <w:rFonts w:ascii="Arial" w:cs="Arial" w:eastAsia="Arial" w:hAnsi="Arial"/>
          <w:sz w:val="15"/>
          <w:szCs w:val="15"/>
          <w:color w:val="auto"/>
        </w:rPr>
        <w:t>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245"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65" w:lineRule="exact"/>
        <w:rPr>
          <w:sz w:val="20"/>
          <w:szCs w:val="20"/>
          <w:color w:val="auto"/>
        </w:rPr>
      </w:pPr>
    </w:p>
    <w:p>
      <w:pPr>
        <w:ind w:left="1120" w:right="80" w:firstLine="368"/>
        <w:spacing w:after="0" w:line="298" w:lineRule="auto"/>
        <w:rPr>
          <w:sz w:val="20"/>
          <w:szCs w:val="20"/>
          <w:color w:val="auto"/>
        </w:rPr>
      </w:pPr>
      <w:r>
        <w:rPr>
          <w:rFonts w:ascii="Arial" w:cs="Arial" w:eastAsia="Arial" w:hAnsi="Arial"/>
          <w:sz w:val="13"/>
          <w:szCs w:val="13"/>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29"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56" w:lineRule="exact"/>
        <w:rPr>
          <w:sz w:val="20"/>
          <w:szCs w:val="20"/>
          <w:color w:val="auto"/>
        </w:rPr>
      </w:pPr>
    </w:p>
    <w:p>
      <w:pPr>
        <w:ind w:left="1120" w:right="60" w:firstLine="368"/>
        <w:spacing w:after="0" w:line="273" w:lineRule="auto"/>
        <w:rPr>
          <w:sz w:val="20"/>
          <w:szCs w:val="20"/>
          <w:color w:val="auto"/>
        </w:rPr>
      </w:pPr>
      <w:r>
        <w:rPr>
          <w:rFonts w:ascii="Arial" w:cs="Arial" w:eastAsia="Arial" w:hAnsi="Arial"/>
          <w:sz w:val="14"/>
          <w:szCs w:val="14"/>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44"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6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320"/>
          </w:cols>
          <w:pgMar w:left="240" w:top="407" w:right="13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4"/>
          <w:szCs w:val="14"/>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39"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operations may be interrupted and our business, results of operations, and financial condition could be adversely affected if we default on our leasing or credit obligations.</w:t>
      </w:r>
    </w:p>
    <w:p>
      <w:pPr>
        <w:spacing w:after="0" w:line="56"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We finance a significant portion of our expenditures through leasing arrangements, some of which are not required to be reflected on our balance sheet, and we may enter into additional similar arrangements in the future. As of December 31, 2017, we had an aggregate of $1,687.0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 settlement of restricted stock units, or RSUs. If we default on these leasing or credit obligations, our leasing partners and lenders may, among other things:</w:t>
      </w:r>
    </w:p>
    <w:p>
      <w:pPr>
        <w:spacing w:after="0" w:line="69" w:lineRule="exact"/>
        <w:rPr>
          <w:sz w:val="20"/>
          <w:szCs w:val="20"/>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repayment of any outstanding lease obligations;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terminate our leasing arrangements;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terminate our access to the leased datacenters we utilize;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stop delivery of ordered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sell or require us to return our leased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repayment of any outstanding amounts drawn on our revolving credit facility;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terminate our revolving credit facility;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us to pay significant fees, penalties, or damages.</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61"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may need additional capital, and we cannot be certain that additional financing will be available on favorable terms, or at all.</w:t>
      </w:r>
    </w:p>
    <w:p>
      <w:pPr>
        <w:spacing w:after="0" w:line="9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40"/>
          </w:cols>
          <w:pgMar w:left="240" w:top="407" w:right="14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7" w:lineRule="auto"/>
        <w:rPr>
          <w:sz w:val="20"/>
          <w:szCs w:val="20"/>
          <w:color w:val="auto"/>
        </w:rPr>
      </w:pPr>
      <w:r>
        <w:rPr>
          <w:rFonts w:ascii="Arial" w:cs="Arial" w:eastAsia="Arial" w:hAnsi="Arial"/>
          <w:sz w:val="14"/>
          <w:szCs w:val="14"/>
          <w:color w:val="auto"/>
        </w:rPr>
        <w:t>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35"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 active trading market for our Class A common stock may never develop or be sustained.</w:t>
      </w:r>
    </w:p>
    <w:p>
      <w:pPr>
        <w:spacing w:after="0" w:line="98" w:lineRule="exact"/>
        <w:rPr>
          <w:sz w:val="20"/>
          <w:szCs w:val="20"/>
          <w:color w:val="auto"/>
        </w:rPr>
      </w:pPr>
    </w:p>
    <w:p>
      <w:pPr>
        <w:ind w:left="1120" w:right="260" w:firstLine="368"/>
        <w:spacing w:after="0" w:line="257" w:lineRule="auto"/>
        <w:rPr>
          <w:sz w:val="20"/>
          <w:szCs w:val="20"/>
          <w:color w:val="auto"/>
        </w:rPr>
      </w:pPr>
      <w:r>
        <w:rPr>
          <w:rFonts w:ascii="Arial" w:cs="Arial" w:eastAsia="Arial" w:hAnsi="Arial"/>
          <w:sz w:val="15"/>
          <w:szCs w:val="15"/>
          <w:color w:val="auto"/>
        </w:rPr>
        <w:t>We have been approved to list our Class A common stock on Nasdaq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The trading price of our Class A common stock may be volatile, and you could lose all or part of your investment.</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82" w:lineRule="exact"/>
        <w:rPr>
          <w:sz w:val="20"/>
          <w:szCs w:val="20"/>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technology stocks;</w:t>
      </w:r>
    </w:p>
    <w:p>
      <w:pPr>
        <w:spacing w:after="0" w:line="109" w:lineRule="exact"/>
        <w:rPr>
          <w:rFonts w:ascii="Arial" w:cs="Arial" w:eastAsia="Arial" w:hAnsi="Arial"/>
          <w:sz w:val="15"/>
          <w:szCs w:val="15"/>
          <w:color w:val="auto"/>
        </w:rPr>
      </w:pPr>
    </w:p>
    <w:p>
      <w:pPr>
        <w:ind w:left="1840" w:right="620" w:hanging="276"/>
        <w:spacing w:after="0" w:line="275" w:lineRule="auto"/>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sales of shares of our Class A common stock by us or our stockholders;</w:t>
      </w:r>
    </w:p>
    <w:p>
      <w:pPr>
        <w:spacing w:after="0" w:line="109" w:lineRule="exact"/>
        <w:rPr>
          <w:rFonts w:ascii="Arial" w:cs="Arial" w:eastAsia="Arial" w:hAnsi="Arial"/>
          <w:sz w:val="15"/>
          <w:szCs w:val="15"/>
          <w:color w:val="auto"/>
        </w:rPr>
      </w:pPr>
    </w:p>
    <w:p>
      <w:pPr>
        <w:ind w:left="1840" w:right="240" w:hanging="276"/>
        <w:spacing w:after="0" w:line="275" w:lineRule="auto"/>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320"/>
          </w:cols>
          <w:pgMar w:left="240" w:top="407" w:right="133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significant change in our management;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88"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45" w:lineRule="exact"/>
        <w:rPr>
          <w:sz w:val="20"/>
          <w:szCs w:val="20"/>
          <w:color w:val="auto"/>
        </w:rPr>
      </w:pPr>
    </w:p>
    <w:p>
      <w:pPr>
        <w:jc w:val="both"/>
        <w:ind w:left="1120" w:right="300"/>
        <w:spacing w:after="0" w:line="263" w:lineRule="auto"/>
        <w:rPr>
          <w:sz w:val="20"/>
          <w:szCs w:val="20"/>
          <w:color w:val="auto"/>
        </w:rPr>
      </w:pPr>
      <w:r>
        <w:rPr>
          <w:rFonts w:ascii="Arial" w:cs="Arial" w:eastAsia="Arial" w:hAnsi="Arial"/>
          <w:sz w:val="15"/>
          <w:szCs w:val="15"/>
          <w:b w:val="1"/>
          <w:bCs w:val="1"/>
          <w:i w:val="1"/>
          <w:iCs w:val="1"/>
          <w:color w:val="auto"/>
        </w:rPr>
        <w:t>The multi-class structure of our common stock will have the effect of concentrating voting control with those stockholders who held our capital stock prior to the completion of this offering and the concurrent private placement, and it may depress the trading price of our Class A common stock.</w:t>
      </w:r>
    </w:p>
    <w:p>
      <w:pPr>
        <w:spacing w:after="0" w:line="65"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Our Class A common stock, which is the stock we are offering in this offering and the concurrent private placement, has one vote per share, our Class B common stock has ten votes per share, and our Class C common stock has no voting rights, except as otherwise required by law. Following this offering and the concurrent private placement, our directors, executive officers and holders of more than 5% of our common stock, and their respective affiliates, will hold in the aggregate 75.7% of the voting power of our capital stock (including the Co-Founder Grants and the Co-Founder Voting Agreements). We are including the Co-Founder Grants in this calculation since they are legally issued and outstanding shares of our Class A common stock and our co-founders are able to vote these shares immediately upon grant and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4" w:lineRule="exact"/>
        <w:rPr>
          <w:sz w:val="20"/>
          <w:szCs w:val="20"/>
          <w:color w:val="auto"/>
        </w:rPr>
      </w:pPr>
    </w:p>
    <w:p>
      <w:pPr>
        <w:ind w:left="1120" w:right="20" w:firstLine="368"/>
        <w:spacing w:after="0" w:line="302" w:lineRule="auto"/>
        <w:rPr>
          <w:sz w:val="20"/>
          <w:szCs w:val="20"/>
          <w:color w:val="auto"/>
        </w:rPr>
      </w:pPr>
      <w:r>
        <w:rPr>
          <w:rFonts w:ascii="Arial" w:cs="Arial" w:eastAsia="Arial" w:hAnsi="Arial"/>
          <w:sz w:val="13"/>
          <w:szCs w:val="13"/>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80"/>
          </w:cols>
          <w:pgMar w:left="240" w:top="407" w:right="13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4"/>
          <w:szCs w:val="14"/>
          <w:color w:val="auto"/>
        </w:rPr>
        <w:t>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See the section titled “Description of Capital Stock – 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in the long term.</w:t>
      </w:r>
    </w:p>
    <w:p>
      <w:pPr>
        <w:spacing w:after="0" w:line="148"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See the section titled “Description of Capital Stock—Anti-Takeover Provisions” for additional information.</w:t>
      </w:r>
    </w:p>
    <w:p>
      <w:pPr>
        <w:spacing w:after="0" w:line="143"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251"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b w:val="1"/>
          <w:bCs w:val="1"/>
          <w:i w:val="1"/>
          <w:iCs w:val="1"/>
          <w:color w:val="auto"/>
        </w:rPr>
        <w:t>Because of the relatively small number of shares of our Class A common stock outstanding immediately after this offering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65"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Based on 26,550,581 shares of Class A common stock (including the Capital Stock Conversions) outstanding as of December 31, 2017, inclusive of 14,733,333 shares of Class A common stock subject to RSAs that were granted pursuant to our Co-Founder Grants, following this offering, we will have 67,312,486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300"/>
          </w:cols>
          <w:pgMar w:left="24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59" w:lineRule="auto"/>
        <w:rPr>
          <w:sz w:val="20"/>
          <w:szCs w:val="20"/>
          <w:color w:val="auto"/>
        </w:rPr>
      </w:pPr>
      <w:r>
        <w:rPr>
          <w:rFonts w:ascii="Arial" w:cs="Arial" w:eastAsia="Arial" w:hAnsi="Arial"/>
          <w:sz w:val="15"/>
          <w:szCs w:val="15"/>
          <w:b w:val="1"/>
          <w:bCs w:val="1"/>
          <w:i w:val="1"/>
          <w:iCs w:val="1"/>
          <w:color w:val="auto"/>
        </w:rPr>
        <w:t>A substantial portion of the outstanding shares of our Class A common stock and Class B common stock after this offering and the concurrent private placement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67"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The market price of our Class A common stock could decline as a result of sales of a large number of shares of our Class A common stock in the market after this offering and the concurrent private placement, and the perception that these sales could occur may also depress the market price of our Class A common stock. Based on 11,817,248 shares of our Class A common stock (including the Capital Stock Conversions) and 348,501,449 shares of our Class B common stock (including the Capital Stock Conversions and the RSU Settlement) outstanding as of December 31, 2017, we will have 52,579,153 shares of our Class A common stock and 339,323,858 shares Class B common stock outstanding after this offering and the concurrent private placement.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5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shares of our Class A common stock and Class B common stock will be available for sale in the public market as follows:</w:t>
      </w:r>
    </w:p>
    <w:p>
      <w:pPr>
        <w:spacing w:after="0" w:line="76" w:lineRule="exact"/>
        <w:rPr>
          <w:sz w:val="20"/>
          <w:szCs w:val="20"/>
          <w:color w:val="auto"/>
        </w:rPr>
      </w:pPr>
    </w:p>
    <w:p>
      <w:pPr>
        <w:ind w:left="1840" w:right="40" w:hanging="276"/>
        <w:spacing w:after="0" w:line="27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beginning on the date of this prospectus, all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hanging="276"/>
        <w:spacing w:after="0" w:line="290" w:lineRule="auto"/>
        <w:tabs>
          <w:tab w:leader="none" w:pos="1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3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Upon completion of this offering and the concurrent private placement, stockholders owning an aggregate of up to 144,907,822 shares of our Class B common stock and 5,020,525 shares of our Class A common stock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34"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60"/>
          </w:cols>
          <w:pgMar w:left="240" w:top="407" w:right="139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w:t>
      </w:r>
    </w:p>
    <w:p>
      <w:pPr>
        <w:spacing w:after="0" w:line="9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The initial public offering price is substantially higher than the pro forma as adjusted net tangible book value per share of our outstanding common stock of $1.03 per share as of December 31, 2017. Investors purchasing shares of our Class A common stock in this offering will pay a price per share that substantially exceeds the book value of our tangible assets after subtracting our liabilities. As a result, investors purchasing Class A common stock in this offering will incur immediate dilution of $19.97 per share, based on the initial public offering price of $21.00 per share.</w:t>
      </w:r>
    </w:p>
    <w:p>
      <w:pPr>
        <w:spacing w:after="0" w:line="143"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This dilution is due to the substantially lower price paid by our investors who purchased shares prior to this offering as compared to the price offered to the public in this offering, and any previous exercise of stock options granted to our service providers. In addition, as of December 31, 2017, options to purchase 4,959,492 shares of our Class B common stock with a weighted-average exercise price of approximately $10.52 per share were outstanding as well as 16,707,823 shares of our Class A common stock and 38,219,737 shares of our Class B common stock subject to RSUs. The exercise of any of these options and settlement of any of these RSUs would result in additional dilution. Our Board of Directors has approved the acceleration of the Performance Vesting Condition for 26,061,071 RSUs (which are included in the 38,219,737 shares of our Class B common stock subject to RSUs referenced above) for which the service condition was satisfied as of December 31, 2017, to occur upon the effectiveness of our registration statement related to this offering, which will result in the net issuance of 15,897,254 shares of our Class B common stock upon the RSU Settlement. As a result of the dilution to investors purchasing shares in this offering, investors may receive less than the purchase price paid in this offering, if anything, in the event of our liquidation.</w:t>
      </w:r>
    </w:p>
    <w:p>
      <w:pPr>
        <w:spacing w:after="0" w:line="244" w:lineRule="exact"/>
        <w:rPr>
          <w:sz w:val="20"/>
          <w:szCs w:val="20"/>
          <w:color w:val="auto"/>
        </w:rPr>
      </w:pPr>
    </w:p>
    <w:p>
      <w:pPr>
        <w:ind w:left="1120" w:right="560"/>
        <w:spacing w:after="0" w:line="275" w:lineRule="auto"/>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the concurrent private placement and we may not use them effectively.</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4"/>
          <w:szCs w:val="14"/>
          <w:color w:val="auto"/>
        </w:rPr>
        <w:t>We cannot specify with any certainty the particular uses of the net proceeds that we will receive from this offering and the concurrent private placement. Our management will have broad discretion in the application of the net proceeds from this offering and the concurrent private placement,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and the concurrent private placement,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39"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48" w:lineRule="exact"/>
        <w:rPr>
          <w:sz w:val="20"/>
          <w:szCs w:val="20"/>
          <w:color w:val="auto"/>
        </w:rPr>
      </w:pPr>
    </w:p>
    <w:p>
      <w:pPr>
        <w:ind w:left="1840" w:right="440" w:hanging="276"/>
        <w:spacing w:after="0" w:line="275" w:lineRule="auto"/>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transaction that would result in a change in control of our company requires the approval of a majority of our outstanding Class B common stock voting as a separate class;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320"/>
          </w:cols>
          <w:pgMar w:left="240" w:top="407" w:right="13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60" w:hanging="276"/>
        <w:spacing w:after="0" w:line="263"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75" w:lineRule="exact"/>
        <w:rPr>
          <w:rFonts w:ascii="Arial" w:cs="Arial" w:eastAsia="Arial" w:hAnsi="Arial"/>
          <w:sz w:val="15"/>
          <w:szCs w:val="15"/>
          <w:color w:val="auto"/>
        </w:rPr>
      </w:pPr>
    </w:p>
    <w:p>
      <w:pPr>
        <w:jc w:val="both"/>
        <w:ind w:left="1840" w:right="40" w:hanging="276"/>
        <w:spacing w:after="0" w:line="263"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75" w:lineRule="exact"/>
        <w:rPr>
          <w:rFonts w:ascii="Arial" w:cs="Arial" w:eastAsia="Arial" w:hAnsi="Arial"/>
          <w:sz w:val="15"/>
          <w:szCs w:val="15"/>
          <w:color w:val="auto"/>
        </w:rPr>
      </w:pPr>
    </w:p>
    <w:p>
      <w:pPr>
        <w:ind w:left="1840" w:right="80" w:hanging="276"/>
        <w:spacing w:after="0" w:line="311" w:lineRule="auto"/>
        <w:tabs>
          <w:tab w:leader="none" w:pos="18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48" w:lineRule="exact"/>
        <w:rPr>
          <w:rFonts w:ascii="Arial" w:cs="Arial" w:eastAsia="Arial" w:hAnsi="Arial"/>
          <w:sz w:val="13"/>
          <w:szCs w:val="13"/>
          <w:color w:val="auto"/>
        </w:rPr>
      </w:pPr>
    </w:p>
    <w:p>
      <w:pPr>
        <w:ind w:left="1840" w:right="8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67"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after the Voting Threshold Date our stockholders will only be able to take action at a meeting of stockholders, and will not be able to take action by written consent for any matter;</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until the Voting Threshold Date, our stockholders will be able to act by written consent only if the action is first recommended or approved by the Board of Directors;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109" w:lineRule="exact"/>
        <w:rPr>
          <w:rFonts w:ascii="Arial" w:cs="Arial" w:eastAsia="Arial" w:hAnsi="Arial"/>
          <w:sz w:val="15"/>
          <w:szCs w:val="15"/>
          <w:color w:val="auto"/>
        </w:rPr>
      </w:pPr>
    </w:p>
    <w:p>
      <w:pPr>
        <w:ind w:left="1840" w:right="40" w:hanging="276"/>
        <w:spacing w:after="0" w:line="263"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146"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33"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67"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unless we consent in writing to the selection of an alternative forum, the sole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80"/>
          </w:cols>
          <w:pgMar w:left="240" w:top="407"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305" w:lineRule="auto"/>
        <w:rPr>
          <w:sz w:val="20"/>
          <w:szCs w:val="20"/>
          <w:color w:val="auto"/>
        </w:rPr>
      </w:pPr>
      <w:r>
        <w:rPr>
          <w:rFonts w:ascii="Arial" w:cs="Arial" w:eastAsia="Arial" w:hAnsi="Arial"/>
          <w:sz w:val="13"/>
          <w:szCs w:val="13"/>
          <w:color w:val="auto"/>
        </w:rPr>
        <w:t>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33"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will also 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37"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b w:val="1"/>
          <w:bCs w:val="1"/>
          <w:i w:val="1"/>
          <w:iCs w:val="1"/>
          <w:color w:val="auto"/>
        </w:rPr>
        <w:t>Affiliates of several of the underwriters in this offering may receive at least 5% of the net proceeds of this offering and may have an interest in this offering beyond customary underwriting discounts and commissions.</w:t>
      </w:r>
    </w:p>
    <w:p>
      <w:pPr>
        <w:spacing w:after="0" w:line="56"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color w:val="auto"/>
        </w:rPr>
        <w:t>Goldman Sachs &amp; Co. LLC, J.P. Morgan Securities LLC, Deutsche Bank Securities Inc., and Merrill Lynch, Pierce, Fenner &amp; Smith Incorporated are underwriters in this offering and their affiliates will receive at least 5% of the net proceeds of this offering in connection with the repayment of $213.4 million that is expected to be outstanding under our revolving credit facility immediately prior to the completion of this offering. As such, Goldman Sachs &amp; Co. LLC, J.P. Morgan Securities LLC, Deutsche Bank Securities Inc., and Merrill Lynch, Pierce, Fenner &amp; Smith Incorporated are each deemed to have a “conflict of interest” under Rule 5121 of the Financial Industry Regulatory Authority Inc., or Rule 5121. Accordingly, this offering will be made in compliance with the applicable provisions of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Although Allen &amp; Company LLC has, in its capacity as qualified independent underwriter, participated in due diligence and the preparation of this prospectus and the registration statement of which this prospectus forms a part, we cannot assure you that this will adequately address all potential conflicts of interest.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 See “Underwriting (Conflicts of Interest)” for additional information.</w:t>
      </w:r>
    </w:p>
    <w:p>
      <w:pPr>
        <w:spacing w:after="0" w:line="249" w:lineRule="exact"/>
        <w:rPr>
          <w:sz w:val="20"/>
          <w:szCs w:val="20"/>
          <w:color w:val="auto"/>
        </w:rPr>
      </w:pPr>
    </w:p>
    <w:p>
      <w:pPr>
        <w:ind w:left="1120" w:right="400"/>
        <w:spacing w:after="0" w:line="275" w:lineRule="auto"/>
        <w:rPr>
          <w:sz w:val="20"/>
          <w:szCs w:val="20"/>
          <w:color w:val="auto"/>
        </w:rPr>
      </w:pPr>
      <w:r>
        <w:rPr>
          <w:rFonts w:ascii="Arial" w:cs="Arial" w:eastAsia="Arial" w:hAnsi="Arial"/>
          <w:sz w:val="15"/>
          <w:szCs w:val="15"/>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6" w:lineRule="exact"/>
        <w:rPr>
          <w:sz w:val="20"/>
          <w:szCs w:val="20"/>
          <w:color w:val="auto"/>
        </w:rPr>
      </w:pPr>
    </w:p>
    <w:p>
      <w:pPr>
        <w:jc w:val="both"/>
        <w:ind w:left="1120" w:right="40" w:firstLine="368"/>
        <w:spacing w:after="0" w:line="322" w:lineRule="auto"/>
        <w:rPr>
          <w:sz w:val="20"/>
          <w:szCs w:val="20"/>
          <w:color w:val="auto"/>
        </w:rPr>
      </w:pPr>
      <w:r>
        <w:rPr>
          <w:rFonts w:ascii="Arial" w:cs="Arial" w:eastAsia="Arial" w:hAnsi="Arial"/>
          <w:sz w:val="13"/>
          <w:szCs w:val="13"/>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300"/>
          </w:cols>
          <w:pgMar w:left="240" w:top="407" w:right="13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300"/>
          </w:cols>
          <w:pgMar w:left="24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2" w:lineRule="exact"/>
        <w:rPr>
          <w:sz w:val="20"/>
          <w:szCs w:val="20"/>
          <w:color w:val="auto"/>
        </w:rPr>
      </w:pPr>
    </w:p>
    <w:p>
      <w:pPr>
        <w:jc w:val="both"/>
        <w:ind w:left="1120" w:firstLine="368"/>
        <w:spacing w:after="0" w:line="255"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85" w:lineRule="exact"/>
        <w:rPr>
          <w:sz w:val="20"/>
          <w:szCs w:val="20"/>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attract new users or convert registered users to paying users;</w:t>
      </w:r>
    </w:p>
    <w:p>
      <w:pPr>
        <w:spacing w:after="0" w:line="109" w:lineRule="exact"/>
        <w:rPr>
          <w:rFonts w:ascii="Arial" w:cs="Arial" w:eastAsia="Arial" w:hAnsi="Arial"/>
          <w:sz w:val="15"/>
          <w:szCs w:val="15"/>
          <w:color w:val="auto"/>
        </w:rPr>
      </w:pPr>
    </w:p>
    <w:p>
      <w:pPr>
        <w:ind w:left="1840" w:right="220" w:hanging="276"/>
        <w:spacing w:after="0" w:line="275" w:lineRule="auto"/>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future financial performance, including trends in revenue, costs of revenue, gross profit or gross margin, operating expenses, paying users, and free cash flow;</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achieve or maintain profitability;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demand for our platform or for content collaboration solutions in general;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possible harm caused by significant disruption of service or loss or unauthorized access to users’ content;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effectively integrate our platform with others;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compete successfully in competitive markets;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respond to rapid technological changes;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expectations and management of future growth;</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grow due to our lack of a significant outbound sales force;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attract large organizations as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offer high-quality 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manage our international expansion;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attract and retain key personnel and highly qualified personnel;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protect our 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prevent serious errors or defects in our platform;</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successfully identify, acquire, and integrate companies and assets;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 and the concurrent private placement.</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88"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240" w:top="407" w:right="14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7" w:lineRule="auto"/>
        <w:rPr>
          <w:sz w:val="20"/>
          <w:szCs w:val="20"/>
          <w:color w:val="auto"/>
        </w:rPr>
      </w:pPr>
      <w:r>
        <w:rPr>
          <w:rFonts w:ascii="Arial" w:cs="Arial" w:eastAsia="Arial" w:hAnsi="Arial"/>
          <w:sz w:val="15"/>
          <w:szCs w:val="15"/>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9" w:lineRule="exact"/>
        <w:rPr>
          <w:sz w:val="20"/>
          <w:szCs w:val="20"/>
          <w:color w:val="auto"/>
        </w:rPr>
      </w:pPr>
    </w:p>
    <w:p>
      <w:pPr>
        <w:ind w:left="1120" w:right="200" w:firstLine="368"/>
        <w:spacing w:after="0" w:line="305" w:lineRule="auto"/>
        <w:rPr>
          <w:sz w:val="20"/>
          <w:szCs w:val="20"/>
          <w:color w:val="auto"/>
        </w:rPr>
      </w:pPr>
      <w:r>
        <w:rPr>
          <w:rFonts w:ascii="Arial" w:cs="Arial" w:eastAsia="Arial" w:hAnsi="Arial"/>
          <w:sz w:val="13"/>
          <w:szCs w:val="13"/>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3" w:lineRule="exact"/>
        <w:rPr>
          <w:sz w:val="20"/>
          <w:szCs w:val="20"/>
          <w:color w:val="auto"/>
        </w:rPr>
      </w:pPr>
    </w:p>
    <w:p>
      <w:pPr>
        <w:ind w:left="1120" w:right="280" w:firstLine="368"/>
        <w:spacing w:after="0" w:line="25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300"/>
          </w:cols>
          <w:pgMar w:left="240" w:top="407" w:right="13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INDUSTRY AND MARKET DATA</w:t>
      </w:r>
    </w:p>
    <w:p>
      <w:pPr>
        <w:spacing w:after="0" w:line="19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67" w:lineRule="exact"/>
        <w:rPr>
          <w:sz w:val="20"/>
          <w:szCs w:val="20"/>
          <w:color w:val="auto"/>
        </w:rPr>
      </w:pPr>
    </w:p>
    <w:p>
      <w:pPr>
        <w:ind w:left="1840" w:hanging="276"/>
        <w:spacing w:after="0"/>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Gartner, Inc., Magic Quadrant for Content Collaboration Platforms, July 2017.</w:t>
      </w:r>
      <w:r>
        <w:rPr>
          <w:rFonts w:ascii="Arial" w:cs="Arial" w:eastAsia="Arial" w:hAnsi="Arial"/>
          <w:sz w:val="12"/>
          <w:szCs w:val="12"/>
          <w:color w:val="auto"/>
        </w:rPr>
        <w:t>*</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Collaborative Applications Forecast, 2017-2021: Creating Productivity Growth with Customer Experience, July 2017.</w:t>
      </w:r>
    </w:p>
    <w:p>
      <w:pPr>
        <w:spacing w:after="0" w:line="67" w:lineRule="exact"/>
        <w:rPr>
          <w:rFonts w:ascii="Arial" w:cs="Arial" w:eastAsia="Arial" w:hAnsi="Arial"/>
          <w:sz w:val="15"/>
          <w:szCs w:val="15"/>
          <w:color w:val="auto"/>
        </w:rPr>
      </w:pPr>
    </w:p>
    <w:p>
      <w:pPr>
        <w:ind w:left="1840" w:right="68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Project and Portfolio Management Forecast, 2017-2021: Agile Governance in the Cloud Drives Market, June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Enterprise Content Management Software Forecast, 2017-2021, May 2017.</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IDC’s Forecast Scenario Assumptions for the ICT Markets and Historical Market Values and Exchange Rates, Version 1, March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Storage for Public and Private Cloud Forecast 2016-2020, December 2016.</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EFSS Evaluation Guide: Dropbox Sync Performance, July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International Data Corporation, Inc., Knowledge Worker Outlook on Content Managed Systems, June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McKinsey Global Institute, The Social Economy: Unlocking Value and Productivity Through Social Technologies, July 2012.</w:t>
      </w:r>
    </w:p>
    <w:p>
      <w:pPr>
        <w:spacing w:after="0" w:line="109" w:lineRule="exact"/>
        <w:rPr>
          <w:rFonts w:ascii="Arial" w:cs="Arial" w:eastAsia="Arial" w:hAnsi="Arial"/>
          <w:sz w:val="15"/>
          <w:szCs w:val="15"/>
          <w:color w:val="auto"/>
        </w:rPr>
      </w:pPr>
    </w:p>
    <w:p>
      <w:pPr>
        <w:ind w:left="1840" w:right="320" w:hanging="276"/>
        <w:spacing w:after="0" w:line="275" w:lineRule="auto"/>
        <w:tabs>
          <w:tab w:leader="none" w:pos="18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Deloitte Consulting LLP, Transitioning to the Future of Work and the Workplace: Embracing Digital Culture, Tools and Approaches, A White Paper on the Future of Work Research Study, 2016.</w:t>
      </w:r>
    </w:p>
    <w:p>
      <w:pPr>
        <w:spacing w:after="0" w:line="118" w:lineRule="exact"/>
        <w:rPr>
          <w:rFonts w:ascii="Arial" w:cs="Arial" w:eastAsia="Arial" w:hAnsi="Arial"/>
          <w:sz w:val="15"/>
          <w:szCs w:val="15"/>
          <w:color w:val="auto"/>
        </w:rPr>
      </w:pPr>
    </w:p>
    <w:p>
      <w:pPr>
        <w:ind w:left="1200" w:right="60" w:hanging="90"/>
        <w:spacing w:after="0" w:line="224" w:lineRule="auto"/>
        <w:rPr>
          <w:rFonts w:ascii="Arial" w:cs="Arial" w:eastAsia="Arial" w:hAnsi="Arial"/>
          <w:sz w:val="15"/>
          <w:szCs w:val="15"/>
          <w:color w:val="auto"/>
        </w:rPr>
      </w:pPr>
      <w:r>
        <w:rPr>
          <w:rFonts w:ascii="Arial" w:cs="Arial" w:eastAsia="Arial" w:hAnsi="Arial"/>
          <w:sz w:val="8"/>
          <w:szCs w:val="8"/>
          <w:color w:val="auto"/>
        </w:rPr>
        <w:t xml:space="preserve">* </w:t>
      </w:r>
      <w:r>
        <w:rPr>
          <w:rFonts w:ascii="Arial" w:cs="Arial" w:eastAsia="Arial" w:hAnsi="Arial"/>
          <w:sz w:val="12"/>
          <w:szCs w:val="12"/>
          <w:color w:val="auto"/>
        </w:rPr>
        <w:t>The Gartner Report described herein, or the Gartner Report, represents research opinion or viewpoints published, as part of a syndicated subscription service, by Gartner, Inc., or Gartner,</w:t>
      </w:r>
      <w:r>
        <w:rPr>
          <w:rFonts w:ascii="Arial" w:cs="Arial" w:eastAsia="Arial" w:hAnsi="Arial"/>
          <w:sz w:val="8"/>
          <w:szCs w:val="8"/>
          <w:color w:val="auto"/>
        </w:rPr>
        <w:t xml:space="preserve"> </w:t>
      </w:r>
      <w:r>
        <w:rPr>
          <w:rFonts w:ascii="Arial" w:cs="Arial" w:eastAsia="Arial" w:hAnsi="Arial"/>
          <w:sz w:val="12"/>
          <w:szCs w:val="12"/>
          <w:color w:val="auto"/>
        </w:rPr>
        <w:t>and are 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-508635</wp:posOffset>
            </wp:positionV>
            <wp:extent cx="5803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80"/>
          </w:cols>
          <w:pgMar w:left="240" w:top="407" w:right="13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USE OF PROCEEDS</w:t>
      </w:r>
    </w:p>
    <w:p>
      <w:pPr>
        <w:spacing w:after="0" w:line="192"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We estimate that the net proceeds to us from the sale of shares of our Class A common stock in this offering and the concurrent private placement will be approximately $631.2 million, based upon the initial public offering price of $21.00 per share and after deducting underwriting discounts and commissions and estimated offering expenses payable by us. If the underwriters’ option to purchase additional shares of our Class A common stock from us is exercised in full, we estimate that the net proceeds to us would be approximately $739.6 million, after deducting underwriting discounts and commissions and estimated offering expenses payable by us. We will not receive any of the proceeds from the sale of Class A common stock in this offering by the selling stockholders.</w:t>
      </w:r>
    </w:p>
    <w:p>
      <w:pPr>
        <w:spacing w:after="0" w:line="164"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46" w:lineRule="exact"/>
        <w:rPr>
          <w:sz w:val="20"/>
          <w:szCs w:val="20"/>
          <w:color w:val="auto"/>
        </w:rPr>
      </w:pPr>
    </w:p>
    <w:p>
      <w:pPr>
        <w:ind w:left="1120" w:right="120" w:firstLine="368"/>
        <w:spacing w:after="0" w:line="257" w:lineRule="auto"/>
        <w:rPr>
          <w:sz w:val="20"/>
          <w:szCs w:val="20"/>
          <w:color w:val="auto"/>
        </w:rPr>
      </w:pPr>
      <w:r>
        <w:rPr>
          <w:rFonts w:ascii="Arial" w:cs="Arial" w:eastAsia="Arial" w:hAnsi="Arial"/>
          <w:sz w:val="15"/>
          <w:szCs w:val="15"/>
          <w:color w:val="auto"/>
        </w:rPr>
        <w:t>We intend to use a portion of the net proceeds we receive from this offering and the concurrent private placement to repay $213.4 million that is expected to be outstanding immediately prior to the completion of this offering under our revolving credit facility, which we intend to draw down prior to the completion of this offering to satisfy tax withholding and remittance obligations of $213.4 million related to the RSU Settlement. See the section titled “Management’s Discussion and Analysis of Financial Condition and Results of Operations—Liquidity and Capital Resources” for additional information regarding our revolving credit facility.</w:t>
      </w:r>
    </w:p>
    <w:p>
      <w:pPr>
        <w:spacing w:after="0" w:line="159"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intend to use the net proceeds we receive from this offering and the concurrent private placement for general corporate purposes, including working capital, operating expenses, and capital expenditures. Additionally, we may use a portion of the net proceeds we receive from this offering and the concurrent private placement to acquire businesses, products, services, or technologies. However, we do not have agreements or commitments for any material acquisitions at this time. We cannot specify with certainty the particular uses of the net proceeds that we will receive from this offering and the concurrent private placement. Accordingly, we will have broad discretion in using these proceeds. Pending the use of proceeds from this offering as described above, we may invest the net proceeds that we receive in this offering and the concurrent private placement in short-term, investment grade, interest-bearing instruments.</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320"/>
          </w:cols>
          <w:pgMar w:left="240" w:top="407" w:right="13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DIVIDEND POLICY</w:t>
      </w:r>
    </w:p>
    <w:p>
      <w:pPr>
        <w:spacing w:after="0" w:line="19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7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80"/>
          </w:cols>
          <w:pgMar w:left="240" w:top="407" w:right="13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CAPITALIZATION</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The following table sets forth cash and cash equivalents, as well as our capitalization, as of December 31, 2017, as follows:</w:t>
      </w:r>
    </w:p>
    <w:p>
      <w:pPr>
        <w:spacing w:after="0" w:line="109" w:lineRule="exact"/>
        <w:rPr>
          <w:sz w:val="20"/>
          <w:szCs w:val="20"/>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109" w:lineRule="exact"/>
        <w:rPr>
          <w:rFonts w:ascii="Arial" w:cs="Arial" w:eastAsia="Arial" w:hAnsi="Arial"/>
          <w:sz w:val="15"/>
          <w:szCs w:val="15"/>
          <w:color w:val="auto"/>
        </w:rPr>
      </w:pPr>
    </w:p>
    <w:p>
      <w:pPr>
        <w:ind w:left="1840" w:hanging="276"/>
        <w:spacing w:after="0" w:line="277" w:lineRule="auto"/>
        <w:tabs>
          <w:tab w:leader="none" w:pos="18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a pro forma basis, giving effect to (i) the Capital Stock Conversions, as if such conversions had occurred on December 31, 2017, (ii) the filing and effectiveness of our amended and restated certificate of incorporation in Delaware that will become effective immediately prior to the completion of this offering, (iii) stock-based compensation expense of $415.6 million associated with the RSU Settlement, (iv) the net issuance of 15,897,254 shares of our Class B common stock upon the RSU Settlement, (v) the borrowing of $213.4 million under our revolving credit facility to satisfy our tax withholding and remittance obligations related to the RSU Settlement, and (vi) a cash payment of $213.4 million to satisfy our tax withholding and remittance obligations related to the RSU Settlement; and</w:t>
      </w:r>
    </w:p>
    <w:p>
      <w:pPr>
        <w:spacing w:after="0" w:line="69" w:lineRule="exact"/>
        <w:rPr>
          <w:rFonts w:ascii="Arial" w:cs="Arial" w:eastAsia="Arial" w:hAnsi="Arial"/>
          <w:sz w:val="14"/>
          <w:szCs w:val="14"/>
          <w:color w:val="auto"/>
        </w:rPr>
      </w:pPr>
    </w:p>
    <w:p>
      <w:pPr>
        <w:ind w:left="1840" w:hanging="276"/>
        <w:spacing w:after="0"/>
        <w:tabs>
          <w:tab w:leader="none" w:pos="18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a pro forma as adjusted basis, giving effect to (i) the pro forma adjustments set forth above, (ii) the sale and issuance by us of</w:t>
      </w:r>
    </w:p>
    <w:p>
      <w:pPr>
        <w:spacing w:after="0" w:line="28" w:lineRule="exact"/>
        <w:rPr>
          <w:rFonts w:ascii="Arial" w:cs="Arial" w:eastAsia="Arial" w:hAnsi="Arial"/>
          <w:sz w:val="14"/>
          <w:szCs w:val="14"/>
          <w:color w:val="auto"/>
        </w:rPr>
      </w:pPr>
    </w:p>
    <w:p>
      <w:pPr>
        <w:ind w:left="1840" w:right="20"/>
        <w:spacing w:after="0" w:line="274" w:lineRule="auto"/>
        <w:rPr>
          <w:rFonts w:ascii="Arial" w:cs="Arial" w:eastAsia="Arial" w:hAnsi="Arial"/>
          <w:sz w:val="14"/>
          <w:szCs w:val="14"/>
          <w:color w:val="auto"/>
        </w:rPr>
      </w:pPr>
      <w:r>
        <w:rPr>
          <w:rFonts w:ascii="Arial" w:cs="Arial" w:eastAsia="Arial" w:hAnsi="Arial"/>
          <w:sz w:val="14"/>
          <w:szCs w:val="14"/>
          <w:color w:val="auto"/>
        </w:rPr>
        <w:t>31,584,314 shares of our Class A common stock in this offering and the concurrent private placement, based upon the initial public offering price of $21.00 per share and after deducting underwriting discounts and commissions and estimated offering expenses payable by us, (iii) the conversion of 9,177,591 shares of our Class B common stock held by certain selling stockholders into an equivalent number of shares of our Class A common stock upon the sale by the selling stockholders in this offering, and (iv) the use of proceeds from the offering to repay $213.4 million drawn down under our revolving credit facility to satisfy our tax withholding and remittance obligations related to the RSU Settlement and pay related net costs of approximately $0.2 million.</w:t>
      </w:r>
    </w:p>
    <w:p>
      <w:pPr>
        <w:spacing w:after="0" w:line="9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60"/>
          </w:cols>
          <w:pgMar w:left="240" w:top="407" w:right="139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89"/>
              </w:rPr>
              <w:t>As of December 31, 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2"/>
                <w:szCs w:val="12"/>
                <w:b w:val="1"/>
                <w:bCs w:val="1"/>
                <w:color w:val="auto"/>
                <w:w w:val="89"/>
              </w:rPr>
              <w:t>Pro</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146"/>
              <w:spacing w:after="0" w:line="96" w:lineRule="exact"/>
              <w:rPr>
                <w:sz w:val="20"/>
                <w:szCs w:val="20"/>
                <w:color w:val="auto"/>
              </w:rPr>
            </w:pPr>
            <w:r>
              <w:rPr>
                <w:rFonts w:ascii="Arial" w:cs="Arial" w:eastAsia="Arial" w:hAnsi="Arial"/>
                <w:sz w:val="11"/>
                <w:szCs w:val="11"/>
                <w:b w:val="1"/>
                <w:bCs w:val="1"/>
                <w:color w:val="auto"/>
              </w:rPr>
              <w:t>Pro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Actual</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jc w:val="right"/>
              <w:ind w:right="160"/>
              <w:spacing w:after="0" w:line="124" w:lineRule="exact"/>
              <w:rPr>
                <w:sz w:val="20"/>
                <w:szCs w:val="20"/>
                <w:color w:val="auto"/>
              </w:rPr>
            </w:pPr>
            <w:r>
              <w:rPr>
                <w:rFonts w:ascii="Arial" w:cs="Arial" w:eastAsia="Arial" w:hAnsi="Arial"/>
                <w:sz w:val="12"/>
                <w:szCs w:val="12"/>
                <w:b w:val="1"/>
                <w:bCs w:val="1"/>
                <w:color w:val="auto"/>
                <w:w w:val="99"/>
              </w:rPr>
              <w:t>forma as</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forma</w:t>
            </w:r>
            <w:r>
              <w:rPr>
                <w:rFonts w:ascii="Arial" w:cs="Arial" w:eastAsia="Arial" w:hAnsi="Arial"/>
                <w:sz w:val="10"/>
                <w:szCs w:val="10"/>
                <w:b w:val="1"/>
                <w:bCs w:val="1"/>
                <w:color w:val="auto"/>
                <w:w w:val="92"/>
              </w:rPr>
              <w:t>(1)</w:t>
            </w:r>
          </w:p>
        </w:tc>
        <w:tc>
          <w:tcPr>
            <w:tcW w:w="40" w:type="dxa"/>
            <w:vAlign w:val="bottom"/>
          </w:tcPr>
          <w:p>
            <w:pPr>
              <w:spacing w:after="0"/>
              <w:rPr>
                <w:sz w:val="12"/>
                <w:szCs w:val="1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00"/>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Borders>
              <w:top w:val="single" w:sz="8" w:color="auto"/>
            </w:tcBorders>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w w:val="99"/>
              </w:rPr>
              <w:t>(In millions, except share and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2"/>
                <w:szCs w:val="12"/>
                <w:i w:val="1"/>
                <w:iCs w:val="1"/>
                <w:color w:val="auto"/>
                <w:w w:val="87"/>
              </w:rPr>
              <w:t>data)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5"/>
                <w:szCs w:val="15"/>
                <w:color w:val="auto"/>
              </w:rPr>
              <w:t>Revolving credit facility</w:t>
            </w: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80" w:type="dxa"/>
            <w:vAlign w:val="bottom"/>
            <w:vMerge w:val="continue"/>
          </w:tcPr>
          <w:p>
            <w:pPr>
              <w:spacing w:after="0"/>
              <w:rPr>
                <w:sz w:val="14"/>
                <w:szCs w:val="14"/>
                <w:color w:val="auto"/>
              </w:rPr>
            </w:pPr>
          </w:p>
        </w:tc>
        <w:tc>
          <w:tcPr>
            <w:tcW w:w="28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line="164"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5"/>
                <w:szCs w:val="15"/>
                <w:color w:val="auto"/>
              </w:rPr>
              <w:t>213.4</w:t>
            </w:r>
          </w:p>
        </w:tc>
        <w:tc>
          <w:tcPr>
            <w:tcW w:w="380" w:type="dxa"/>
            <w:vAlign w:val="bottom"/>
          </w:tcPr>
          <w:p>
            <w:pPr>
              <w:spacing w:after="0"/>
              <w:rPr>
                <w:sz w:val="14"/>
                <w:szCs w:val="14"/>
                <w:color w:val="auto"/>
              </w:rPr>
            </w:pPr>
          </w:p>
        </w:tc>
        <w:tc>
          <w:tcPr>
            <w:tcW w:w="12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line="16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 (deficit):</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8"/>
              </w:rPr>
              <w:t>Convertible preferred stock, par value $0.00001 per share: 151,212,292 shares authorized,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2"/>
              </w:rPr>
              <w:t>147,569,183 issued and outstanding, actual; no shares authorized,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forma, and pro forma as adjusted</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615.3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95"/>
              </w:rPr>
              <w:t>Preferred stock, par value $0.00001 per share: no shares authorized, issued and outstanding,</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3"/>
              </w:rPr>
              <w:t>actual; 240,000,000 shares authorized, no shares issued and outstanding, pro forma, and pro</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2"/>
              </w:rPr>
              <w:t>Class A common stock, par value $0.00001 per share: 533,333,333 shares authorized, 8,948,677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shares issued and outstanding, actual; 2,400,000,000 shares authorized, 11,817,248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4"/>
              </w:rPr>
              <w:t>issued and outstanding, pro forma, and 2,400,000,000 shares authorized, 52,579,153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issued and outstanding, pro forma as 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Class B common stock, par value $0.00001 per share: 466,666,666 shares authorized,</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187,903,583 shares issued and outstanding, actual;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5"/>
              </w:rPr>
              <w:t>348,501,449 shares issued and outstanding, pro forma, and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339,323,858 shares issued and outstanding, pro 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rPr>
              <w:t>Class C common stock, par value $0.00001 per share: no shares authorized, issued and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6"/>
              </w:rPr>
              <w:t>outstanding, actual; 800,000,000 shares authorized, no shares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forma, and 800,000,000 shares authorized, no shares issued and outstanding, pro forma as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40"/>
              <w:spacing w:after="0"/>
              <w:rPr>
                <w:sz w:val="20"/>
                <w:szCs w:val="20"/>
                <w:color w:val="auto"/>
              </w:rPr>
            </w:pPr>
            <w:r>
              <w:rPr>
                <w:rFonts w:ascii="Arial" w:cs="Arial" w:eastAsia="Arial" w:hAnsi="Arial"/>
                <w:sz w:val="15"/>
                <w:szCs w:val="15"/>
                <w:color w:val="auto"/>
              </w:rPr>
              <w:t>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1,350.6</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1,981.8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Arial" w:cs="Arial" w:eastAsia="Arial" w:hAnsi="Arial"/>
                <w:sz w:val="15"/>
                <w:szCs w:val="15"/>
                <w:color w:val="auto"/>
              </w:rPr>
              <w:t>Accumulated deficit</w:t>
            </w: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(1,049.7)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w w:val="89"/>
              </w:rPr>
              <w:t>(1,465.3)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(1,465.5)</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300"/>
              <w:spacing w:after="0"/>
              <w:rPr>
                <w:sz w:val="20"/>
                <w:szCs w:val="20"/>
                <w:color w:val="auto"/>
              </w:rPr>
            </w:pPr>
            <w:r>
              <w:rPr>
                <w:rFonts w:ascii="Arial" w:cs="Arial" w:eastAsia="Arial" w:hAnsi="Arial"/>
                <w:sz w:val="15"/>
                <w:szCs w:val="15"/>
                <w:color w:val="auto"/>
              </w:rPr>
              <w:t>Total stockholders’ equity (deficit)</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102.9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(110.5)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520.5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capitalization</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78740</wp:posOffset>
            </wp:positionV>
            <wp:extent cx="5803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41" w:lineRule="exact"/>
        <w:rPr>
          <w:sz w:val="20"/>
          <w:szCs w:val="20"/>
          <w:color w:val="auto"/>
        </w:rPr>
      </w:pPr>
    </w:p>
    <w:p>
      <w:pPr>
        <w:jc w:val="both"/>
        <w:ind w:left="1380" w:right="280" w:hanging="268"/>
        <w:spacing w:after="0" w:line="209" w:lineRule="auto"/>
        <w:tabs>
          <w:tab w:leader="none" w:pos="138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December 31, 2017, gives effect to stock-based compensation expense of $415.6 million associated with the RSU Settlement. The pro forma adjustment related to stock-based compensation expense of $415.6 million has been reflected as an increase to additional paid-in capital and accumulated deficit.</w:t>
      </w:r>
    </w:p>
    <w:p>
      <w:pPr>
        <w:spacing w:after="0" w:line="175" w:lineRule="exact"/>
        <w:rPr>
          <w:sz w:val="20"/>
          <w:szCs w:val="20"/>
          <w:color w:val="auto"/>
        </w:rPr>
      </w:pPr>
    </w:p>
    <w:p>
      <w:pPr>
        <w:jc w:val="both"/>
        <w:ind w:left="1120" w:right="80" w:firstLine="368"/>
        <w:spacing w:after="0" w:line="290" w:lineRule="auto"/>
        <w:rPr>
          <w:sz w:val="20"/>
          <w:szCs w:val="20"/>
          <w:color w:val="auto"/>
        </w:rPr>
      </w:pPr>
      <w:r>
        <w:rPr>
          <w:rFonts w:ascii="Arial" w:cs="Arial" w:eastAsia="Arial" w:hAnsi="Arial"/>
          <w:sz w:val="14"/>
          <w:szCs w:val="14"/>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December 31, 2017, would be $956.0 million, $2,090.2 million, $628.9 million, $628.9 million, and 57,979,153 shares, respectively.</w:t>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320"/>
          </w:cols>
          <w:pgMar w:left="240" w:top="407" w:right="13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180" w:hanging="276"/>
        <w:spacing w:after="0" w:line="275" w:lineRule="auto"/>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hanging="364"/>
        <w:spacing w:after="0" w:line="354" w:lineRule="auto"/>
        <w:tabs>
          <w:tab w:leader="none" w:pos="23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21" w:lineRule="exact"/>
        <w:rPr>
          <w:rFonts w:ascii="Arial" w:cs="Arial" w:eastAsia="Arial" w:hAnsi="Arial"/>
          <w:sz w:val="13"/>
          <w:szCs w:val="13"/>
          <w:color w:val="auto"/>
        </w:rPr>
      </w:pPr>
    </w:p>
    <w:p>
      <w:pPr>
        <w:ind w:left="2300" w:right="60" w:hanging="364"/>
        <w:spacing w:after="0" w:line="283" w:lineRule="auto"/>
        <w:tabs>
          <w:tab w:leader="none" w:pos="23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10,313,134 shares of our Class A common stock reserved for future issuance under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63" w:lineRule="exact"/>
        <w:rPr>
          <w:rFonts w:ascii="Arial" w:cs="Arial" w:eastAsia="Arial" w:hAnsi="Arial"/>
          <w:sz w:val="14"/>
          <w:szCs w:val="14"/>
          <w:color w:val="auto"/>
        </w:rPr>
      </w:pPr>
    </w:p>
    <w:p>
      <w:pPr>
        <w:ind w:left="2300" w:right="20" w:hanging="364"/>
        <w:spacing w:after="0" w:line="263" w:lineRule="auto"/>
        <w:tabs>
          <w:tab w:leader="none" w:pos="23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40" w:hanging="364"/>
        <w:spacing w:after="0" w:line="275" w:lineRule="auto"/>
        <w:tabs>
          <w:tab w:leader="none" w:pos="23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Equity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40" w:hanging="364"/>
        <w:spacing w:after="0" w:line="275" w:lineRule="auto"/>
        <w:tabs>
          <w:tab w:leader="none" w:pos="23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4,136,832 shares of our Class C common stock to be reserved for future issuance under our 2018 Class C Employee Stock Purchase Plan, or our Class C ESPP, which will become effective prior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80"/>
          </w:cols>
          <w:pgMar w:left="240" w:top="407" w:right="137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right="500"/>
        <w:spacing w:after="0" w:line="275" w:lineRule="auto"/>
        <w:rPr>
          <w:sz w:val="20"/>
          <w:szCs w:val="20"/>
          <w:color w:val="auto"/>
        </w:rPr>
      </w:pPr>
      <w:r>
        <w:rPr>
          <w:rFonts w:ascii="Arial" w:cs="Arial" w:eastAsia="Arial" w:hAnsi="Arial"/>
          <w:sz w:val="15"/>
          <w:szCs w:val="15"/>
          <w:color w:val="auto"/>
        </w:rPr>
        <w:t>to the completion of this offering, but no offering periods under the Class C ESPP will commence unless and until otherwise determined by our Board of Directors.</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300"/>
          </w:cols>
          <w:pgMar w:left="24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DILUTION</w:t>
      </w:r>
    </w:p>
    <w:p>
      <w:pPr>
        <w:spacing w:after="0" w:line="192"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and the concurrent private placement.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 and the concurrent private placement.</w:t>
      </w:r>
    </w:p>
    <w:p>
      <w:pPr>
        <w:spacing w:after="0" w:line="147"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our common stock outstanding. Our historical net tangible book value as of December 31, 2017, was $(13.0) million, or $(0.04) per share. Our pro forma net tangible book value as of December 31, 2017, was $(226.5) million, or $(0.63) per share, based on the total number of shares of our Class A common stock and Class B common stock outstanding as of December 31, 2017, after giving effect to the Capital Stock Conversions and the RSU Settlement.</w:t>
      </w:r>
    </w:p>
    <w:p>
      <w:pPr>
        <w:spacing w:after="0" w:line="127"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After giving effect to the sale by us of 31,584,314 shares of our Class A common stock in this offering and the concurrent private placement at the initial public offering price of $21.00 per share and after deducting underwriting discounts and commissions and estimated offering expenses payable by us, our pro forma as adjusted net tangible book value as of December 31, 2017, would have been $404.7 million, or $1.03 per share. This represents an immediate increase in pro forma net tangible book value of $1.66 per share to our existing stockholders and an immediate dilution in pro forma net tangible book value of $19.97 per share to investors purchasing shares of our Class A common stock in this offering at the initial public offering price. The following table illustrates this dilution:</w:t>
      </w:r>
    </w:p>
    <w:p>
      <w:pPr>
        <w:spacing w:after="0" w:line="197" w:lineRule="exact"/>
        <w:rPr>
          <w:sz w:val="20"/>
          <w:szCs w:val="20"/>
          <w:color w:val="auto"/>
        </w:rPr>
      </w:pPr>
    </w:p>
    <w:tbl>
      <w:tblPr>
        <w:tblLayout w:type="fixed"/>
        <w:tblInd w:w="1860" w:type="dxa"/>
        <w:tblCellMar>
          <w:top w:w="0" w:type="dxa"/>
          <w:left w:w="0" w:type="dxa"/>
          <w:bottom w:w="0" w:type="dxa"/>
          <w:right w:w="0" w:type="dxa"/>
        </w:tblCellMar>
      </w:tblPr>
      <w:tr>
        <w:trPr>
          <w:trHeight w:val="180"/>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 per share</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80"/>
        </w:trPr>
        <w:tc>
          <w:tcPr>
            <w:tcW w:w="6460" w:type="dxa"/>
            <w:vAlign w:val="bottom"/>
          </w:tcPr>
          <w:p>
            <w:pPr>
              <w:ind w:left="300"/>
              <w:spacing w:after="0"/>
              <w:rPr>
                <w:sz w:val="20"/>
                <w:szCs w:val="20"/>
                <w:color w:val="auto"/>
              </w:rPr>
            </w:pPr>
            <w:r>
              <w:rPr>
                <w:rFonts w:ascii="Arial" w:cs="Arial" w:eastAsia="Arial" w:hAnsi="Arial"/>
                <w:sz w:val="15"/>
                <w:szCs w:val="15"/>
                <w:color w:val="auto"/>
              </w:rPr>
              <w:t>Pro forma net tangible book value per share as of December 31, 2017</w:t>
            </w: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w w:val="88"/>
              </w:rPr>
              <w:t>$(0.63)</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w w:val="96"/>
              </w:rPr>
              <w:t>Increase in pro forma net tangible book value per share attributable to new investors purchasing</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of Class A common stock in this offering and the concurrent private placement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1.66</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60" w:type="dxa"/>
            <w:vAlign w:val="bottom"/>
          </w:tcPr>
          <w:p>
            <w:pPr>
              <w:spacing w:after="0"/>
              <w:rPr>
                <w:sz w:val="20"/>
                <w:szCs w:val="20"/>
                <w:color w:val="auto"/>
              </w:rPr>
            </w:pPr>
            <w:r>
              <w:rPr>
                <w:rFonts w:ascii="Arial" w:cs="Arial" w:eastAsia="Arial" w:hAnsi="Arial"/>
                <w:sz w:val="15"/>
                <w:szCs w:val="15"/>
                <w:color w:val="auto"/>
                <w:w w:val="96"/>
              </w:rPr>
              <w:t>Pro forma as adjusted net tangible book value per share after this offering and the concurrent private</w:t>
            </w: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40"/>
              <w:spacing w:after="0"/>
              <w:rPr>
                <w:sz w:val="20"/>
                <w:szCs w:val="20"/>
                <w:color w:val="auto"/>
              </w:rPr>
            </w:pPr>
            <w:r>
              <w:rPr>
                <w:rFonts w:ascii="Arial" w:cs="Arial" w:eastAsia="Arial" w:hAnsi="Arial"/>
                <w:sz w:val="15"/>
                <w:szCs w:val="15"/>
                <w:color w:val="auto"/>
              </w:rPr>
              <w:t>placement</w:t>
            </w:r>
          </w:p>
        </w:tc>
        <w:tc>
          <w:tcPr>
            <w:tcW w:w="1260" w:type="dxa"/>
            <w:vAlign w:val="bottom"/>
            <w:gridSpan w:val="4"/>
          </w:tcPr>
          <w:p>
            <w:pPr>
              <w:jc w:val="right"/>
              <w:ind w:right="40"/>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Dilution in pro forma net tangible book value per share to new investors in this offering and the</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concurrent private placement</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780"/>
              <w:spacing w:after="0"/>
              <w:rPr>
                <w:sz w:val="20"/>
                <w:szCs w:val="20"/>
                <w:color w:val="auto"/>
              </w:rPr>
            </w:pPr>
            <w:r>
              <w:rPr>
                <w:rFonts w:ascii="Arial" w:cs="Arial" w:eastAsia="Arial" w:hAnsi="Arial"/>
                <w:sz w:val="15"/>
                <w:szCs w:val="15"/>
                <w:color w:val="auto"/>
              </w:rPr>
              <w:t>55</w:t>
            </w: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20" w:firstLine="368"/>
        <w:spacing w:after="0" w:line="259" w:lineRule="auto"/>
        <w:rPr>
          <w:sz w:val="20"/>
          <w:szCs w:val="20"/>
          <w:color w:val="auto"/>
        </w:rPr>
      </w:pPr>
      <w:r>
        <w:rPr>
          <w:rFonts w:ascii="Arial" w:cs="Arial" w:eastAsia="Arial" w:hAnsi="Arial"/>
          <w:sz w:val="15"/>
          <w:szCs w:val="15"/>
          <w:color w:val="auto"/>
        </w:rPr>
        <w:t>If the underwriters’ option to purchase additional shares of our Class A common stock from us is exercised in full, the pro forma as adjusted net tangible book value per share of our common stock, as adjusted to give effect to this offering and the concurrent private placement, would be $1.29 per share, and the dilution in pro forma net tangible book value per share to new investors purchasing shares of our Class A common stock in this offering would be $19.71 per share.</w:t>
      </w:r>
    </w:p>
    <w:p>
      <w:pPr>
        <w:spacing w:after="0" w:line="158" w:lineRule="exact"/>
        <w:rPr>
          <w:sz w:val="20"/>
          <w:szCs w:val="20"/>
          <w:color w:val="auto"/>
        </w:rPr>
      </w:pPr>
    </w:p>
    <w:p>
      <w:pPr>
        <w:ind w:left="1120" w:right="120" w:firstLine="368"/>
        <w:spacing w:after="0" w:line="305" w:lineRule="auto"/>
        <w:rPr>
          <w:sz w:val="20"/>
          <w:szCs w:val="20"/>
          <w:color w:val="auto"/>
        </w:rPr>
      </w:pPr>
      <w:r>
        <w:rPr>
          <w:rFonts w:ascii="Arial" w:cs="Arial" w:eastAsia="Arial" w:hAnsi="Arial"/>
          <w:sz w:val="13"/>
          <w:szCs w:val="13"/>
          <w:color w:val="auto"/>
        </w:rPr>
        <w:t>The following table presents, as of December 31, 2017, after giving effect to the Capital Stock Conversions and the RSU Settlement, the differences between the existing stockholders and the new investors purchasing shares of our Class A common stock in this offering and the concurrent private placement with respect to the number of shares purchased from us, the total consideration paid or to be paid to us, which includes net proceeds received from the issuance of our Class A common stock and the average price per share paid or to be paid to us at the initial public offering price of $21.00 per share, before deducting underwriting discounts and commissions and estimated offering expenses payable by us:</w:t>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500" w:type="dxa"/>
            <w:vAlign w:val="bottom"/>
            <w:gridSpan w:val="3"/>
            <w:vMerge w:val="restart"/>
          </w:tcPr>
          <w:p>
            <w:pPr>
              <w:jc w:val="right"/>
              <w:ind w:right="225"/>
              <w:spacing w:after="0"/>
              <w:rPr>
                <w:sz w:val="20"/>
                <w:szCs w:val="20"/>
                <w:color w:val="auto"/>
              </w:rPr>
            </w:pPr>
            <w:r>
              <w:rPr>
                <w:rFonts w:ascii="Arial" w:cs="Arial" w:eastAsia="Arial" w:hAnsi="Arial"/>
                <w:sz w:val="12"/>
                <w:szCs w:val="12"/>
                <w:b w:val="1"/>
                <w:bCs w:val="1"/>
                <w:color w:val="auto"/>
              </w:rPr>
              <w:t>Shares purchased</w:t>
            </w:r>
          </w:p>
        </w:tc>
        <w:tc>
          <w:tcPr>
            <w:tcW w:w="2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restart"/>
          </w:tcPr>
          <w:p>
            <w:pPr>
              <w:jc w:val="right"/>
              <w:ind w:right="365"/>
              <w:spacing w:after="0"/>
              <w:rPr>
                <w:sz w:val="20"/>
                <w:szCs w:val="20"/>
                <w:color w:val="auto"/>
              </w:rPr>
            </w:pPr>
            <w:r>
              <w:rPr>
                <w:rFonts w:ascii="Arial" w:cs="Arial" w:eastAsia="Arial" w:hAnsi="Arial"/>
                <w:sz w:val="12"/>
                <w:szCs w:val="12"/>
                <w:b w:val="1"/>
                <w:bCs w:val="1"/>
                <w:color w:val="auto"/>
              </w:rPr>
              <w:t>Total consideration</w:t>
            </w:r>
          </w:p>
        </w:tc>
        <w:tc>
          <w:tcPr>
            <w:tcW w:w="260" w:type="dxa"/>
            <w:vAlign w:val="bottom"/>
            <w:vMerge w:val="restart"/>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73"/>
              <w:spacing w:after="0" w:line="133" w:lineRule="exact"/>
              <w:rPr>
                <w:sz w:val="20"/>
                <w:szCs w:val="20"/>
                <w:color w:val="auto"/>
              </w:rPr>
            </w:pPr>
            <w:r>
              <w:rPr>
                <w:rFonts w:ascii="Arial" w:cs="Arial" w:eastAsia="Arial" w:hAnsi="Arial"/>
                <w:sz w:val="12"/>
                <w:szCs w:val="12"/>
                <w:b w:val="1"/>
                <w:bCs w:val="1"/>
                <w:color w:val="auto"/>
                <w:w w:val="90"/>
              </w:rPr>
              <w:t>price</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Number</w:t>
            </w: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restart"/>
          </w:tcPr>
          <w:p>
            <w:pPr>
              <w:jc w:val="right"/>
              <w:ind w:right="21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center"/>
              <w:ind w:right="73"/>
              <w:spacing w:after="0" w:line="96" w:lineRule="exact"/>
              <w:rPr>
                <w:sz w:val="20"/>
                <w:szCs w:val="20"/>
                <w:color w:val="auto"/>
              </w:rPr>
            </w:pPr>
            <w:r>
              <w:rPr>
                <w:rFonts w:ascii="Arial" w:cs="Arial" w:eastAsia="Arial" w:hAnsi="Arial"/>
                <w:sz w:val="11"/>
                <w:szCs w:val="11"/>
                <w:b w:val="1"/>
                <w:bCs w:val="1"/>
                <w:color w:val="auto"/>
              </w:rPr>
              <w:t>per</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share</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56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360,318,697</w:t>
            </w:r>
          </w:p>
        </w:tc>
        <w:tc>
          <w:tcPr>
            <w:tcW w:w="320" w:type="dxa"/>
            <w:vAlign w:val="bottom"/>
            <w:vMerge w:val="continue"/>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92.0%</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639,593,106</w:t>
            </w:r>
          </w:p>
        </w:tc>
        <w:tc>
          <w:tcPr>
            <w:tcW w:w="30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49.1%</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rPr>
                <w:sz w:val="20"/>
                <w:szCs w:val="20"/>
                <w:color w:val="auto"/>
              </w:rPr>
            </w:pPr>
            <w:r>
              <w:rPr>
                <w:rFonts w:ascii="Arial" w:cs="Arial" w:eastAsia="Arial" w:hAnsi="Arial"/>
                <w:sz w:val="15"/>
                <w:szCs w:val="15"/>
                <w:color w:val="auto"/>
              </w:rPr>
              <w:t>26,822,409</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563,270,589</w:t>
            </w: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43.2%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0"/>
              </w:rPr>
              <w:t>21.00</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Concurrent private placement investor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4,761,905</w:t>
            </w: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100,000,005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0"/>
              </w:rPr>
              <w:t>21.00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00"/>
              <w:spacing w:after="0"/>
              <w:rPr>
                <w:sz w:val="20"/>
                <w:szCs w:val="20"/>
                <w:color w:val="auto"/>
              </w:rPr>
            </w:pPr>
            <w:r>
              <w:rPr>
                <w:rFonts w:ascii="Arial" w:cs="Arial" w:eastAsia="Arial" w:hAnsi="Arial"/>
                <w:sz w:val="15"/>
                <w:szCs w:val="15"/>
                <w:color w:val="auto"/>
              </w:rPr>
              <w:t>Totals</w:t>
            </w: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3"/>
              </w:rPr>
              <w:t>391,903,011</w:t>
            </w: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w w:val="94"/>
              </w:rPr>
              <w:t>100.0%</w:t>
            </w: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w w:val="87"/>
              </w:rPr>
              <w:t>1,302,863,700</w:t>
            </w: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90.7% and our new investors would own 9.3% of the total number of shares of our common stock outstanding upon completion of this offering and the concurrent private placement.</w:t>
      </w:r>
    </w:p>
    <w:p>
      <w:pPr>
        <w:spacing w:after="0" w:line="158" w:lineRule="exact"/>
        <w:rPr>
          <w:sz w:val="20"/>
          <w:szCs w:val="20"/>
          <w:color w:val="auto"/>
        </w:rPr>
      </w:pPr>
    </w:p>
    <w:p>
      <w:pPr>
        <w:ind w:left="1120" w:right="280" w:firstLine="368"/>
        <w:spacing w:after="0" w:line="259" w:lineRule="auto"/>
        <w:rPr>
          <w:sz w:val="20"/>
          <w:szCs w:val="20"/>
          <w:color w:val="auto"/>
        </w:rPr>
      </w:pPr>
      <w:r>
        <w:rPr>
          <w:rFonts w:ascii="Arial" w:cs="Arial" w:eastAsia="Arial" w:hAnsi="Arial"/>
          <w:sz w:val="15"/>
          <w:szCs w:val="15"/>
          <w:color w:val="auto"/>
        </w:rPr>
        <w:t>Sales by the selling stockholders in this offering will cause the number of shares held by existing stockholders to be reduced to 351,141,106 shares, or 89.6% of the total number of shares of our common stock outstanding following the completion of this offering and the concurrent private placement, and will increase the number of shares held by new investors to 40,761,905 shares, or 10.4% of the total number of shares outstanding following the completion of this offering and the concurrent private placement.</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320"/>
          </w:cols>
          <w:pgMar w:left="240" w:top="407" w:right="13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200" w:hanging="276"/>
        <w:spacing w:after="0" w:line="275"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20" w:hanging="276"/>
        <w:spacing w:after="0" w:line="275"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hanging="364"/>
        <w:spacing w:after="0"/>
        <w:tabs>
          <w:tab w:leader="none" w:pos="23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51,532,143 shares of our Class A common stock to be reserved for future issuance under our 2018 Equity Incentive Plan, or our</w:t>
      </w:r>
    </w:p>
    <w:p>
      <w:pPr>
        <w:spacing w:after="0" w:line="28" w:lineRule="exact"/>
        <w:rPr>
          <w:rFonts w:ascii="Arial" w:cs="Arial" w:eastAsia="Arial" w:hAnsi="Arial"/>
          <w:sz w:val="14"/>
          <w:szCs w:val="14"/>
          <w:color w:val="auto"/>
        </w:rPr>
      </w:pPr>
    </w:p>
    <w:p>
      <w:pPr>
        <w:ind w:left="2300" w:right="140"/>
        <w:spacing w:after="0" w:line="262" w:lineRule="auto"/>
        <w:rPr>
          <w:rFonts w:ascii="Arial" w:cs="Arial" w:eastAsia="Arial" w:hAnsi="Arial"/>
          <w:sz w:val="14"/>
          <w:szCs w:val="14"/>
          <w:color w:val="auto"/>
        </w:rPr>
      </w:pPr>
      <w:r>
        <w:rPr>
          <w:rFonts w:ascii="Arial" w:cs="Arial" w:eastAsia="Arial" w:hAnsi="Arial"/>
          <w:sz w:val="15"/>
          <w:szCs w:val="15"/>
          <w:color w:val="auto"/>
        </w:rPr>
        <w:t>2018 Plan, which will become effective prior to the completion of this offering (including the shares that will be repurchased by us in connection with the RSU Settlement);</w:t>
      </w:r>
    </w:p>
    <w:p>
      <w:pPr>
        <w:spacing w:after="0" w:line="76" w:lineRule="exact"/>
        <w:rPr>
          <w:rFonts w:ascii="Arial" w:cs="Arial" w:eastAsia="Arial" w:hAnsi="Arial"/>
          <w:sz w:val="14"/>
          <w:szCs w:val="14"/>
          <w:color w:val="auto"/>
        </w:rPr>
      </w:pPr>
    </w:p>
    <w:p>
      <w:pPr>
        <w:ind w:left="2300" w:hanging="364"/>
        <w:spacing w:after="0" w:line="257" w:lineRule="auto"/>
        <w:tabs>
          <w:tab w:leader="none" w:pos="23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300" w:right="40" w:hanging="364"/>
        <w:spacing w:after="0" w:line="263" w:lineRule="auto"/>
        <w:tabs>
          <w:tab w:leader="none" w:pos="23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120" w:hanging="364"/>
        <w:spacing w:after="0" w:line="275" w:lineRule="auto"/>
        <w:tabs>
          <w:tab w:leader="none" w:pos="23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60" w:hanging="364"/>
        <w:spacing w:after="0" w:line="290" w:lineRule="auto"/>
        <w:tabs>
          <w:tab w:leader="none" w:pos="23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13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300"/>
          </w:cols>
          <w:pgMar w:left="24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such plans will provide for annual automatic increases in the number of shares of our Class C common stock reserved thereunder.</w:t>
      </w:r>
    </w:p>
    <w:p>
      <w:pPr>
        <w:spacing w:after="0" w:line="188"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19"/>
          </w:cols>
          <w:pgMar w:left="240" w:top="407" w:right="1440"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92"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2016 and 2017, are derived from our audited consolidated financial statements that are included elsewhere in this prospectus. Our historical results are not necessarily indicative of our future results.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10"/>
          </w:tcPr>
          <w:p>
            <w:pPr>
              <w:jc w:val="center"/>
              <w:ind w:right="160"/>
              <w:spacing w:after="0"/>
              <w:rPr>
                <w:sz w:val="20"/>
                <w:szCs w:val="20"/>
                <w:color w:val="auto"/>
              </w:rPr>
            </w:pPr>
            <w:r>
              <w:rPr>
                <w:rFonts w:ascii="Arial" w:cs="Arial" w:eastAsia="Arial" w:hAnsi="Arial"/>
                <w:sz w:val="12"/>
                <w:szCs w:val="12"/>
                <w:b w:val="1"/>
                <w:bCs w:val="1"/>
                <w:color w:val="auto"/>
                <w:w w:val="90"/>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2"/>
                <w:szCs w:val="12"/>
                <w:b w:val="1"/>
                <w:bCs w:val="1"/>
                <w:color w:val="auto"/>
                <w:w w:val="89"/>
              </w:rPr>
              <w:t>2016</w:t>
            </w:r>
          </w:p>
        </w:tc>
        <w:tc>
          <w:tcPr>
            <w:tcW w:w="1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rPr>
              <w:t>(In millions except for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2"/>
                <w:szCs w:val="12"/>
                <w:i w:val="1"/>
                <w:iCs w:val="1"/>
                <w:color w:val="auto"/>
                <w:w w:val="87"/>
              </w:rPr>
              <w:t>amounts)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390.6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454.2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289.7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5"/>
              </w:rPr>
              <w:t>250.6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107.4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647.7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Interest expense, net</w:t>
            </w: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net loss per share attributable to common stockholders, basic and</w:t>
            </w: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pro forma net loss per share attributable to common stockholders,</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4520"/>
              <w:spacing w:after="0"/>
              <w:rPr>
                <w:sz w:val="20"/>
                <w:szCs w:val="20"/>
                <w:color w:val="auto"/>
              </w:rPr>
            </w:pPr>
            <w:r>
              <w:rPr>
                <w:rFonts w:ascii="Arial" w:cs="Arial" w:eastAsia="Arial" w:hAnsi="Arial"/>
                <w:sz w:val="15"/>
                <w:szCs w:val="15"/>
                <w:color w:val="auto"/>
              </w:rPr>
              <w:t>59</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170" w:lineRule="exact"/>
        <w:rPr>
          <w:sz w:val="20"/>
          <w:szCs w:val="20"/>
          <w:color w:val="auto"/>
        </w:rPr>
      </w:pPr>
    </w:p>
    <w:p>
      <w:pPr>
        <w:ind w:left="1380" w:hanging="268"/>
        <w:spacing w:after="0"/>
        <w:tabs>
          <w:tab w:leader="none" w:pos="1380" w:val="left"/>
        </w:tabs>
        <w:numPr>
          <w:ilvl w:val="0"/>
          <w:numId w:val="32"/>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9"/>
              </w:rPr>
              <w:t>2015</w:t>
            </w:r>
          </w:p>
        </w:tc>
        <w:tc>
          <w:tcPr>
            <w:tcW w:w="3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4"/>
          </w:tcPr>
          <w:p>
            <w:pPr>
              <w:jc w:val="center"/>
              <w:ind w:left="13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164.6</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380" w:hanging="268"/>
        <w:spacing w:after="0" w:line="209" w:lineRule="auto"/>
        <w:tabs>
          <w:tab w:leader="none" w:pos="1380" w:val="left"/>
        </w:tabs>
        <w:numPr>
          <w:ilvl w:val="0"/>
          <w:numId w:val="33"/>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7"/>
              </w:rPr>
              <w:t>As of December 31,</w:t>
            </w: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40" w:type="dxa"/>
            <w:vAlign w:val="bottom"/>
            <w:gridSpan w:val="2"/>
          </w:tcPr>
          <w:p>
            <w:pPr>
              <w:jc w:val="center"/>
              <w:ind w:left="40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352.7</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Working capital</w:t>
            </w:r>
          </w:p>
        </w:tc>
        <w:tc>
          <w:tcPr>
            <w:tcW w:w="4080" w:type="dxa"/>
            <w:vAlign w:val="bottom"/>
            <w:gridSpan w:val="2"/>
          </w:tcPr>
          <w:p>
            <w:pPr>
              <w:jc w:val="right"/>
              <w:ind w:right="180"/>
              <w:spacing w:after="0"/>
              <w:rPr>
                <w:sz w:val="20"/>
                <w:szCs w:val="20"/>
                <w:color w:val="auto"/>
              </w:rPr>
            </w:pPr>
            <w:r>
              <w:rPr>
                <w:rFonts w:ascii="Arial" w:cs="Arial" w:eastAsia="Arial" w:hAnsi="Arial"/>
                <w:sz w:val="15"/>
                <w:szCs w:val="15"/>
                <w:color w:val="auto"/>
              </w:rPr>
              <w:t>(221.9)</w:t>
            </w:r>
          </w:p>
        </w:tc>
        <w:tc>
          <w:tcPr>
            <w:tcW w:w="3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(220.3)</w:t>
            </w: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444.0</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341.9</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assets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1,004.2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1,019.9</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354.9</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419.2</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257.2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174.3</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122.8</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100" w:type="dxa"/>
            <w:vAlign w:val="bottom"/>
            <w:shd w:val="clear" w:color="auto" w:fill="CCEEFF"/>
          </w:tcPr>
          <w:p>
            <w:pPr>
              <w:spacing w:after="0"/>
              <w:rPr>
                <w:sz w:val="15"/>
                <w:szCs w:val="15"/>
                <w:color w:val="auto"/>
              </w:rPr>
            </w:pPr>
          </w:p>
        </w:tc>
      </w:tr>
      <w:tr>
        <w:trPr>
          <w:trHeight w:val="303"/>
        </w:trPr>
        <w:tc>
          <w:tcPr>
            <w:tcW w:w="2780" w:type="dxa"/>
            <w:vAlign w:val="bottom"/>
          </w:tcPr>
          <w:p>
            <w:pPr>
              <w:spacing w:after="0"/>
              <w:rPr>
                <w:sz w:val="24"/>
                <w:szCs w:val="24"/>
                <w:color w:val="auto"/>
              </w:rPr>
            </w:pPr>
          </w:p>
        </w:tc>
        <w:tc>
          <w:tcPr>
            <w:tcW w:w="3260" w:type="dxa"/>
            <w:vAlign w:val="bottom"/>
          </w:tcPr>
          <w:p>
            <w:pPr>
              <w:jc w:val="right"/>
              <w:ind w:right="2045"/>
              <w:spacing w:after="0"/>
              <w:rPr>
                <w:sz w:val="20"/>
                <w:szCs w:val="20"/>
                <w:color w:val="auto"/>
              </w:rPr>
            </w:pPr>
            <w:r>
              <w:rPr>
                <w:rFonts w:ascii="Arial" w:cs="Arial" w:eastAsia="Arial" w:hAnsi="Arial"/>
                <w:sz w:val="15"/>
                <w:szCs w:val="15"/>
                <w:color w:val="auto"/>
              </w:rPr>
              <w:t>60</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60"/>
          </w:cols>
          <w:pgMar w:left="240" w:top="407" w:right="139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92" w:lineRule="exact"/>
        <w:rPr>
          <w:sz w:val="20"/>
          <w:szCs w:val="20"/>
          <w:color w:val="auto"/>
        </w:rPr>
      </w:pPr>
    </w:p>
    <w:p>
      <w:pPr>
        <w:ind w:left="1120" w:right="179" w:firstLine="368"/>
        <w:spacing w:after="0" w:line="27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9"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59"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239" w:firstLine="368"/>
        <w:spacing w:after="0" w:line="283" w:lineRule="auto"/>
        <w:rPr>
          <w:sz w:val="20"/>
          <w:szCs w:val="20"/>
          <w:color w:val="auto"/>
        </w:rPr>
      </w:pPr>
      <w:r>
        <w:rPr>
          <w:rFonts w:ascii="Arial" w:cs="Arial" w:eastAsia="Arial" w:hAnsi="Arial"/>
          <w:sz w:val="14"/>
          <w:szCs w:val="14"/>
          <w:color w:val="auto"/>
        </w:rPr>
        <w:t>We’ve built a thriving global business with 11 million paying users. 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19"/>
          </w:cols>
          <w:pgMar w:left="240" w:top="407" w:right="1440"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History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140970</wp:posOffset>
            </wp:positionV>
            <wp:extent cx="4203700" cy="47910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03700" cy="479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both"/>
        <w:ind w:left="1120" w:right="119" w:firstLine="368"/>
        <w:spacing w:after="0" w:line="322" w:lineRule="auto"/>
        <w:rPr>
          <w:sz w:val="20"/>
          <w:szCs w:val="20"/>
          <w:color w:val="auto"/>
        </w:rPr>
      </w:pPr>
      <w:r>
        <w:rPr>
          <w:rFonts w:ascii="Arial" w:cs="Arial" w:eastAsia="Arial" w:hAnsi="Arial"/>
          <w:sz w:val="13"/>
          <w:szCs w:val="13"/>
          <w:color w:val="auto"/>
        </w:rPr>
        <w:t>We generate revenue from individuals, teams, and organizations by selling subscriptions to our platform, which serve the varying needs of our diverse customer base. Of our 11 million paying users, approximately 30% use Dropbox for work on a Dropbox Business team plan, and we estimate that an additional 50% use Dropbox for work on an individual plan, collectively totaling approximately 80% of paying users. As of December 31,</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19"/>
          </w:cols>
          <w:pgMar w:left="240" w:top="407" w:right="1440"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19"/>
        <w:spacing w:after="0" w:line="276" w:lineRule="auto"/>
        <w:rPr>
          <w:sz w:val="20"/>
          <w:szCs w:val="20"/>
          <w:color w:val="auto"/>
        </w:rPr>
      </w:pPr>
      <w:r>
        <w:rPr>
          <w:rFonts w:ascii="Arial" w:cs="Arial" w:eastAsia="Arial" w:hAnsi="Arial"/>
          <w:sz w:val="14"/>
          <w:szCs w:val="14"/>
          <w:color w:val="auto"/>
        </w:rPr>
        <w:t>2017, approximately 92% of Fortune 500 companies had paying Dropbox users within their organization, and approximately 56% had at least one paying Dropbox Business team. We had more than 300,000 paying Dropbox Business teams as of December 31, 2017. Each Dropbox Business team represents a separately billed deployment that is managed through a single administrative dashboard. Each team must have a minimum of three users, but we also serve teams that can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114935</wp:posOffset>
            </wp:positionV>
            <wp:extent cx="4203700" cy="4841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19"/>
          </w:cols>
          <w:pgMar w:left="240" w:top="407"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Our premium subscription plans, such as Professional and Advanced, provide more functionality than other subscription plans and are offered at higher prices per user. Our Standard and Advanced subscription plans offer robust capabilities for businesses, and the vast majority of Dropbox Business teams, including those at Fortune 500 companies, purchase our Standard or Advanced subscription plans. While our Enterprise subscription plan offers more opportunities for customization, companies can subscribe to any of these team plans for their business needs.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 Model</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Drive new signups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acquire users efficiently and at relatively low costs through word-of-mouth referrals, direct in-product referrals, and sharing of content.</w:t>
      </w:r>
    </w:p>
    <w:p>
      <w:pPr>
        <w:spacing w:after="0" w:line="200" w:lineRule="exact"/>
        <w:rPr>
          <w:sz w:val="20"/>
          <w:szCs w:val="20"/>
          <w:color w:val="auto"/>
        </w:rPr>
      </w:pPr>
    </w:p>
    <w:p>
      <w:pPr>
        <w:ind w:left="1120" w:right="180" w:firstLine="368"/>
        <w:spacing w:after="0" w:line="283" w:lineRule="auto"/>
        <w:rPr>
          <w:sz w:val="20"/>
          <w:szCs w:val="20"/>
          <w:color w:val="auto"/>
        </w:rPr>
      </w:pPr>
      <w:r>
        <w:rPr>
          <w:rFonts w:ascii="Arial" w:cs="Arial" w:eastAsia="Arial" w:hAnsi="Arial"/>
          <w:sz w:val="14"/>
          <w:szCs w:val="14"/>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over 500 million registered users on our platform, of which over 100 million signed up since the beginning of 2017.</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conversion of registered users to our paid subscription plans</w:t>
      </w:r>
    </w:p>
    <w:p>
      <w:pPr>
        <w:spacing w:after="0" w:line="9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believe that our current registered user base represents a significant opportunity to increase our revenue. We estimate that approximately 300 million of our registered users have at least one characteristic that we believe makes them more likely than other registered users to pay over time. These characteristics include: (i) having signed up for Dropbox with a business domain email; (ii) having used specific types of computers or mobile devices to access our platform; or (iii) having signed up from certain countries in more developed markets in North America, Europe, and Asia Pacific, and having linked a desktop or laptop to our platform. Substantially all of our paying users share at least one of these characteristics. We’ve found that aggregate user activity metrics aren’t leading indicators of revenue or conversion. For that reason, we don’t comprehensively track user activity across the Dropbox platform for financial planning and forecasting purposes.</w:t>
      </w:r>
    </w:p>
    <w:p>
      <w:pPr>
        <w:spacing w:after="0" w:line="154"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55" w:lineRule="exact"/>
        <w:rPr>
          <w:sz w:val="20"/>
          <w:szCs w:val="20"/>
          <w:color w:val="auto"/>
        </w:rPr>
      </w:pPr>
    </w:p>
    <w:p>
      <w:pPr>
        <w:ind w:left="1120" w:right="240" w:firstLine="368"/>
        <w:spacing w:after="0" w:line="290" w:lineRule="auto"/>
        <w:rPr>
          <w:sz w:val="20"/>
          <w:szCs w:val="20"/>
          <w:color w:val="auto"/>
        </w:rPr>
      </w:pPr>
      <w:r>
        <w:rPr>
          <w:rFonts w:ascii="Arial" w:cs="Arial" w:eastAsia="Arial" w:hAnsi="Arial"/>
          <w:sz w:val="14"/>
          <w:szCs w:val="14"/>
          <w:color w:val="auto"/>
        </w:rPr>
        <w:t>During the fourth quarter of 2017, hundreds of millions of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3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300"/>
          </w:cols>
          <w:pgMar w:left="240" w:top="407" w:right="135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and expand existing customers</w:t>
      </w:r>
    </w:p>
    <w:p>
      <w:pPr>
        <w:spacing w:after="0" w:line="98" w:lineRule="exact"/>
        <w:rPr>
          <w:sz w:val="20"/>
          <w:szCs w:val="20"/>
          <w:color w:val="auto"/>
        </w:rPr>
      </w:pPr>
    </w:p>
    <w:p>
      <w:pPr>
        <w:ind w:left="1120" w:right="180" w:firstLine="368"/>
        <w:spacing w:after="0" w:line="305" w:lineRule="auto"/>
        <w:rPr>
          <w:sz w:val="20"/>
          <w:szCs w:val="20"/>
          <w:color w:val="auto"/>
        </w:rPr>
      </w:pPr>
      <w:r>
        <w:rPr>
          <w:rFonts w:ascii="Arial" w:cs="Arial" w:eastAsia="Arial" w:hAnsi="Arial"/>
          <w:sz w:val="13"/>
          <w:szCs w:val="13"/>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2017, over 40% of new Dropbox Business teams included a member who was previously a subscriber to one of our individual paid plans.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We believe that a large majority of individual customers use Dropbox for work, which creates an opportunity to significantly increase conversion to Dropbox Business team offerings over time. We also encourage existing Dropbox Business teams to purchase additional licenses or to upgrade to premium subscription plans.</w:t>
      </w:r>
    </w:p>
    <w:p>
      <w:pPr>
        <w:spacing w:after="0" w:line="155" w:lineRule="exact"/>
        <w:rPr>
          <w:sz w:val="20"/>
          <w:szCs w:val="20"/>
          <w:color w:val="auto"/>
        </w:rPr>
      </w:pPr>
    </w:p>
    <w:p>
      <w:pPr>
        <w:jc w:val="both"/>
        <w:ind w:left="1120" w:firstLine="368"/>
        <w:spacing w:after="0" w:line="263" w:lineRule="auto"/>
        <w:rPr>
          <w:sz w:val="20"/>
          <w:szCs w:val="20"/>
          <w:color w:val="auto"/>
        </w:rPr>
      </w:pPr>
      <w:r>
        <w:rPr>
          <w:rFonts w:ascii="Arial" w:cs="Arial" w:eastAsia="Arial" w:hAnsi="Arial"/>
          <w:sz w:val="15"/>
          <w:szCs w:val="15"/>
          <w:color w:val="auto"/>
        </w:rPr>
        <w:t>Within an organization, Dropbox usage may be spread between a mix of Basic users, Plus and Professional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Attractive Cohort Economics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We define a cohort as all registered users who signed up for Dropbox in a given period of time. We track the total monthly subscription amount of all paying users in each cohort as of the end of the month, or the monthly subscription amount. For paying users who opt for our monthly plans, the monthly subscription amount is equal to the price of the monthly plan. For paying users who opt for our annual plans, which a majority of our users do, the monthly subscription amount is equal to the price of the annual plan divided by twelve. These amounts increase as more registered users in each cohort convert to paying users, paying users upgrade to premium subscription offerings, and team administrators purchase additional licenses. These amounts decrease when paying users terminate their subscriptions, downgrade their subscriptions to a lower tier, or team administrators reduce the number of licenses on their subscription plans. We continuously focus on adding new users and increasing the value we offer to them. As a result, each cohort of new users typically generates higher subscription amounts over time.</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80"/>
          </w:cols>
          <w:pgMar w:left="24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99" w:firstLine="368"/>
        <w:spacing w:after="0" w:line="275" w:lineRule="auto"/>
        <w:rPr>
          <w:sz w:val="20"/>
          <w:szCs w:val="20"/>
          <w:color w:val="auto"/>
        </w:rPr>
      </w:pPr>
      <w:r>
        <w:rPr>
          <w:rFonts w:ascii="Arial" w:cs="Arial" w:eastAsia="Arial" w:hAnsi="Arial"/>
          <w:sz w:val="15"/>
          <w:szCs w:val="15"/>
          <w:color w:val="auto"/>
        </w:rPr>
        <w:t>The chart below reflects the monthly subscription amount from January 2013 to December 2017 of all paying users in each quarterly cohort, including those who signed up for our platform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113665</wp:posOffset>
            </wp:positionV>
            <wp:extent cx="3781425" cy="3108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81425" cy="310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We continuously focus on adding new users and increasing the value we offer to them. As a result, each cohort of new users typically generates higher subscription amounts over time. For example, the monthly subscription amount generated by the January 2015 cohort doubled in less than three years after signup. We believe this cohort is representative of a typical cohort in recent periods.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19"/>
          </w:cols>
          <w:pgMar w:left="240" w:top="407" w:right="1440"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Moreover, as we continue to innovate and optimize our go-to-market strategy, we have successfully increased monetization for subsequent cohorts. Comparing January cohorts from the last three years, at virtually every point in time after signup, the January 2017 cohort generated a higher monthly subscription amount than the January 2016 cohort, which in turn generated a higher monthly subscription amount than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97155</wp:posOffset>
            </wp:positionV>
            <wp:extent cx="3781425" cy="2363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81425" cy="236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Global, Diversified Customer Base</w:t>
      </w:r>
    </w:p>
    <w:p>
      <w:pPr>
        <w:spacing w:after="0" w:line="102" w:lineRule="exact"/>
        <w:rPr>
          <w:sz w:val="20"/>
          <w:szCs w:val="20"/>
          <w:color w:val="auto"/>
        </w:rPr>
      </w:pPr>
    </w:p>
    <w:p>
      <w:pPr>
        <w:ind w:left="1120" w:right="320" w:firstLine="368"/>
        <w:spacing w:after="0" w:line="312" w:lineRule="auto"/>
        <w:rPr>
          <w:sz w:val="20"/>
          <w:szCs w:val="20"/>
          <w:color w:val="auto"/>
        </w:rPr>
      </w:pPr>
      <w:r>
        <w:rPr>
          <w:rFonts w:ascii="Arial" w:cs="Arial" w:eastAsia="Arial" w:hAnsi="Arial"/>
          <w:sz w:val="14"/>
          <w:szCs w:val="14"/>
          <w:color w:val="auto"/>
        </w:rPr>
        <w:t>The growing need for a unified home for content and the viral nature of our business have allowed us to scale globally. We have paying users across 180 countries, and we generated approximately half of our revenue in 2017 from customers outside the United States.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300"/>
          </w:cols>
          <w:pgMar w:left="240" w:top="407" w:right="13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Predictable Subscription Revenue</w:t>
      </w:r>
    </w:p>
    <w:p>
      <w:pPr>
        <w:spacing w:after="0" w:line="102" w:lineRule="exact"/>
        <w:rPr>
          <w:sz w:val="20"/>
          <w:szCs w:val="20"/>
          <w:color w:val="auto"/>
        </w:rPr>
      </w:pPr>
    </w:p>
    <w:p>
      <w:pPr>
        <w:ind w:left="1120" w:right="560" w:firstLine="368"/>
        <w:spacing w:after="0" w:line="312" w:lineRule="auto"/>
        <w:rPr>
          <w:sz w:val="20"/>
          <w:szCs w:val="20"/>
          <w:color w:val="auto"/>
        </w:rPr>
      </w:pPr>
      <w:r>
        <w:rPr>
          <w:rFonts w:ascii="Arial" w:cs="Arial" w:eastAsia="Arial" w:hAnsi="Arial"/>
          <w:sz w:val="14"/>
          <w:szCs w:val="14"/>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84455</wp:posOffset>
            </wp:positionV>
            <wp:extent cx="3803015" cy="26498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0301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As of December 31, 2017, more than 80% of our annualized revenue came from existing individual users and Dropbox Business teams who were on our platform as of December 31, 2016.</w:t>
      </w:r>
    </w:p>
    <w:p>
      <w:pPr>
        <w:spacing w:after="0" w:line="146"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As of December 31, 2017, our Annualized Net Revenue Retention for paying Dropbox Business customers was approximately 100%. Annualized Net Revenue Retention is the percentage of annualized revenue retained over a 365-day period, inclusive of changes in price, changes in number of licenses, upgrades and downgrades to different subscription plans, and churn. We calculate Annualized Net Revenue Retention by aggregating the annualized revenue from all paying Dropbox Business customers subscribing to a Dropbox Business plan at the beginning of the period, then aggregating the annualized revenue from those same Dropbox Business customers at the end of the period. For customers whose renewal is pending at the end of the period, we include their annualized revenue in the ending total if they resume payment within 30 days from the end of that period. Annualized Net Revenue Retention is equal to ending annualized revenue divided by beginning annualized revenue.</w:t>
      </w:r>
    </w:p>
    <w:p>
      <w:pPr>
        <w:spacing w:after="0" w:line="14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our blended Annualized Net Revenue Retention across the entire business, including individuals and Dropbox Business customers, was over 90%.</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02" w:lineRule="exact"/>
        <w:rPr>
          <w:sz w:val="20"/>
          <w:szCs w:val="20"/>
          <w:color w:val="auto"/>
        </w:rPr>
      </w:pPr>
    </w:p>
    <w:p>
      <w:pPr>
        <w:ind w:left="1120" w:right="260" w:firstLine="368"/>
        <w:spacing w:after="0" w:line="263" w:lineRule="auto"/>
        <w:rPr>
          <w:sz w:val="20"/>
          <w:szCs w:val="20"/>
          <w:color w:val="auto"/>
        </w:rPr>
      </w:pPr>
      <w:r>
        <w:rPr>
          <w:rFonts w:ascii="Arial" w:cs="Arial" w:eastAsia="Arial" w:hAnsi="Arial"/>
          <w:sz w:val="15"/>
          <w:szCs w:val="15"/>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55"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b w:val="1"/>
          <w:bCs w:val="1"/>
          <w:i w:val="1"/>
          <w:iCs w:val="1"/>
          <w:color w:val="auto"/>
        </w:rPr>
        <w:t xml:space="preserve">Attract Users and Expand Relationships with Them. </w:t>
      </w:r>
      <w:r>
        <w:rPr>
          <w:rFonts w:ascii="Arial" w:cs="Arial" w:eastAsia="Arial" w:hAnsi="Arial"/>
          <w:sz w:val="15"/>
          <w:szCs w:val="15"/>
          <w:color w:val="auto"/>
        </w:rPr>
        <w:t>Our business model is based on attracting new users to our platform, converting registered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users to paying users, and retaining and expanding paying users’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300"/>
          </w:cols>
          <w:pgMar w:left="240" w:top="407"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spacing w:after="0" w:line="311" w:lineRule="auto"/>
        <w:rPr>
          <w:sz w:val="20"/>
          <w:szCs w:val="20"/>
          <w:color w:val="auto"/>
        </w:rPr>
      </w:pPr>
      <w:r>
        <w:rPr>
          <w:rFonts w:ascii="Arial" w:cs="Arial" w:eastAsia="Arial" w:hAnsi="Arial"/>
          <w:sz w:val="13"/>
          <w:szCs w:val="13"/>
          <w:color w:val="auto"/>
        </w:rPr>
        <w:t>subscriptions over time. Our continued success depends in part on our ability to offer compelling subscription plans with valuable capabilities, and to market these plans effectively to users. In addition, we must continue to provide a quality user experience to retain paying customers and encourage existing Dropbox Business teams to purchase additional licenses for their organizations over time. We intend to continue driving organic adoption by individual users and Dropbox Business teams through our self-serve model, and supplement this with our outbound sales force.</w:t>
      </w:r>
    </w:p>
    <w:p>
      <w:pPr>
        <w:spacing w:after="0" w:line="127" w:lineRule="exact"/>
        <w:rPr>
          <w:sz w:val="20"/>
          <w:szCs w:val="20"/>
          <w:color w:val="auto"/>
        </w:rPr>
      </w:pPr>
    </w:p>
    <w:p>
      <w:pPr>
        <w:ind w:left="1120" w:right="40" w:firstLine="368"/>
        <w:spacing w:after="0" w:line="298" w:lineRule="auto"/>
        <w:rPr>
          <w:sz w:val="20"/>
          <w:szCs w:val="20"/>
          <w:color w:val="auto"/>
        </w:rPr>
      </w:pPr>
      <w:r>
        <w:rPr>
          <w:rFonts w:ascii="Arial" w:cs="Arial" w:eastAsia="Arial" w:hAnsi="Arial"/>
          <w:sz w:val="13"/>
          <w:szCs w:val="13"/>
          <w:b w:val="1"/>
          <w:bCs w:val="1"/>
          <w:i w:val="1"/>
          <w:iCs w:val="1"/>
          <w:color w:val="auto"/>
        </w:rPr>
        <w:t xml:space="preserve">Continued Investment in Growth. </w:t>
      </w:r>
      <w:r>
        <w:rPr>
          <w:rFonts w:ascii="Arial" w:cs="Arial" w:eastAsia="Arial" w:hAnsi="Arial"/>
          <w:sz w:val="13"/>
          <w:szCs w:val="13"/>
          <w:color w:val="auto"/>
        </w:rPr>
        <w:t>We intend to continue to make focused investments to increase revenue and scale operations to support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growth of our business, and therefore expect expenses to increase. We plan to further invest in research and development as we hire employees in engineering, product, and design to enhance our platform and support the needs of our growing user base. We also plan to invest in sales and marketing activities to drive our self-serve business model and increase our brand awareness. We expect to incur additional general and administrative expenses to support our growth and our transition to being a publicly traded company. Further, we continue to make investments in our technical infrastructure to support user growth, and in our office locations to support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39"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b w:val="1"/>
          <w:bCs w:val="1"/>
          <w:i w:val="1"/>
          <w:iCs w:val="1"/>
          <w:color w:val="auto"/>
        </w:rPr>
        <w:t>Ongoing Innovation in a Rapidly Changing Environment</w:t>
      </w:r>
      <w:r>
        <w:rPr>
          <w:rFonts w:ascii="Arial" w:cs="Arial" w:eastAsia="Arial" w:hAnsi="Arial"/>
          <w:sz w:val="14"/>
          <w:szCs w:val="14"/>
          <w:color w:val="auto"/>
        </w:rPr>
        <w:t>. The market for content collaboration platforms is characterized by rapid technological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 and frequent new product and service introductions. Our ability to acquire, retain, and upgrade paying users will depend in part on our ability to enhance our platform, introduce new features, and interoperate across an increasing range of devices, operating systems, and third-party applications. Certain features of our platform compete directly with products offered by Amazon, Apple, Atlassian, Box, Google, and Microsoft. We will need to continue to innovate in the face of this rapidly changing landscape to remain competitive.</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have experienced growth in the number of paying users across our products, with the vast majority of paying users for the periods presented coming from our self-serve channels.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3810</wp:posOffset>
            </wp:positionV>
            <wp:extent cx="9525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040"/>
        <w:spacing w:after="0"/>
        <w:tabs>
          <w:tab w:leader="none" w:pos="8620" w:val="left"/>
          <w:tab w:leader="none" w:pos="924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-3175</wp:posOffset>
            </wp:positionV>
            <wp:extent cx="95250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4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860" w:type="dxa"/>
        <w:tblCellMar>
          <w:top w:w="0" w:type="dxa"/>
          <w:left w:w="0" w:type="dxa"/>
          <w:bottom w:w="0" w:type="dxa"/>
          <w:right w:w="0" w:type="dxa"/>
        </w:tblCellMar>
      </w:tblPr>
      <w:tr>
        <w:trPr>
          <w:trHeight w:val="172"/>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1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6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11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300"/>
          </w:cols>
          <w:pgMar w:left="24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Our ARPU declined for the year ended December 31, 2016, compared to the year ended December 31, 2015, primarily due to foreign currency fluctuations related to our sales that are denominated in foreign currencies. Our ARPU increased for the year ended December 31, 2017, compared to the year ended December 31, 2016, primarily due to an increased mix of sales towards our higher priced subscription plans, including our new Dropbox Business Advanced plan.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p>
      <w:pPr>
        <w:jc w:val="center"/>
        <w:ind w:left="614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4864100</wp:posOffset>
            </wp:positionH>
            <wp:positionV relativeFrom="paragraph">
              <wp:posOffset>3810</wp:posOffset>
            </wp:positionV>
            <wp:extent cx="142494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24940" cy="6985"/>
                    </a:xfrm>
                    <a:prstGeom prst="rect">
                      <a:avLst/>
                    </a:prstGeom>
                    <a:noFill/>
                  </pic:spPr>
                </pic:pic>
              </a:graphicData>
            </a:graphic>
          </wp:anchor>
        </w:drawing>
      </w:r>
    </w:p>
    <w:p>
      <w:pPr>
        <w:ind w:left="7780"/>
        <w:spacing w:after="0"/>
        <w:tabs>
          <w:tab w:leader="none" w:pos="8640" w:val="left"/>
          <w:tab w:leader="none" w:pos="952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tbl>
      <w:tblPr>
        <w:tblLayout w:type="fixed"/>
        <w:tblInd w:w="14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ARPU</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Non-GAAP Financial Measure</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In addition to our results determined in accordance with U.S. generally accepted accounting principles, or GAAP, we believe that free cash flow, or FCF, a non-GAAP financial measure, is useful in evaluating our liquidity.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4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320"/>
          </w:cols>
          <w:pgMar w:left="240" w:top="407" w:right="13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61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3810</wp:posOffset>
            </wp:positionV>
            <wp:extent cx="133921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7820"/>
        <w:spacing w:after="0"/>
        <w:tabs>
          <w:tab w:leader="none" w:pos="8640" w:val="left"/>
          <w:tab w:leader="none" w:pos="95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-3175</wp:posOffset>
            </wp:positionV>
            <wp:extent cx="133921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850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Capital expenditures</w:t>
            </w:r>
          </w:p>
        </w:tc>
        <w:tc>
          <w:tcPr>
            <w:tcW w:w="19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Initiative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Infrastructure Optimization</w:t>
      </w:r>
    </w:p>
    <w:p>
      <w:pPr>
        <w:spacing w:after="0" w:line="98"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4"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Starting in 2016, we also took measures to manage the storage footprint of certain long-inactive Basic users, freeing up additional storage capacity. Specifically, we closed the accounts of certain Basic users who had not engaged in any activity on the Dropbox platform in the last year and did not respond to multiple e-mail inquiries from us regarding their inactivity. We continue to regularly take similar measures to manage long-inactive and non-responsive Basic user accounts, and our total registered user numbers do not include accounts that have been closed. This effort, along with additional usage optimizations in 2017, enabled us to continue operating our business within our existing infrastructure base without a need for extensive incremental capital expenditures and leasing activity.</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These efforts are collectively referred to as our Infrastructure Optimization, and some are ongoing.</w:t>
      </w:r>
    </w:p>
    <w:p>
      <w:pPr>
        <w:spacing w:after="0" w:line="188" w:lineRule="exact"/>
        <w:rPr>
          <w:sz w:val="20"/>
          <w:szCs w:val="20"/>
          <w:color w:val="auto"/>
        </w:rPr>
      </w:pPr>
    </w:p>
    <w:p>
      <w:pPr>
        <w:ind w:left="1120" w:right="540" w:firstLine="368"/>
        <w:spacing w:after="0" w:line="263" w:lineRule="auto"/>
        <w:rPr>
          <w:sz w:val="20"/>
          <w:szCs w:val="20"/>
          <w:color w:val="auto"/>
        </w:rPr>
      </w:pPr>
      <w:r>
        <w:rPr>
          <w:rFonts w:ascii="Arial" w:cs="Arial" w:eastAsia="Arial" w:hAnsi="Arial"/>
          <w:sz w:val="15"/>
          <w:szCs w:val="15"/>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generate revenue from sales of subscriptions to our platform.</w:t>
      </w:r>
    </w:p>
    <w:p>
      <w:pPr>
        <w:spacing w:after="0" w:line="18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40"/>
          </w:cols>
          <w:pgMar w:left="240" w:top="407" w:right="141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 and gross margin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Our cost of revenue consists primarily of expenses associated with the storage, delivery, and distribution of our platform for both</w:t>
      </w:r>
      <w:r>
        <w:rPr>
          <w:rFonts w:ascii="Arial" w:cs="Arial" w:eastAsia="Arial" w:hAnsi="Arial"/>
          <w:sz w:val="14"/>
          <w:szCs w:val="14"/>
          <w:i w:val="1"/>
          <w:iCs w:val="1"/>
          <w:color w:val="auto"/>
        </w:rPr>
        <w:t xml:space="preserve"> </w:t>
      </w:r>
      <w:r>
        <w:rPr>
          <w:rFonts w:ascii="Arial" w:cs="Arial" w:eastAsia="Arial" w:hAnsi="Arial"/>
          <w:sz w:val="14"/>
          <w:szCs w:val="14"/>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5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“—Significant Impacts of Stock-Based Compensation,” we expect our cost of revenue to increase significantly in absolute dollars in the quarter during which we complete this offering.</w:t>
      </w:r>
    </w:p>
    <w:p>
      <w:pPr>
        <w:spacing w:after="0" w:line="159"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may fluctuate from period to period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 Taking into account these charges, we expect our gross margin to decrease significantly in the quarter during which we complete this offering.</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Our research and development expenses consist primarily of employee-related costs for our engineering, product, and</w:t>
      </w:r>
      <w:r>
        <w:rPr>
          <w:rFonts w:ascii="Arial" w:cs="Arial" w:eastAsia="Arial" w:hAnsi="Arial"/>
          <w:sz w:val="14"/>
          <w:szCs w:val="14"/>
          <w:i w:val="1"/>
          <w:iCs w:val="1"/>
          <w:color w:val="auto"/>
        </w:rPr>
        <w:t xml:space="preserve"> </w:t>
      </w:r>
      <w:r>
        <w:rPr>
          <w:rFonts w:ascii="Arial" w:cs="Arial" w:eastAsia="Arial" w:hAnsi="Arial"/>
          <w:sz w:val="14"/>
          <w:szCs w:val="14"/>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3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38"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Our sales and marketing expenses relate to both self-serve and outbound sales activities, and consist primarily of employee-related costs, brand campaign fees, lead generation fees, and allocated overhead. Sales commissions earned by our outbound sales team and the related payroll taxes, as well as commissions earned by third-party resellers that we consider to be incremental and recoverable costs of</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40"/>
          </w:cols>
          <w:pgMar w:left="240" w:top="407" w:right="14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color w:val="auto"/>
        </w:rPr>
        <w:t>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4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27"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consist primarily of employee-related costs for our legal, finance, human</w:t>
      </w:r>
      <w:r>
        <w:rPr>
          <w:rFonts w:ascii="Arial" w:cs="Arial" w:eastAsia="Arial" w:hAnsi="Arial"/>
          <w:sz w:val="15"/>
          <w:szCs w:val="15"/>
          <w:i w:val="1"/>
          <w:iCs w:val="1"/>
          <w:color w:val="auto"/>
        </w:rPr>
        <w:t xml:space="preserve"> </w:t>
      </w:r>
      <w:r>
        <w:rPr>
          <w:rFonts w:ascii="Arial" w:cs="Arial" w:eastAsia="Arial" w:hAnsi="Arial"/>
          <w:sz w:val="15"/>
          <w:szCs w:val="15"/>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55" w:lineRule="exact"/>
        <w:rPr>
          <w:sz w:val="20"/>
          <w:szCs w:val="20"/>
          <w:color w:val="auto"/>
        </w:rPr>
      </w:pPr>
    </w:p>
    <w:p>
      <w:pPr>
        <w:ind w:left="1120" w:right="180" w:firstLine="368"/>
        <w:spacing w:after="0" w:line="257"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certain stock-based compensation charges described in “—Significant Impacts of Stock-Based Compensation,” we expect our research and development, sales and marketing, and general and administrative expenses to increase significantly in absolute dollars and as a percentage of revenue in the quarter during which we complete this offering.</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Other income (expense), net consists of other non-operating gains or losses, including those related to ongoing subleases and foreign currency transaction gains and losses.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98"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we had $312.2 million of federal and $143.0 million of state net operating loss carryforwards available to reduce future taxable income, which will begin to expire in 2031 for federal and 2030</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80"/>
          </w:cols>
          <w:pgMar w:left="240" w:top="407" w:right="137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54"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The Tax Cuts and Jobs Act, or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us in future years. Since the Tax Reform Act was recently finalized and ongoing guidance and accounting interpretation is expected over the next twelve months,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Tax Reform Act will be applied or otherwise administered that is different from our interpretation. As we complete our analysis of the Tax Reform Act, collect and prepare necessary data, and interpret any additional guidance, the we may make adjustments to provisional amounts that we have recorded that may be material in the period in which the adjustments are made. The final accounting analysis will occur no later than one year from the date the Tax Reform Act was enacted.</w:t>
      </w:r>
    </w:p>
    <w:p>
      <w:pPr>
        <w:spacing w:after="0" w:line="150" w:lineRule="exact"/>
        <w:rPr>
          <w:sz w:val="20"/>
          <w:szCs w:val="20"/>
          <w:color w:val="auto"/>
        </w:rPr>
      </w:pPr>
    </w:p>
    <w:p>
      <w:pPr>
        <w:ind w:left="1120" w:right="200" w:firstLine="368"/>
        <w:spacing w:after="0" w:line="277" w:lineRule="auto"/>
        <w:rPr>
          <w:sz w:val="20"/>
          <w:szCs w:val="20"/>
          <w:color w:val="auto"/>
        </w:rPr>
      </w:pPr>
      <w:r>
        <w:rPr>
          <w:rFonts w:ascii="Arial" w:cs="Arial" w:eastAsia="Arial" w:hAnsi="Arial"/>
          <w:sz w:val="14"/>
          <w:szCs w:val="14"/>
          <w:color w:val="auto"/>
        </w:rPr>
        <w:t>As a result of the reduction in the corporate rate, we have remeasured our U.S. deferred tax assets and liabilities as of December 31, 2017 to reflect the lower rate expected to apply when these temporary differences reverse. We provisionally estimate that the remeasurement resulted in a reduction in deferred tax assets of $63.1 million, which was fully offset by a corresponding change to our valuation allowance. Although the tax rate reduction is known, we have not collected all of the necessary data to complete our analysis of the effect of the Tax Reform Act on the underlying deferred taxes and as such, the amounts recorded as of December 31, 2017 are provisional. However, we anticipate that any adjustment to provisional amounts recorded would be fully offset by a corresponding change to our valuation allowance.</w:t>
      </w:r>
    </w:p>
    <w:p>
      <w:pPr>
        <w:spacing w:after="0" w:line="14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Tax Reform Act repeals the corporate alternative minimum tax, or AMT, effective beginning in 2018 and permits AMT credit carryforwards to be refunded to the extent unused through 2021. Since we do not anticipate the use of these credits to reduce future federal taxes, we recognized an income tax benefit and established an income tax receivable to reflect anticipated refunds of $1.4 million for our 2016 AMT credit carryforward during the year ended December 31, 2017. We have not collected all of the necessary data to complete our analysis of the classification of the AMT tax credit as a receivable and as such, the amounts recorded as an income tax receivable as of December 31, 2017 are provisional.</w:t>
      </w:r>
    </w:p>
    <w:p>
      <w:pPr>
        <w:spacing w:after="0" w:line="133"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or the Transition Tax. As a result of the cumulative deficits in our foreign subsidiaries, we estimate that we will have no Transition Tax inclusion.</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We continue to evaluate our accounting policy for recording deferred taxes, if any, that would arise as a result of other new provisions including the global intangible low-taxed income tax and the base erosion tax</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320"/>
          </w:cols>
          <w:pgMar w:left="240" w:top="407" w:right="13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regimes established under the Tax Reform Act. This evaluation will be completed no later than one year from the date the Tax Reform Act was enacted.</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w:t>
      </w:r>
    </w:p>
    <w:p>
      <w:pPr>
        <w:spacing w:after="0" w:line="213"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2"/>
                <w:szCs w:val="12"/>
                <w:b w:val="1"/>
                <w:bCs w:val="1"/>
                <w:color w:val="auto"/>
                <w:w w:val="90"/>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$ 603.8</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$ 844.8</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3480" w:type="dxa"/>
            <w:vAlign w:val="bottom"/>
            <w:gridSpan w:val="2"/>
          </w:tcPr>
          <w:p>
            <w:pPr>
              <w:jc w:val="right"/>
              <w:spacing w:after="0"/>
              <w:rPr>
                <w:sz w:val="20"/>
                <w:szCs w:val="20"/>
                <w:color w:val="auto"/>
              </w:rPr>
            </w:pPr>
            <w:r>
              <w:rPr>
                <w:rFonts w:ascii="Arial" w:cs="Arial" w:eastAsia="Arial" w:hAnsi="Arial"/>
                <w:sz w:val="15"/>
                <w:szCs w:val="15"/>
                <w:color w:val="auto"/>
              </w:rPr>
              <w:t>193.1</w:t>
            </w: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250.6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30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30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7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(306.2)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Interest expense, net</w:t>
            </w:r>
          </w:p>
        </w:tc>
        <w:tc>
          <w:tcPr>
            <w:tcW w:w="3700" w:type="dxa"/>
            <w:vAlign w:val="bottom"/>
            <w:gridSpan w:val="3"/>
          </w:tcPr>
          <w:p>
            <w:pPr>
              <w:jc w:val="right"/>
              <w:ind w:right="120"/>
              <w:spacing w:after="0"/>
              <w:rPr>
                <w:sz w:val="20"/>
                <w:szCs w:val="20"/>
                <w:color w:val="auto"/>
              </w:rPr>
            </w:pPr>
            <w:r>
              <w:rPr>
                <w:rFonts w:ascii="Arial" w:cs="Arial" w:eastAsia="Arial" w:hAnsi="Arial"/>
                <w:sz w:val="15"/>
                <w:szCs w:val="15"/>
                <w:color w:val="auto"/>
              </w:rPr>
              <w:t>(15.2)</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(325.6)</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70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(325.9)</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0" w:type="dxa"/>
            <w:vAlign w:val="bottom"/>
            <w:vMerge w:val="restart"/>
          </w:tcPr>
          <w:p>
            <w:pPr>
              <w:jc w:val="right"/>
              <w:ind w:right="1665"/>
              <w:spacing w:after="0"/>
              <w:rPr>
                <w:sz w:val="20"/>
                <w:szCs w:val="20"/>
                <w:color w:val="auto"/>
              </w:rPr>
            </w:pPr>
            <w:r>
              <w:rPr>
                <w:rFonts w:ascii="Arial" w:cs="Arial" w:eastAsia="Arial" w:hAnsi="Arial"/>
                <w:sz w:val="15"/>
                <w:szCs w:val="15"/>
                <w:color w:val="auto"/>
              </w:rPr>
              <w:t>75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167" w:lineRule="exact"/>
        <w:rPr>
          <w:sz w:val="20"/>
          <w:szCs w:val="20"/>
          <w:color w:val="auto"/>
        </w:rPr>
      </w:pPr>
    </w:p>
    <w:p>
      <w:pPr>
        <w:ind w:left="1120"/>
        <w:spacing w:after="0"/>
        <w:tabs>
          <w:tab w:leader="none" w:pos="136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4"/>
          <w:szCs w:val="14"/>
          <w:color w:val="auto"/>
        </w:rPr>
        <w:t>Includes stock-based compensation as follows:</w:t>
      </w:r>
    </w:p>
    <w:p>
      <w:pPr>
        <w:spacing w:after="0" w:line="195" w:lineRule="exact"/>
        <w:rPr>
          <w:sz w:val="20"/>
          <w:szCs w:val="20"/>
          <w:color w:val="auto"/>
        </w:rPr>
      </w:pPr>
    </w:p>
    <w:tbl>
      <w:tblPr>
        <w:tblLayout w:type="fixed"/>
        <w:tblInd w:w="14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29"/>
              <w:spacing w:after="0" w:line="104" w:lineRule="exact"/>
              <w:rPr>
                <w:sz w:val="20"/>
                <w:szCs w:val="20"/>
                <w:color w:val="auto"/>
              </w:rPr>
            </w:pPr>
            <w:r>
              <w:rPr>
                <w:rFonts w:ascii="Arial" w:cs="Arial" w:eastAsia="Arial" w:hAnsi="Arial"/>
                <w:sz w:val="11"/>
                <w:szCs w:val="11"/>
                <w:b w:val="1"/>
                <w:bCs w:val="1"/>
                <w:color w:val="auto"/>
                <w:w w:val="81"/>
              </w:rPr>
              <w:t>2015</w:t>
            </w: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29"/>
              <w:spacing w:after="0" w:line="104" w:lineRule="exact"/>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68"/>
              <w:spacing w:after="0" w:line="104" w:lineRule="exact"/>
              <w:rPr>
                <w:sz w:val="20"/>
                <w:szCs w:val="20"/>
                <w:color w:val="auto"/>
              </w:rPr>
            </w:pPr>
            <w:r>
              <w:rPr>
                <w:rFonts w:ascii="Arial" w:cs="Arial" w:eastAsia="Arial" w:hAnsi="Arial"/>
                <w:sz w:val="11"/>
                <w:szCs w:val="11"/>
                <w:b w:val="1"/>
                <w:bCs w:val="1"/>
                <w:color w:val="auto"/>
                <w:w w:val="97"/>
              </w:rPr>
              <w:t>2017</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4"/>
          </w:tcPr>
          <w:p>
            <w:pPr>
              <w:jc w:val="center"/>
              <w:ind w:right="40"/>
              <w:spacing w:after="0" w:line="104" w:lineRule="exact"/>
              <w:rPr>
                <w:sz w:val="20"/>
                <w:szCs w:val="20"/>
                <w:color w:val="auto"/>
              </w:rPr>
            </w:pPr>
            <w:r>
              <w:rPr>
                <w:rFonts w:ascii="Arial" w:cs="Arial" w:eastAsia="Arial" w:hAnsi="Arial"/>
                <w:sz w:val="11"/>
                <w:szCs w:val="11"/>
                <w:i w:val="1"/>
                <w:iCs w:val="1"/>
                <w:color w:val="auto"/>
                <w:w w:val="92"/>
              </w:rPr>
              <w:t>(In millions)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36.1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9"/>
              <w:spacing w:after="0" w:line="115" w:lineRule="exact"/>
              <w:rPr>
                <w:sz w:val="20"/>
                <w:szCs w:val="20"/>
                <w:color w:val="auto"/>
              </w:rPr>
            </w:pPr>
            <w:r>
              <w:rPr>
                <w:rFonts w:ascii="Arial" w:cs="Arial" w:eastAsia="Arial" w:hAnsi="Arial"/>
                <w:sz w:val="12"/>
                <w:szCs w:val="12"/>
                <w:b w:val="1"/>
                <w:bCs w:val="1"/>
                <w:color w:val="auto"/>
                <w:w w:val="82"/>
              </w:rPr>
              <w:t>2015</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4"/>
          </w:tcPr>
          <w:p>
            <w:pPr>
              <w:jc w:val="center"/>
              <w:ind w:right="40"/>
              <w:spacing w:after="0" w:line="115" w:lineRule="exact"/>
              <w:rPr>
                <w:sz w:val="20"/>
                <w:szCs w:val="20"/>
                <w:color w:val="auto"/>
              </w:rPr>
            </w:pPr>
            <w:r>
              <w:rPr>
                <w:rFonts w:ascii="Arial" w:cs="Arial" w:eastAsia="Arial" w:hAnsi="Arial"/>
                <w:sz w:val="12"/>
                <w:szCs w:val="12"/>
                <w:i w:val="1"/>
                <w:iCs w:val="1"/>
                <w:color w:val="auto"/>
                <w:w w:val="90"/>
              </w:rPr>
              <w:t>(As a % of revenue)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5"/>
                <w:szCs w:val="15"/>
                <w:color w:val="auto"/>
              </w:rPr>
              <w:t>100%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Operating expenses: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(54)%</w:t>
            </w:r>
          </w:p>
        </w:tc>
        <w:tc>
          <w:tcPr>
            <w:tcW w:w="1400" w:type="dxa"/>
            <w:vAlign w:val="bottom"/>
            <w:gridSpan w:val="4"/>
          </w:tcPr>
          <w:p>
            <w:pPr>
              <w:jc w:val="right"/>
              <w:ind w:right="380"/>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w w:val="99"/>
              </w:rPr>
              <w:t>Comparison of the year ended December 31, 2016 and 2017</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2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40" w:type="dxa"/>
            <w:vAlign w:val="bottom"/>
            <w:gridSpan w:val="2"/>
          </w:tcPr>
          <w:p>
            <w:pPr>
              <w:spacing w:after="0"/>
              <w:rPr>
                <w:sz w:val="20"/>
                <w:szCs w:val="20"/>
                <w:color w:val="auto"/>
              </w:rPr>
            </w:pPr>
            <w:r>
              <w:rPr>
                <w:rFonts w:ascii="Arial" w:cs="Arial" w:eastAsia="Arial" w:hAnsi="Arial"/>
                <w:sz w:val="15"/>
                <w:szCs w:val="15"/>
                <w:i w:val="1"/>
                <w:iCs w:val="1"/>
                <w:color w:val="auto"/>
              </w:rPr>
              <w:t>Revenue</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0"/>
              </w:rPr>
              <w:t>Year Ended</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December 31,</w:t>
            </w:r>
          </w:p>
        </w:tc>
        <w:tc>
          <w:tcPr>
            <w:tcW w:w="480" w:type="dxa"/>
            <w:vAlign w:val="bottom"/>
          </w:tcPr>
          <w:p>
            <w:pPr>
              <w:spacing w:after="0"/>
              <w:rPr>
                <w:sz w:val="12"/>
                <w:szCs w:val="12"/>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2"/>
                <w:szCs w:val="12"/>
                <w:b w:val="1"/>
                <w:bCs w:val="1"/>
                <w:color w:val="auto"/>
                <w:w w:val="85"/>
              </w:rPr>
              <w:t>$ Change</w:t>
            </w:r>
          </w:p>
        </w:tc>
        <w:tc>
          <w:tcPr>
            <w:tcW w:w="780" w:type="dxa"/>
            <w:vAlign w:val="bottom"/>
            <w:gridSpan w:val="6"/>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42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$1,106.8</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$ 262.0</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Revenue increased $262.0 million or 31% during 2017, as compared to 2016. This increase was primarily due to a 25% increase in the number of paying users between periods. The average revenue per paying user also increased slightly between periods primarily due to an increased mix of sales towards our higher priced subscription plans, including our new Dropbox Business Advanced plan.</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60" w:type="dxa"/>
            <w:vAlign w:val="bottom"/>
            <w:tcBorders>
              <w:top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62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2017</w:t>
            </w:r>
          </w:p>
        </w:tc>
        <w:tc>
          <w:tcPr>
            <w:tcW w:w="34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2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$390.6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$368.9</w:t>
            </w:r>
          </w:p>
        </w:tc>
        <w:tc>
          <w:tcPr>
            <w:tcW w:w="3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Gross profit</w:t>
            </w:r>
          </w:p>
        </w:tc>
        <w:tc>
          <w:tcPr>
            <w:tcW w:w="3200" w:type="dxa"/>
            <w:vAlign w:val="bottom"/>
            <w:gridSpan w:val="2"/>
          </w:tcPr>
          <w:p>
            <w:pPr>
              <w:jc w:val="right"/>
              <w:ind w:right="280"/>
              <w:spacing w:after="0"/>
              <w:rPr>
                <w:sz w:val="20"/>
                <w:szCs w:val="20"/>
                <w:color w:val="auto"/>
              </w:rPr>
            </w:pPr>
            <w:r>
              <w:rPr>
                <w:rFonts w:ascii="Arial" w:cs="Arial" w:eastAsia="Arial" w:hAnsi="Arial"/>
                <w:sz w:val="15"/>
                <w:szCs w:val="15"/>
                <w:color w:val="auto"/>
              </w:rPr>
              <w:t>454.2</w:t>
            </w:r>
          </w:p>
        </w:tc>
        <w:tc>
          <w:tcPr>
            <w:tcW w:w="620" w:type="dxa"/>
            <w:vAlign w:val="bottom"/>
          </w:tcPr>
          <w:p>
            <w:pPr>
              <w:jc w:val="right"/>
              <w:spacing w:after="0"/>
              <w:rPr>
                <w:sz w:val="20"/>
                <w:szCs w:val="20"/>
                <w:color w:val="auto"/>
              </w:rPr>
            </w:pPr>
            <w:r>
              <w:rPr>
                <w:rFonts w:ascii="Arial" w:cs="Arial" w:eastAsia="Arial" w:hAnsi="Arial"/>
                <w:sz w:val="15"/>
                <w:szCs w:val="15"/>
                <w:color w:val="auto"/>
              </w:rPr>
              <w:t>737.9</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283.7</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jc w:val="right"/>
              <w:ind w:right="625"/>
              <w:spacing w:after="0"/>
              <w:rPr>
                <w:sz w:val="20"/>
                <w:szCs w:val="20"/>
                <w:color w:val="auto"/>
              </w:rPr>
            </w:pPr>
            <w:r>
              <w:rPr>
                <w:rFonts w:ascii="Arial" w:cs="Arial" w:eastAsia="Arial" w:hAnsi="Arial"/>
                <w:sz w:val="15"/>
                <w:szCs w:val="15"/>
                <w:color w:val="auto"/>
              </w:rPr>
              <w:t>76</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Cost of revenue decreased $21.7 million or 6% during 2017, as compared to 2016, primarily due to a $35.1 million decrease in our infrastructure costs due to our Infrastructure Optimization. Further, the decrease in cost of revenue was due to a $5.9 million decrease in amortization of developed technologies, as certain intangible assets became fully amortized during 2016. These decreases were partially offset by an increase of $11.0 million in employee-related expenses, which was due to headcount growth, an increase of $5.3 million in credit card transaction fees due to higher sales and an increase of $3.0 million in professional fees for user support.</w:t>
      </w:r>
    </w:p>
    <w:p>
      <w:pPr>
        <w:spacing w:after="0" w:line="159"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54% during 2016 to 67% during 2017, primarily due to a 31% increase in our revenue during the period and our Infrastructure Optimization.</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$289.7</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$90.6 million or 31% during 2017, as compared to 2016, primarily due to an increase of</w:t>
      </w:r>
    </w:p>
    <w:p>
      <w:pPr>
        <w:spacing w:after="0" w:line="29" w:lineRule="exact"/>
        <w:rPr>
          <w:sz w:val="20"/>
          <w:szCs w:val="20"/>
          <w:color w:val="auto"/>
        </w:rPr>
      </w:pPr>
    </w:p>
    <w:p>
      <w:pPr>
        <w:ind w:left="1120"/>
        <w:spacing w:after="0" w:line="339" w:lineRule="auto"/>
        <w:rPr>
          <w:sz w:val="20"/>
          <w:szCs w:val="20"/>
          <w:color w:val="auto"/>
        </w:rPr>
      </w:pPr>
      <w:r>
        <w:rPr>
          <w:rFonts w:ascii="Arial" w:cs="Arial" w:eastAsia="Arial" w:hAnsi="Arial"/>
          <w:sz w:val="13"/>
          <w:szCs w:val="13"/>
          <w:color w:val="auto"/>
        </w:rPr>
        <w:t>$64.7 million in employee-related expenses, which was due to headcount growth. Further, the increase in research and development expense was due to an increase of $14.1 million in overhead-related costs and an increase of $4.5 million in internal development-related third-party hosting fees.</w:t>
      </w:r>
    </w:p>
    <w:p>
      <w:pPr>
        <w:spacing w:after="0" w:line="20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$250.6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Sales and marketing expenses increased $63.4 million or 25% during 2017, as compared to 2016, primarily due to an increase of $40.9 million in variable spend related to brand campaign fees, lead generation fees, and third-party sales representative fees. In addition, sales and marketing expenses increased due to $17.8 million in employee-related expenses excluding stock-based compensation, which was due to headcount growth. Stock-based compensation decreased $10.9 million due to the modification of an executive stock grant during 2016, that resulted in a charge of $18.8 million in that prior period. Sales and marketing expenses also increased $8.4 million due to app store fees as a result of increased sales and $7.6 million due to overhead-related costs.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80" w:firstLine="368"/>
        <w:spacing w:after="0" w:line="322" w:lineRule="auto"/>
        <w:rPr>
          <w:sz w:val="20"/>
          <w:szCs w:val="20"/>
          <w:color w:val="auto"/>
        </w:rPr>
      </w:pPr>
      <w:r>
        <w:rPr>
          <w:rFonts w:ascii="Arial" w:cs="Arial" w:eastAsia="Arial" w:hAnsi="Arial"/>
          <w:sz w:val="13"/>
          <w:szCs w:val="13"/>
          <w:color w:val="auto"/>
        </w:rPr>
        <w:t>General and administrative expenses increased $49.9 million or 46% during 2017, as compared to 2016, primarily due to an increase of $17.3 million in non-income based taxes as a result of the growth in our business. General and administrative expenses during 2016 included a $12.4 million benefit relating to a non-income based tax ruling. In addition, employee-related expenses increased $13.3 million during 2017, as compared to 2016,</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40"/>
          </w:cols>
          <w:pgMar w:left="240" w:top="407" w:right="14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63" w:lineRule="auto"/>
        <w:rPr>
          <w:sz w:val="20"/>
          <w:szCs w:val="20"/>
          <w:color w:val="auto"/>
        </w:rPr>
      </w:pPr>
      <w:r>
        <w:rPr>
          <w:rFonts w:ascii="Arial" w:cs="Arial" w:eastAsia="Arial" w:hAnsi="Arial"/>
          <w:sz w:val="15"/>
          <w:szCs w:val="15"/>
          <w:color w:val="auto"/>
        </w:rPr>
        <w:t>due to headcount growth, and other general and administrative expenses increased $11.3 million related to the funding of the Dropbox Charitable Foundation. Included in this amount was an equity-based charitable contribution of $9.4 million and cash contributions of $1.9 million. Further, general and administrative expenses increased $4.3 million due to legal-related expenses and accounting services.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Interest expense, net decreased $5.4 million during 2017, as compared to 2016, primarily due to a decrease in interest expense of $3.3 million due to fewer assets acquired under capital leases. In addition, interest income from our money market funds increased by $2.1 million.</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Other income (expense), net increased $8.3 million during 2017, as compared to 2016, primarily due to an increase of $8.6 million in foreign currency gains related to monetary assets and liabilities denominated in euros and British pound sterling.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Provision for income taxes decreased by $5.0 million during 2017 as compared to 2016, primarily as a result of a change in our U.S. AMT position. We were subject to U.S. AMT during 2016, and we do not expect to be subject to U.S. AMT during 2017. In addition, as a result of the repeal of AMT as part of the Tax Reform Act, we recognized a benefit and established a receivable in 2017 to reflect anticipated refunds of our 2016 AMT credit carryforward.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Comparison of the year ended December 31, 2015 and 2016</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Revenue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98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8"/>
              </w:rPr>
              <w:t>$ Change</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98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3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$603.8</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95"/>
              </w:rPr>
              <w:t>$ 241.0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0"/>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tcPr>
          <w:p>
            <w:pPr>
              <w:jc w:val="right"/>
              <w:ind w:right="360"/>
              <w:spacing w:after="0" w:line="115" w:lineRule="exact"/>
              <w:rPr>
                <w:sz w:val="20"/>
                <w:szCs w:val="20"/>
                <w:color w:val="auto"/>
              </w:rPr>
            </w:pPr>
            <w:r>
              <w:rPr>
                <w:rFonts w:ascii="Arial" w:cs="Arial" w:eastAsia="Arial" w:hAnsi="Arial"/>
                <w:sz w:val="12"/>
                <w:szCs w:val="12"/>
                <w:b w:val="1"/>
                <w:bCs w:val="1"/>
                <w:color w:val="auto"/>
              </w:rPr>
              <w:t>2015</w:t>
            </w:r>
          </w:p>
        </w:tc>
        <w:tc>
          <w:tcPr>
            <w:tcW w:w="64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$407.4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$390.6</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Gross profit</w:t>
            </w:r>
          </w:p>
        </w:tc>
        <w:tc>
          <w:tcPr>
            <w:tcW w:w="2760" w:type="dxa"/>
            <w:vAlign w:val="bottom"/>
            <w:gridSpan w:val="2"/>
          </w:tcPr>
          <w:p>
            <w:pPr>
              <w:jc w:val="right"/>
              <w:ind w:right="280"/>
              <w:spacing w:after="0"/>
              <w:rPr>
                <w:sz w:val="20"/>
                <w:szCs w:val="20"/>
                <w:color w:val="auto"/>
              </w:rPr>
            </w:pPr>
            <w:r>
              <w:rPr>
                <w:rFonts w:ascii="Arial" w:cs="Arial" w:eastAsia="Arial" w:hAnsi="Arial"/>
                <w:sz w:val="15"/>
                <w:szCs w:val="15"/>
                <w:color w:val="auto"/>
              </w:rPr>
              <w:t>196.4</w:t>
            </w:r>
          </w:p>
        </w:tc>
        <w:tc>
          <w:tcPr>
            <w:tcW w:w="640" w:type="dxa"/>
            <w:vAlign w:val="bottom"/>
          </w:tcPr>
          <w:p>
            <w:pPr>
              <w:jc w:val="right"/>
              <w:spacing w:after="0"/>
              <w:rPr>
                <w:sz w:val="20"/>
                <w:szCs w:val="20"/>
                <w:color w:val="auto"/>
              </w:rPr>
            </w:pPr>
            <w:r>
              <w:rPr>
                <w:rFonts w:ascii="Arial" w:cs="Arial" w:eastAsia="Arial" w:hAnsi="Arial"/>
                <w:sz w:val="15"/>
                <w:szCs w:val="15"/>
                <w:color w:val="auto"/>
              </w:rPr>
              <w:t>454.2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257.8</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60"/>
          </w:cols>
          <w:pgMar w:left="240" w:top="407" w:right="139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9" w:lineRule="auto"/>
        <w:rPr>
          <w:sz w:val="20"/>
          <w:szCs w:val="20"/>
          <w:color w:val="auto"/>
        </w:rPr>
      </w:pPr>
      <w:r>
        <w:rPr>
          <w:rFonts w:ascii="Arial" w:cs="Arial" w:eastAsia="Arial" w:hAnsi="Arial"/>
          <w:sz w:val="14"/>
          <w:szCs w:val="14"/>
          <w:color w:val="auto"/>
        </w:rPr>
        <w:t>equipment in co-location facilities that we directly lease and operate. Further, the decrease in cost of revenue was due to a $5.2 million decrease in amortization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33% during 2015 to 54% during 2016 primarily due to our Infrastructure Optimization and a 40% increase in our revenue during the period.</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$88.1 million or 44% during 2016, as compared to 2015, primarily due to an increase of</w:t>
      </w:r>
    </w:p>
    <w:p>
      <w:pPr>
        <w:spacing w:after="0" w:line="29" w:lineRule="exact"/>
        <w:rPr>
          <w:sz w:val="20"/>
          <w:szCs w:val="20"/>
          <w:color w:val="auto"/>
        </w:rPr>
      </w:pPr>
    </w:p>
    <w:p>
      <w:pPr>
        <w:ind w:left="1120" w:right="60"/>
        <w:spacing w:after="0" w:line="256" w:lineRule="auto"/>
        <w:rPr>
          <w:sz w:val="20"/>
          <w:szCs w:val="20"/>
          <w:color w:val="auto"/>
        </w:rPr>
      </w:pPr>
      <w:r>
        <w:rPr>
          <w:rFonts w:ascii="Arial" w:cs="Arial" w:eastAsia="Arial" w:hAnsi="Arial"/>
          <w:sz w:val="15"/>
          <w:szCs w:val="15"/>
          <w:color w:val="auto"/>
        </w:rPr>
        <w:t>$66.9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$193.1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$250.6</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7" w:lineRule="auto"/>
        <w:rPr>
          <w:sz w:val="20"/>
          <w:szCs w:val="20"/>
          <w:color w:val="auto"/>
        </w:rPr>
      </w:pPr>
      <w:r>
        <w:rPr>
          <w:rFonts w:ascii="Arial" w:cs="Arial" w:eastAsia="Arial" w:hAnsi="Arial"/>
          <w:sz w:val="14"/>
          <w:szCs w:val="14"/>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6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9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$107.9</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120" w:right="400" w:firstLine="368"/>
        <w:spacing w:after="0" w:line="275" w:lineRule="auto"/>
        <w:rPr>
          <w:sz w:val="20"/>
          <w:szCs w:val="20"/>
          <w:color w:val="auto"/>
        </w:rPr>
      </w:pPr>
      <w:r>
        <w:rPr>
          <w:rFonts w:ascii="Arial" w:cs="Arial" w:eastAsia="Arial" w:hAnsi="Arial"/>
          <w:sz w:val="15"/>
          <w:szCs w:val="15"/>
          <w:color w:val="auto"/>
        </w:rPr>
        <w:t>General and administrative expenses decreased $0.5 million during 2016, as compared to 2015, primarily due to a decrease of $12.4 million resulting from a non-income based tax ruling and a decrease of $7.3 million in</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300"/>
          </w:cols>
          <w:pgMar w:left="240" w:top="407" w:right="135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59" w:lineRule="auto"/>
        <w:rPr>
          <w:sz w:val="20"/>
          <w:szCs w:val="20"/>
          <w:color w:val="auto"/>
        </w:rPr>
      </w:pPr>
      <w:r>
        <w:rPr>
          <w:rFonts w:ascii="Arial" w:cs="Arial" w:eastAsia="Arial" w:hAnsi="Arial"/>
          <w:sz w:val="15"/>
          <w:szCs w:val="15"/>
          <w:color w:val="auto"/>
        </w:rPr>
        <w:t>other non-income based taxes in 2016. These decreases were offset by an increase of $7.3 million in employee-related expenses, which was due to headcount growth. Further, the decrease in general and administrative expense was offset by an increase of $8.0 million in overhead-related costs primarily due to the completion of construction on our new corporate headquarters, and an increase of $3.4 million in professional fees for increased legal and accounting services.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right="300" w:firstLine="368"/>
        <w:spacing w:after="0" w:line="312" w:lineRule="auto"/>
        <w:rPr>
          <w:sz w:val="20"/>
          <w:szCs w:val="20"/>
          <w:color w:val="auto"/>
        </w:rPr>
      </w:pPr>
      <w:r>
        <w:rPr>
          <w:rFonts w:ascii="Arial" w:cs="Arial" w:eastAsia="Arial" w:hAnsi="Arial"/>
          <w:sz w:val="14"/>
          <w:szCs w:val="14"/>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Other income (expense), net increased $9.1 million during 2016, as compared to 2015, primarily due to the commencement of sublease income of $7.0 million and a net gain of $1.6 million related to fixed asset disposals.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Quarterly Results of Operations</w:t>
      </w:r>
    </w:p>
    <w:p>
      <w:pPr>
        <w:spacing w:after="0" w:line="102" w:lineRule="exact"/>
        <w:rPr>
          <w:sz w:val="20"/>
          <w:szCs w:val="20"/>
          <w:color w:val="auto"/>
        </w:rPr>
      </w:pPr>
    </w:p>
    <w:p>
      <w:pPr>
        <w:ind w:left="1120" w:right="160" w:firstLine="368"/>
        <w:spacing w:after="0" w:line="277" w:lineRule="auto"/>
        <w:rPr>
          <w:sz w:val="20"/>
          <w:szCs w:val="20"/>
          <w:color w:val="auto"/>
        </w:rPr>
      </w:pPr>
      <w:r>
        <w:rPr>
          <w:rFonts w:ascii="Arial" w:cs="Arial" w:eastAsia="Arial" w:hAnsi="Arial"/>
          <w:sz w:val="14"/>
          <w:szCs w:val="14"/>
          <w:color w:val="auto"/>
        </w:rPr>
        <w:t>The following table sets forth our unaudited quarterly statements of operations data for each of the last eight quarters ended December 31,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2"/>
                <w:szCs w:val="12"/>
                <w:b w:val="1"/>
                <w:bCs w:val="1"/>
                <w:color w:val="auto"/>
                <w:w w:val="99"/>
              </w:rPr>
              <w:t>Three months ended</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4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September 30,</w:t>
            </w:r>
          </w:p>
        </w:tc>
        <w:tc>
          <w:tcPr>
            <w:tcW w:w="92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December 31,</w:t>
            </w:r>
          </w:p>
        </w:tc>
        <w:tc>
          <w:tcPr>
            <w:tcW w:w="7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March 31,</w:t>
            </w:r>
          </w:p>
        </w:tc>
        <w:tc>
          <w:tcPr>
            <w:tcW w:w="66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80"/>
              <w:spacing w:after="0" w:line="96" w:lineRule="exact"/>
              <w:rPr>
                <w:sz w:val="20"/>
                <w:szCs w:val="20"/>
                <w:color w:val="auto"/>
              </w:rPr>
            </w:pPr>
            <w:r>
              <w:rPr>
                <w:rFonts w:ascii="Arial" w:cs="Arial" w:eastAsia="Arial" w:hAnsi="Arial"/>
                <w:sz w:val="11"/>
                <w:szCs w:val="11"/>
                <w:b w:val="1"/>
                <w:bCs w:val="1"/>
                <w:color w:val="auto"/>
              </w:rPr>
              <w:t>September 30,</w:t>
            </w:r>
          </w:p>
        </w:tc>
        <w:tc>
          <w:tcPr>
            <w:tcW w:w="800" w:type="dxa"/>
            <w:vAlign w:val="bottom"/>
            <w:gridSpan w:val="3"/>
          </w:tcPr>
          <w:p>
            <w:pPr>
              <w:ind w:left="8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$200.8</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247.9</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w:t>
            </w:r>
          </w:p>
        </w:tc>
        <w:tc>
          <w:tcPr>
            <w:tcW w:w="8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213.8</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73.8</w:t>
            </w: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57.5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67.2</w:t>
            </w: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69.2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102.9</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spacing w:after="0"/>
              <w:rPr>
                <w:sz w:val="15"/>
                <w:szCs w:val="15"/>
                <w:color w:val="auto"/>
              </w:rPr>
            </w:pP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(81.8)</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(50.4)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(26.7)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166"/>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320"/>
          </w:cols>
          <w:pgMar w:left="240" w:top="407" w:right="133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380" w:hanging="268"/>
        <w:spacing w:after="0"/>
        <w:tabs>
          <w:tab w:leader="none" w:pos="1380" w:val="left"/>
        </w:tabs>
        <w:numPr>
          <w:ilvl w:val="0"/>
          <w:numId w:val="34"/>
        </w:numPr>
        <w:rPr>
          <w:rFonts w:ascii="Arial" w:cs="Arial" w:eastAsia="Arial" w:hAnsi="Arial"/>
          <w:sz w:val="10"/>
          <w:szCs w:val="10"/>
          <w:color w:val="auto"/>
        </w:rPr>
      </w:pPr>
      <w:r>
        <w:rPr>
          <w:rFonts w:ascii="Arial" w:cs="Arial" w:eastAsia="Arial" w:hAnsi="Arial"/>
          <w:sz w:val="12"/>
          <w:szCs w:val="12"/>
          <w:color w:val="auto"/>
        </w:rPr>
        <w:t>Includes stock-based compensation as follows: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2"/>
                <w:szCs w:val="12"/>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0"/>
              </w:rPr>
              <w:t>June 30,</w:t>
            </w:r>
          </w:p>
        </w:tc>
        <w:tc>
          <w:tcPr>
            <w:tcW w:w="10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7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June 30,</w:t>
            </w:r>
          </w:p>
        </w:tc>
        <w:tc>
          <w:tcPr>
            <w:tcW w:w="9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3"/>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4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2"/>
              </w:rPr>
              <w:t>2016</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w w:val="97"/>
              </w:rPr>
              <w:t>2017</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i w:val="1"/>
                <w:iCs w:val="1"/>
                <w:color w:val="auto"/>
              </w:rPr>
              <w:t>(In millions)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revenue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26.7</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9"/>
                <w:szCs w:val="19"/>
                <w:color w:val="auto"/>
                <w:vertAlign w:val="superscript"/>
              </w:rPr>
              <w:t>(a)</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right="280" w:hanging="268"/>
        <w:spacing w:after="0" w:line="242" w:lineRule="auto"/>
        <w:tabs>
          <w:tab w:leader="none" w:pos="1380" w:val="left"/>
        </w:tabs>
        <w:numPr>
          <w:ilvl w:val="0"/>
          <w:numId w:val="35"/>
        </w:numPr>
        <w:rPr>
          <w:rFonts w:ascii="Arial" w:cs="Arial" w:eastAsia="Arial" w:hAnsi="Arial"/>
          <w:sz w:val="10"/>
          <w:szCs w:val="10"/>
          <w:color w:val="auto"/>
        </w:rPr>
      </w:pPr>
      <w:r>
        <w:rPr>
          <w:rFonts w:ascii="Arial" w:cs="Arial" w:eastAsia="Arial" w:hAnsi="Arial"/>
          <w:sz w:val="12"/>
          <w:szCs w:val="12"/>
          <w:color w:val="auto"/>
        </w:rPr>
        <w:t>Stock-based compensation included in sales and marketing expenses for the three months ended March 31, 2016 includes $18.8 million related to a stock option modification for an executive officer.</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June 30,</w:t>
            </w:r>
          </w:p>
        </w:tc>
        <w:tc>
          <w:tcPr>
            <w:tcW w:w="1020" w:type="dxa"/>
            <w:vAlign w:val="bottom"/>
            <w:gridSpan w:val="3"/>
          </w:tcPr>
          <w:p>
            <w:pPr>
              <w:jc w:val="right"/>
              <w:ind w:right="200"/>
              <w:spacing w:after="0" w:line="96" w:lineRule="exact"/>
              <w:rPr>
                <w:sz w:val="20"/>
                <w:szCs w:val="20"/>
                <w:color w:val="auto"/>
              </w:rPr>
            </w:pPr>
            <w:r>
              <w:rPr>
                <w:rFonts w:ascii="Arial" w:cs="Arial" w:eastAsia="Arial" w:hAnsi="Arial"/>
                <w:sz w:val="11"/>
                <w:szCs w:val="11"/>
                <w:b w:val="1"/>
                <w:bCs w:val="1"/>
                <w:color w:val="auto"/>
              </w:rPr>
              <w:t>September 30,</w:t>
            </w:r>
          </w:p>
        </w:tc>
        <w:tc>
          <w:tcPr>
            <w:tcW w:w="1120" w:type="dxa"/>
            <w:vAlign w:val="bottom"/>
            <w:gridSpan w:val="3"/>
          </w:tcPr>
          <w:p>
            <w:pPr>
              <w:jc w:val="center"/>
              <w:ind w:right="10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March 31,</w:t>
            </w:r>
          </w:p>
        </w:tc>
        <w:tc>
          <w:tcPr>
            <w:tcW w:w="7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June 30,</w:t>
            </w:r>
          </w:p>
        </w:tc>
        <w:tc>
          <w:tcPr>
            <w:tcW w:w="10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September 30,</w:t>
            </w:r>
          </w:p>
        </w:tc>
        <w:tc>
          <w:tcPr>
            <w:tcW w:w="780" w:type="dxa"/>
            <w:vAlign w:val="bottom"/>
            <w:gridSpan w:val="2"/>
          </w:tcPr>
          <w:p>
            <w:pPr>
              <w:jc w:val="right"/>
              <w:spacing w:after="0" w:line="96"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82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2"/>
                <w:szCs w:val="12"/>
                <w:color w:val="auto"/>
              </w:rPr>
            </w:pPr>
          </w:p>
        </w:tc>
        <w:tc>
          <w:tcPr>
            <w:tcW w:w="86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Pr>
          <w:p>
            <w:pPr>
              <w:spacing w:after="0"/>
              <w:rPr>
                <w:sz w:val="12"/>
                <w:szCs w:val="12"/>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820" w:type="dxa"/>
            <w:vAlign w:val="bottom"/>
            <w:gridSpan w:val="2"/>
          </w:tcPr>
          <w:p>
            <w:pPr>
              <w:jc w:val="right"/>
              <w:ind w:right="1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780" w:type="dxa"/>
            <w:vAlign w:val="bottom"/>
            <w:gridSpan w:val="2"/>
          </w:tcPr>
          <w:p>
            <w:pPr>
              <w:jc w:val="right"/>
              <w:ind w:right="145"/>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20"/>
              <w:spacing w:after="0" w:line="115" w:lineRule="exact"/>
              <w:rPr>
                <w:sz w:val="20"/>
                <w:szCs w:val="20"/>
                <w:color w:val="auto"/>
              </w:rPr>
            </w:pPr>
            <w:r>
              <w:rPr>
                <w:rFonts w:ascii="Arial" w:cs="Arial" w:eastAsia="Arial" w:hAnsi="Arial"/>
                <w:sz w:val="12"/>
                <w:szCs w:val="12"/>
                <w:color w:val="auto"/>
                <w:w w:val="90"/>
              </w:rPr>
              <w:t>(</w:t>
            </w:r>
            <w:r>
              <w:rPr>
                <w:rFonts w:ascii="Arial" w:cs="Arial" w:eastAsia="Arial" w:hAnsi="Arial"/>
                <w:sz w:val="12"/>
                <w:szCs w:val="12"/>
                <w:i w:val="1"/>
                <w:iCs w:val="1"/>
                <w:color w:val="auto"/>
                <w:w w:val="90"/>
              </w:rPr>
              <w:t>As a % of revenue</w:t>
            </w:r>
            <w:r>
              <w:rPr>
                <w:rFonts w:ascii="Arial" w:cs="Arial" w:eastAsia="Arial" w:hAnsi="Arial"/>
                <w:sz w:val="12"/>
                <w:szCs w:val="12"/>
                <w:color w:val="auto"/>
                <w:w w:val="90"/>
              </w:rPr>
              <w:t>)</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r>
      <w:tr>
        <w:trPr>
          <w:trHeight w:val="183"/>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Research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development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w w:val="96"/>
              </w:rPr>
              <w:t>Sales and marketing</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General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administrative</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20" w:type="dxa"/>
            <w:vAlign w:val="bottom"/>
            <w:shd w:val="clear" w:color="auto" w:fill="CCEEFF"/>
          </w:tcPr>
          <w:p>
            <w:pPr>
              <w:spacing w:after="0"/>
              <w:rPr>
                <w:sz w:val="16"/>
                <w:szCs w:val="16"/>
                <w:color w:val="auto"/>
              </w:rPr>
            </w:pPr>
          </w:p>
        </w:tc>
      </w:tr>
      <w:tr>
        <w:trPr>
          <w:trHeight w:val="186"/>
        </w:trPr>
        <w:tc>
          <w:tcPr>
            <w:tcW w:w="1640" w:type="dxa"/>
            <w:vAlign w:val="bottom"/>
            <w:gridSpan w:val="2"/>
          </w:tcPr>
          <w:p>
            <w:pPr>
              <w:spacing w:after="0"/>
              <w:rPr>
                <w:sz w:val="20"/>
                <w:szCs w:val="20"/>
                <w:color w:val="auto"/>
              </w:rPr>
            </w:pPr>
            <w:r>
              <w:rPr>
                <w:rFonts w:ascii="Arial" w:cs="Arial" w:eastAsia="Arial" w:hAnsi="Arial"/>
                <w:sz w:val="15"/>
                <w:szCs w:val="15"/>
                <w:color w:val="auto"/>
                <w:w w:val="96"/>
              </w:rPr>
              <w:t>Total operating expenses</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2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revenue trends</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Our revenue increased sequentially in each of the quarters presented primarily due to increases in the number of paying users. Seasonality in our revenue is not material.</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cost of revenue and gross margin trends</w:t>
      </w:r>
    </w:p>
    <w:p>
      <w:pPr>
        <w:spacing w:after="0" w:line="9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operating expense trends</w:t>
      </w:r>
    </w:p>
    <w:p>
      <w:pPr>
        <w:spacing w:after="0" w:line="9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Except for the three months ended June 30, 2016, our total quarterly operating expenses increased sequentially in the quarters presented primarily due to headcount growth in connection with the expansion of our business and other events that are discussed herein.</w:t>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320"/>
          </w:cols>
          <w:pgMar w:left="240" w:top="407" w:right="1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Our research and development expenses increased at a faster rate during the three months ended March 31, 2017, comparatively to other quarters, primarily due to headcount growth and employee-related costs.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Our sales and marketing expenses generally increased in the quarters presented primarily due to employee-related expenses and brand advertising campaigns. The timing of brand advertising campaigns can impact the trends in sales and marketing expenses. The sequential decline in our sales and marketing expenses during the three months ended June 30, 2016 was due to a stock-based compensation charge of $18.8 million related to the modification of an executive stock grant recorded in the three months ended March 31, 2016. Our sales and marketing expenses increased at a faster rate during the three months ended December 31, 2017, as we accelerated our investment in our global brand advertising campaign.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8"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Our general and administrative expenses fluctuated in the quarters presented, primarily due to increases in employee-related expenses and legal, accounting, and other professional fees. Our general and administrative expenses for certain quarters included certain charges and benefits as follows: the three months ended June 30, 2016 included a benefit of $12.4 million resulting from a non-income based tax ruling, and the three months ended June 30, 2017 included expense of $9.4 million for a non-cash charitable donation of shares of our common stock as initial funding for the Dropbox Charitable Foundation.</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jc w:val="both"/>
        <w:ind w:left="1120" w:right="360" w:firstLine="368"/>
        <w:spacing w:after="0" w:line="263" w:lineRule="auto"/>
        <w:rPr>
          <w:sz w:val="20"/>
          <w:szCs w:val="20"/>
          <w:color w:val="auto"/>
        </w:rPr>
      </w:pPr>
      <w:r>
        <w:rPr>
          <w:rFonts w:ascii="Arial" w:cs="Arial" w:eastAsia="Arial" w:hAnsi="Arial"/>
          <w:sz w:val="15"/>
          <w:szCs w:val="15"/>
          <w:color w:val="auto"/>
        </w:rPr>
        <w:t>As of December 31, 2017, we had cash and cash equivalents of $430.0 million. Our cash and cash equivalents consist primarily of cash and money market funds. As of December 31, 2017, we had $86.3 million of our cash and cash equivalents held by our foreign subsidiaries. We do not expect to incur material taxes in the event we repatriate any of these amounts.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expect to increase our use of capital leases to finance infrastructure equipment as certain assets reach the end of their useful lives in future periods.</w:t>
      </w:r>
    </w:p>
    <w:p>
      <w:pPr>
        <w:spacing w:after="0" w:line="164"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Our principal uses of cash in recent periods have been funding our operations, making principal payments on our capital lease obligations, the satisfaction of tax withholdings in connection with the settlement of restricted stock units, and making capital expenditures.</w:t>
      </w:r>
    </w:p>
    <w:p>
      <w:pPr>
        <w:spacing w:after="0" w:line="123"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300"/>
          </w:cols>
          <w:pgMar w:left="240" w:top="407" w:right="13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2017.</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As of December 31, 2017, we had no amounts outstanding under the revolving credit facility and an aggregate of $82.6 million in letters of credit outstanding under the revolving credit facility. Our total available borrowing capacity under the revolving credit facility was $517.4 million as of December 31, 2017.</w:t>
      </w:r>
    </w:p>
    <w:p>
      <w:pPr>
        <w:spacing w:after="0" w:line="155"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our borrowing capacity under our revolving credit facility of up to $275.0 million, provided no event of default has occurred or is continuing or would result from such increase.</w:t>
      </w:r>
    </w:p>
    <w:p>
      <w:pPr>
        <w:spacing w:after="0" w:line="12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cash flow activities were as follows for the periods presented:</w:t>
      </w:r>
    </w:p>
    <w:p>
      <w:pPr>
        <w:sectPr>
          <w:pgSz w:w="11900" w:h="16838" w:orient="portrait"/>
          <w:cols w:equalWidth="0" w:num="1">
            <w:col w:w="10300"/>
          </w:cols>
          <w:pgMar w:left="240" w:top="40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5"/>
          <w:szCs w:val="15"/>
          <w:color w:val="auto"/>
        </w:rPr>
        <w:t>Net cash used in investing activities</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65"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spacing w:after="0" w:line="31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36080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120"/>
        <w:spacing w:after="0"/>
        <w:tabs>
          <w:tab w:leader="none" w:pos="940" w:val="left"/>
          <w:tab w:leader="none" w:pos="17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080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2"/>
          <w:szCs w:val="12"/>
          <w:i w:val="1"/>
          <w:iCs w:val="1"/>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14.8</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252.6</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5"/>
              </w:rPr>
              <w:t>330.3</w:t>
            </w:r>
          </w:p>
        </w:tc>
        <w:tc>
          <w:tcPr>
            <w:tcW w:w="40" w:type="dxa"/>
            <w:vAlign w:val="bottom"/>
          </w:tcPr>
          <w:p>
            <w:pPr>
              <w:spacing w:after="0"/>
              <w:rPr>
                <w:sz w:val="15"/>
                <w:szCs w:val="15"/>
                <w:color w:val="auto"/>
              </w:rPr>
            </w:pPr>
          </w:p>
        </w:tc>
      </w:tr>
      <w:tr>
        <w:trPr>
          <w:trHeight w:val="190"/>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(118.0)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(23.9)</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(134.5)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w w:val="88"/>
              </w:rPr>
              <w:t>(231.7)</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6"/>
                <w:szCs w:val="16"/>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(161.3)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77.3</w:t>
            </w:r>
          </w:p>
        </w:tc>
        <w:tc>
          <w:tcPr>
            <w:tcW w:w="40" w:type="dxa"/>
            <w:vAlign w:val="bottom"/>
          </w:tcPr>
          <w:p>
            <w:pPr>
              <w:spacing w:after="0"/>
              <w:rPr>
                <w:sz w:val="16"/>
                <w:szCs w:val="16"/>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41" w:lineRule="exact"/>
        <w:rPr>
          <w:sz w:val="20"/>
          <w:szCs w:val="20"/>
          <w:color w:val="auto"/>
        </w:rPr>
      </w:pPr>
    </w:p>
    <w:p>
      <w:pPr>
        <w:sectPr>
          <w:pgSz w:w="11900" w:h="16838" w:orient="portrait"/>
          <w:cols w:equalWidth="0" w:num="2">
            <w:col w:w="7360" w:space="720"/>
            <w:col w:w="2220"/>
          </w:cols>
          <w:pgMar w:left="240" w:top="407" w:right="1359" w:bottom="1440" w:gutter="0" w:footer="0" w:header="0"/>
          <w:type w:val="continuous"/>
        </w:sectPr>
      </w:pPr>
    </w:p>
    <w:p>
      <w:pPr>
        <w:ind w:left="1120" w:right="240" w:firstLine="368"/>
        <w:spacing w:after="0" w:line="275" w:lineRule="auto"/>
        <w:rPr>
          <w:sz w:val="20"/>
          <w:szCs w:val="20"/>
          <w:color w:val="auto"/>
        </w:rPr>
      </w:pPr>
      <w:r>
        <w:rPr>
          <w:rFonts w:ascii="Arial" w:cs="Arial" w:eastAsia="Arial" w:hAnsi="Arial"/>
          <w:sz w:val="15"/>
          <w:szCs w:val="15"/>
          <w:color w:val="auto"/>
        </w:rPr>
        <w:t>Our largest source of operating cash is cash collections from our paying users for subscriptions to our platform. Our primary uses of cash from operating activities are for employee-related expenditures,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300"/>
          </w:cols>
          <w:pgMar w:left="240" w:top="407" w:right="1359" w:bottom="1440" w:gutter="0" w:footer="0" w:header="0"/>
          <w:type w:val="continuous"/>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color w:val="auto"/>
        </w:rPr>
        <w:t>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2017, net cash provided by operating activities was $330.3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$111.7 million, adjusted for depreciation and amortization expenses of $181.8 million and stock-based compensation expense of $164.6 million, and net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cash inflow of $81.3 million from operating assets and liabilities. The inflow from operating assets and liabilities was primarily due to an increase of</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$64.3 million in deferred revenue from increased subscription sales, as a majority of our paying users are invoiced in advance. The increase in net cash</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provided by operating activities during the year ended December 31, 2017, compared to the year ended December 31, 2016, was primarily due to a</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reduction of our net loss, as adjusted for stock-based compensation and depreciation and amortization expenses, as well as cash inflow from changes in</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operating assets and liabilities.</w:t>
      </w:r>
    </w:p>
    <w:p>
      <w:pPr>
        <w:spacing w:after="0" w:line="179"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For the year ended December 31, 2016, net cash provided by operating activities was $252.6 million, which primarily consisted of our net loss of $210.2 million, adjusted for depreciation and amortization expenses of $191.6 million and stock-based compensation expense of $147.6 million, as well as a net cash inflow of $118.8 million from operating assets and liabilities. The inflow from operating assets and liabilities was primarily due to an increase of $87.6 million in deferred revenue from increased subscription sales, as a majority of our paying users are invoiced in advance, and an increase of $35.6 million in accrued compensation and benefits due to the introduction of our annual bonus plan. The increase in net cash from operating activities during 2016 compared to 2015 was primarily due to a reduction of our net loss, as adjusted for stock-based compensation and depreciation and amortization expenses, as well as cash inflow from changes in operating assets and liabilities.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2015, net cash provided by operating activities was $14.8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$325.9 million, adjusted for depreciation and amortization expenses of $149.6 million and stock-based compensation expense of $66.1 million, as well</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as a net cash inflow of $123.6 million from operating assets and liabilities. The inflow from operating assets and liabilities was primarily due to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increase of $82.0 million in deferred revenue from increased subscription sales, as a majority of our paying users are invoiced in advance, and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increase of $50.6 million in current and non-current liabilities.</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9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00"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For the year ended December 31, 2017, net cash used in investing activities was $23.9 million, which mostly consisted of capital expenditures related to our infrastructure equipment and office build-outs. The decrease in cash used in investing activities during the year ended December 31, 2017, compared to the year ended December 31, 2016, was primarily due to decreases in capital expenditures for infrastructure equipment and leasehold improvements related to our current corporate headquarters.</w:t>
      </w:r>
    </w:p>
    <w:p>
      <w:pPr>
        <w:spacing w:after="0" w:line="15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55"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For the year ended December 31, 2015, net cash used in investing activities was $85.6 million, which mostly consisted of capital expenditures related to our infrastructure equipment and office build-outs.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300"/>
          </w:cols>
          <w:pgMar w:left="240" w:top="407" w:right="13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Net cash used in financing activities is primarily impacted by capital lease obligations for our infrastructure equipment and repurchases of common stock to satisfy the tax withholding obligation for the release of restricted stock units (“RSUs”). In 2017, we began releasing shares of common stock underlying vested one-tier RSUs, which generally have a service-based vesting condition over a four-year period and resulted in cash outflows to satisfy the employee tax withholding obligation for those employees who elected to net share settle their awards. See “—Significant Impacts of Stock-Based Compensation” for additional information.</w:t>
      </w:r>
    </w:p>
    <w:p>
      <w:pPr>
        <w:spacing w:after="0" w:line="159"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For the year ended December 31, 2017, net cash used in financing activities was $231.7 million, which primarily consisted of $133.0 million in principal payments against capital lease obligations and $87.9 million for the satisfaction of tax withholding obligations for the release of restricted stock units. The increase in cash used by financing activities during the year ended December 31, 2017, compared to the year ended December 31, 2016, was primarily due to the increase of $87.9 million related to the satisfaction of tax withholding obligations for the release of restricted stock units.</w:t>
      </w:r>
    </w:p>
    <w:p>
      <w:pPr>
        <w:spacing w:after="0" w:line="127" w:lineRule="exact"/>
        <w:rPr>
          <w:sz w:val="20"/>
          <w:szCs w:val="20"/>
          <w:color w:val="auto"/>
        </w:rPr>
      </w:pPr>
    </w:p>
    <w:p>
      <w:pPr>
        <w:ind w:left="1120" w:right="80" w:firstLine="368"/>
        <w:spacing w:after="0" w:line="277" w:lineRule="auto"/>
        <w:rPr>
          <w:sz w:val="20"/>
          <w:szCs w:val="20"/>
          <w:color w:val="auto"/>
        </w:rPr>
      </w:pPr>
      <w:r>
        <w:rPr>
          <w:rFonts w:ascii="Arial" w:cs="Arial" w:eastAsia="Arial" w:hAnsi="Arial"/>
          <w:sz w:val="14"/>
          <w:szCs w:val="14"/>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4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Contractual Obligations</w:t>
      </w:r>
    </w:p>
    <w:p>
      <w:pPr>
        <w:spacing w:after="0" w:line="102" w:lineRule="exact"/>
        <w:rPr>
          <w:sz w:val="20"/>
          <w:szCs w:val="20"/>
          <w:color w:val="auto"/>
        </w:rPr>
      </w:pPr>
    </w:p>
    <w:p>
      <w:pPr>
        <w:ind w:left="1120" w:right="420" w:firstLine="368"/>
        <w:spacing w:after="0" w:line="263"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2017, for the periods presented below:</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3"/>
          </w:tcPr>
          <w:p>
            <w:pPr>
              <w:ind w:left="360"/>
              <w:spacing w:after="0"/>
              <w:rPr>
                <w:sz w:val="20"/>
                <w:szCs w:val="20"/>
                <w:color w:val="auto"/>
              </w:rPr>
            </w:pPr>
            <w:r>
              <w:rPr>
                <w:rFonts w:ascii="Arial" w:cs="Arial" w:eastAsia="Arial" w:hAnsi="Arial"/>
                <w:sz w:val="12"/>
                <w:szCs w:val="12"/>
                <w:b w:val="1"/>
                <w:bCs w:val="1"/>
                <w:color w:val="auto"/>
                <w:w w:val="85"/>
              </w:rPr>
              <w:t>Less than</w:t>
            </w:r>
          </w:p>
        </w:tc>
        <w:tc>
          <w:tcPr>
            <w:tcW w:w="1120" w:type="dxa"/>
            <w:vAlign w:val="bottom"/>
            <w:gridSpan w:val="4"/>
            <w:vMerge w:val="restart"/>
          </w:tcPr>
          <w:p>
            <w:pPr>
              <w:ind w:left="380"/>
              <w:spacing w:after="0"/>
              <w:rPr>
                <w:sz w:val="20"/>
                <w:szCs w:val="20"/>
                <w:color w:val="auto"/>
              </w:rPr>
            </w:pPr>
            <w:r>
              <w:rPr>
                <w:rFonts w:ascii="Arial" w:cs="Arial" w:eastAsia="Arial" w:hAnsi="Arial"/>
                <w:sz w:val="12"/>
                <w:szCs w:val="12"/>
                <w:b w:val="1"/>
                <w:bCs w:val="1"/>
                <w:color w:val="auto"/>
              </w:rPr>
              <w:t>1 - 3 years</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w w:val="88"/>
              </w:rPr>
              <w:t>3 - 5 years</w:t>
            </w:r>
          </w:p>
        </w:tc>
        <w:tc>
          <w:tcPr>
            <w:tcW w:w="960" w:type="dxa"/>
            <w:vAlign w:val="bottom"/>
            <w:gridSpan w:val="4"/>
          </w:tcPr>
          <w:p>
            <w:pPr>
              <w:ind w:left="36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2"/>
                <w:szCs w:val="12"/>
                <w:b w:val="1"/>
                <w:bCs w:val="1"/>
                <w:color w:val="auto"/>
                <w:w w:val="92"/>
              </w:rPr>
              <w:t>1 year</w:t>
            </w:r>
          </w:p>
        </w:tc>
        <w:tc>
          <w:tcPr>
            <w:tcW w:w="1120" w:type="dxa"/>
            <w:vAlign w:val="bottom"/>
            <w:gridSpan w:val="4"/>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15"/>
        </w:trPr>
        <w:tc>
          <w:tcPr>
            <w:tcW w:w="50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ind w:left="36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commitments</w:t>
            </w:r>
            <w:r>
              <w:rPr>
                <w:rFonts w:ascii="Arial" w:cs="Arial" w:eastAsia="Arial" w:hAnsi="Arial"/>
                <w:sz w:val="12"/>
                <w:szCs w:val="12"/>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$1,349.9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336.8</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Capital lease commitments</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5"/>
                <w:szCs w:val="15"/>
                <w:color w:val="auto"/>
              </w:rPr>
              <w:t>182.0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108.3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73.7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Other commitments</w:t>
            </w:r>
            <w:r>
              <w:rPr>
                <w:rFonts w:ascii="Arial" w:cs="Arial" w:eastAsia="Arial" w:hAnsi="Arial"/>
                <w:sz w:val="12"/>
                <w:szCs w:val="12"/>
                <w:color w:val="auto"/>
              </w:rPr>
              <w:t>(3)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3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5"/>
                <w:szCs w:val="15"/>
                <w:color w:val="auto"/>
              </w:rPr>
              <w:t>Total contractual obligations</w:t>
            </w:r>
          </w:p>
        </w:tc>
        <w:tc>
          <w:tcPr>
            <w:tcW w:w="54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1,687.0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263.8</w:t>
            </w:r>
          </w:p>
        </w:tc>
        <w:tc>
          <w:tcPr>
            <w:tcW w:w="50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496.8</w:t>
            </w:r>
          </w:p>
        </w:tc>
        <w:tc>
          <w:tcPr>
            <w:tcW w:w="220" w:type="dxa"/>
            <w:vAlign w:val="bottom"/>
          </w:tcPr>
          <w:p>
            <w:pPr>
              <w:spacing w:after="0"/>
              <w:rPr>
                <w:sz w:val="15"/>
                <w:szCs w:val="15"/>
                <w:color w:val="auto"/>
              </w:rPr>
            </w:pP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202.4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380" w:right="180" w:hanging="268"/>
        <w:spacing w:after="0" w:line="209"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operating leases for our offices and datacenters, excluding rent payments from our sub-tenants and variable operating expenses. Non-cancelable rent payments from our sub-tenants as of December 31, 2017, for the next six years are expected to be $72.1 million.</w:t>
      </w:r>
    </w:p>
    <w:p>
      <w:pPr>
        <w:ind w:left="1380" w:hanging="268"/>
        <w:spacing w:after="0" w:line="185" w:lineRule="auto"/>
        <w:tabs>
          <w:tab w:leader="none" w:pos="1380" w:val="left"/>
        </w:tabs>
        <w:numPr>
          <w:ilvl w:val="0"/>
          <w:numId w:val="36"/>
        </w:numPr>
        <w:rPr>
          <w:rFonts w:ascii="Arial" w:cs="Arial" w:eastAsia="Arial" w:hAnsi="Arial"/>
          <w:sz w:val="19"/>
          <w:szCs w:val="19"/>
          <w:color w:val="auto"/>
          <w:vertAlign w:val="superscript"/>
        </w:rPr>
      </w:pPr>
      <w:r>
        <w:rPr>
          <w:rFonts w:ascii="Arial" w:cs="Arial" w:eastAsia="Arial" w:hAnsi="Arial"/>
          <w:sz w:val="12"/>
          <w:szCs w:val="12"/>
          <w:color w:val="auto"/>
        </w:rPr>
        <w:t>Consists of future non-cancelable minimum rental payments under capital leases primarily for our infrastructure.</w:t>
      </w:r>
    </w:p>
    <w:p>
      <w:pPr>
        <w:spacing w:after="0" w:line="9" w:lineRule="exact"/>
        <w:rPr>
          <w:rFonts w:ascii="Arial" w:cs="Arial" w:eastAsia="Arial" w:hAnsi="Arial"/>
          <w:sz w:val="19"/>
          <w:szCs w:val="19"/>
          <w:color w:val="auto"/>
          <w:vertAlign w:val="superscript"/>
        </w:rPr>
      </w:pPr>
    </w:p>
    <w:p>
      <w:pPr>
        <w:ind w:left="1380" w:right="20" w:hanging="268"/>
        <w:spacing w:after="0" w:line="215" w:lineRule="auto"/>
        <w:tabs>
          <w:tab w:leader="none" w:pos="1380" w:val="left"/>
        </w:tabs>
        <w:numPr>
          <w:ilvl w:val="0"/>
          <w:numId w:val="36"/>
        </w:numPr>
        <w:rPr>
          <w:rFonts w:ascii="Arial" w:cs="Arial" w:eastAsia="Arial" w:hAnsi="Arial"/>
          <w:sz w:val="20"/>
          <w:szCs w:val="20"/>
          <w:color w:val="auto"/>
          <w:vertAlign w:val="superscript"/>
        </w:rPr>
      </w:pPr>
      <w:r>
        <w:rPr>
          <w:rFonts w:ascii="Arial" w:cs="Arial" w:eastAsia="Arial" w:hAnsi="Arial"/>
          <w:sz w:val="12"/>
          <w:szCs w:val="12"/>
          <w:color w:val="auto"/>
        </w:rPr>
        <w:t>Consists of commitments to third-party vendors for services related to our infrastructure, infrastructure warranty contracts, payments related to the imputed financing obligation for our previous headquarters, asset retirement obligations for office modifications, and a note payable related to financing of our infrastructure.</w:t>
      </w:r>
    </w:p>
    <w:p>
      <w:pPr>
        <w:spacing w:after="0" w:line="175" w:lineRule="exact"/>
        <w:rPr>
          <w:sz w:val="20"/>
          <w:szCs w:val="20"/>
          <w:color w:val="auto"/>
        </w:rPr>
      </w:pPr>
    </w:p>
    <w:p>
      <w:pPr>
        <w:ind w:left="1120" w:right="460" w:firstLine="368"/>
        <w:spacing w:after="0" w:line="275" w:lineRule="auto"/>
        <w:rPr>
          <w:sz w:val="20"/>
          <w:szCs w:val="20"/>
          <w:color w:val="auto"/>
        </w:rPr>
      </w:pPr>
      <w:r>
        <w:rPr>
          <w:rFonts w:ascii="Arial" w:cs="Arial" w:eastAsia="Arial" w:hAnsi="Arial"/>
          <w:sz w:val="15"/>
          <w:szCs w:val="15"/>
          <w:color w:val="auto"/>
        </w:rPr>
        <w:t>In addition to the contractual obligations set forth above, as of December 31, 2017, we had an aggregate of $82.6 million in letters of credit outstanding under our revolving credit facility.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320"/>
          </w:cols>
          <w:pgMar w:left="240" w:top="407" w:right="133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October 2017, we entered into a new lease agreement for office space in San Francisco, California, to serve as our new corporate headquarters. We expect to start making recurring rental payments under the lease in the third quarter of 2019. Included in the operating lease commitments above are our total expected minimum obligations under the lease agreement of $827.0 million, which exclude expected tenant improvement reimbursements from the landlord of approximately $73.6 million and variable operating expenses. Our obligations under the lease are supported by a $34.2 million letter of credit, which reduced the borrowing capacity under our revolving credit facility.</w:t>
      </w:r>
    </w:p>
    <w:p>
      <w:pPr>
        <w:spacing w:after="0" w:line="147" w:lineRule="exact"/>
        <w:rPr>
          <w:sz w:val="20"/>
          <w:szCs w:val="20"/>
          <w:color w:val="auto"/>
        </w:rPr>
      </w:pPr>
    </w:p>
    <w:p>
      <w:pPr>
        <w:ind w:left="1120" w:right="20" w:firstLine="368"/>
        <w:spacing w:after="0" w:line="302" w:lineRule="auto"/>
        <w:rPr>
          <w:sz w:val="20"/>
          <w:szCs w:val="20"/>
          <w:color w:val="auto"/>
        </w:rPr>
      </w:pPr>
      <w:r>
        <w:rPr>
          <w:rFonts w:ascii="Arial" w:cs="Arial" w:eastAsia="Arial" w:hAnsi="Arial"/>
          <w:sz w:val="13"/>
          <w:szCs w:val="13"/>
          <w:color w:val="auto"/>
        </w:rPr>
        <w:t>We plan to take possession of our new corporate headquarters over several phases. We expect to take initial possession in mid-2018, after which time we plan to incur capital expenditures on leasehold improvements and to begin recording rent expense for the portion of the new corporate headquarters that we have the right to use. Capital expenditures will continue to increase as we take possession of the remaining space over the next few years. We will continue to operate in our current corporate headquarters until the new corporate headquarters is ready for occupancy, which is expected to be in 2019. We intend to sublease our current corporate headquarters once we occupy the new corporate headquarters. However, unless we transfer our contractual obligation, we will continue to include the committed lease payments for our current corporate headquarters in the table above.</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Off-Balance Sheet Arrangements</w:t>
      </w:r>
    </w:p>
    <w:p>
      <w:pPr>
        <w:spacing w:after="0" w:line="102"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As of December 31, 2017,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Significant Impacts of Stock-Based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98" w:lineRule="exact"/>
        <w:rPr>
          <w:sz w:val="20"/>
          <w:szCs w:val="20"/>
          <w:color w:val="auto"/>
        </w:rPr>
      </w:pPr>
    </w:p>
    <w:p>
      <w:pPr>
        <w:jc w:val="both"/>
        <w:ind w:left="1120" w:right="100" w:firstLine="368"/>
        <w:spacing w:after="0" w:line="312" w:lineRule="auto"/>
        <w:rPr>
          <w:sz w:val="20"/>
          <w:szCs w:val="20"/>
          <w:color w:val="auto"/>
        </w:rPr>
      </w:pPr>
      <w:r>
        <w:rPr>
          <w:rFonts w:ascii="Arial" w:cs="Arial" w:eastAsia="Arial" w:hAnsi="Arial"/>
          <w:sz w:val="14"/>
          <w:szCs w:val="14"/>
          <w:color w:val="auto"/>
        </w:rPr>
        <w:t>We have granted restricted stock units, or RSUs, to our employees and members of our Board of Directors under our 2008 Equity Incentive Plan, or 2008 Plan, and our 2017 Equity Incentive Plan, or 2017 Plan. We have two types of RSUs outstanding as of December 31, 2017:</w:t>
      </w:r>
    </w:p>
    <w:p>
      <w:pPr>
        <w:spacing w:after="0" w:line="44" w:lineRule="exact"/>
        <w:rPr>
          <w:sz w:val="20"/>
          <w:szCs w:val="20"/>
          <w:color w:val="auto"/>
        </w:rPr>
      </w:pPr>
    </w:p>
    <w:p>
      <w:pPr>
        <w:jc w:val="both"/>
        <w:ind w:left="1840" w:right="100" w:hanging="276"/>
        <w:spacing w:after="0" w:line="263" w:lineRule="auto"/>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75" w:lineRule="exact"/>
        <w:rPr>
          <w:rFonts w:ascii="Arial" w:cs="Arial" w:eastAsia="Arial" w:hAnsi="Arial"/>
          <w:sz w:val="15"/>
          <w:szCs w:val="15"/>
          <w:color w:val="auto"/>
        </w:rPr>
      </w:pPr>
    </w:p>
    <w:p>
      <w:pPr>
        <w:ind w:left="1840" w:right="80" w:hanging="276"/>
        <w:spacing w:after="0" w:line="300" w:lineRule="auto"/>
        <w:tabs>
          <w:tab w:leader="none" w:pos="18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for two-tier RSUs for which the service condition was satisfied as of December 31, 2017, to occur upon the effectiveness of our registration statement related to this offering. Our last grant date for two-tier RSUs was May 2015.</w:t>
      </w:r>
    </w:p>
    <w:p>
      <w:pPr>
        <w:spacing w:after="0" w:line="136"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December 31, 2017, we would have recorded $415.6 million of stock-based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300"/>
          </w:cols>
          <w:pgMar w:left="240" w:top="407"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322" w:lineRule="auto"/>
        <w:rPr>
          <w:sz w:val="20"/>
          <w:szCs w:val="20"/>
          <w:color w:val="auto"/>
        </w:rPr>
      </w:pPr>
      <w:r>
        <w:rPr>
          <w:rFonts w:ascii="Arial" w:cs="Arial" w:eastAsia="Arial" w:hAnsi="Arial"/>
          <w:sz w:val="13"/>
          <w:szCs w:val="13"/>
          <w:color w:val="auto"/>
        </w:rPr>
        <w:t>compensation expense. As of December 31, 2017, 28.2 million two-tier RSUs were outstanding, of which 26.1 million had met their service condition. If the Performance Vesting Condition had been satisfied on these two-tier RSUs as of December 31, 2017, we would recognize unamortized stock-based compensation expense of $5.6 million over a weighted-average period of approximately one year if the requisite service is provided.</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Co-Founder Grants</w:t>
      </w:r>
    </w:p>
    <w:p>
      <w:pPr>
        <w:spacing w:after="0" w:line="98" w:lineRule="exact"/>
        <w:rPr>
          <w:sz w:val="20"/>
          <w:szCs w:val="20"/>
          <w:color w:val="auto"/>
        </w:rPr>
      </w:pPr>
    </w:p>
    <w:p>
      <w:pPr>
        <w:ind w:left="1120" w:right="180" w:firstLine="368"/>
        <w:spacing w:after="0" w:line="279" w:lineRule="auto"/>
        <w:rPr>
          <w:sz w:val="20"/>
          <w:szCs w:val="20"/>
          <w:color w:val="auto"/>
        </w:rPr>
      </w:pPr>
      <w:r>
        <w:rPr>
          <w:rFonts w:ascii="Arial" w:cs="Arial" w:eastAsia="Arial" w:hAnsi="Arial"/>
          <w:sz w:val="14"/>
          <w:szCs w:val="14"/>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as follows:</w:t>
      </w:r>
    </w:p>
    <w:p>
      <w:pPr>
        <w:spacing w:after="0" w:line="154"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Company Stock Price</w:t>
            </w:r>
          </w:p>
        </w:tc>
        <w:tc>
          <w:tcPr>
            <w:tcW w:w="3380" w:type="dxa"/>
            <w:vAlign w:val="bottom"/>
            <w:gridSpan w:val="2"/>
          </w:tcPr>
          <w:p>
            <w:pPr>
              <w:jc w:val="right"/>
              <w:ind w:right="2040"/>
              <w:spacing w:after="0"/>
              <w:rPr>
                <w:sz w:val="20"/>
                <w:szCs w:val="20"/>
                <w:color w:val="auto"/>
              </w:rPr>
            </w:pPr>
            <w:r>
              <w:rPr>
                <w:rFonts w:ascii="Arial" w:cs="Arial" w:eastAsia="Arial" w:hAnsi="Arial"/>
                <w:sz w:val="12"/>
                <w:szCs w:val="12"/>
                <w:b w:val="1"/>
                <w:bCs w:val="1"/>
                <w:color w:val="auto"/>
                <w:w w:val="88"/>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3140" w:type="dxa"/>
            <w:vAlign w:val="bottom"/>
            <w:gridSpan w:val="2"/>
          </w:tcPr>
          <w:p>
            <w:pPr>
              <w:ind w:left="380"/>
              <w:spacing w:after="0"/>
              <w:rPr>
                <w:sz w:val="20"/>
                <w:szCs w:val="20"/>
                <w:color w:val="auto"/>
              </w:rPr>
            </w:pPr>
            <w:r>
              <w:rPr>
                <w:rFonts w:ascii="Arial" w:cs="Arial" w:eastAsia="Arial" w:hAnsi="Arial"/>
                <w:sz w:val="12"/>
                <w:szCs w:val="12"/>
                <w:b w:val="1"/>
                <w:bCs w:val="1"/>
                <w:color w:val="auto"/>
              </w:rPr>
              <w:t>Target</w:t>
            </w:r>
          </w:p>
        </w:tc>
        <w:tc>
          <w:tcPr>
            <w:tcW w:w="338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11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82"/>
              </w:rPr>
              <w:t>$30.00</w:t>
            </w:r>
          </w:p>
        </w:tc>
        <w:tc>
          <w:tcPr>
            <w:tcW w:w="20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20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$37.50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$52.50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$60.00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$67.50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$75.00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$82.50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$90.00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The Performance Period begins on the first trading day following the later of (a) the expiration of the lock-up period following the first date the Company’s shares are traded on an established national securities exchange or automated quotation system, or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59"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jc w:val="both"/>
        <w:ind w:left="1120" w:right="60" w:firstLine="368"/>
        <w:spacing w:after="0" w:line="283" w:lineRule="auto"/>
        <w:rPr>
          <w:sz w:val="20"/>
          <w:szCs w:val="20"/>
          <w:color w:val="auto"/>
        </w:rPr>
      </w:pPr>
      <w:r>
        <w:rPr>
          <w:rFonts w:ascii="Arial" w:cs="Arial" w:eastAsia="Arial" w:hAnsi="Arial"/>
          <w:sz w:val="14"/>
          <w:szCs w:val="14"/>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320"/>
          </w:cols>
          <w:pgMar w:left="240" w:top="407" w:right="133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In the period the relevant performance vesting condition becomes probable, we will recognize the cumulative unrecognized expense of our two-tier RSUs and Co-Founder Grants, which will increase our cost of revenue and operating expenses with respect to our two-tier RSUs, and will increase our general and administrative expenses with respect to our Co-Founder Grants, for the quarter and year of our initial public offering. We expect that our research and development expenses will be the line item most significantly impacted by the cumulative expense to be recognized.</w:t>
      </w:r>
    </w:p>
    <w:p>
      <w:pPr>
        <w:spacing w:after="0" w:line="143" w:lineRule="exact"/>
        <w:rPr>
          <w:sz w:val="20"/>
          <w:szCs w:val="20"/>
          <w:color w:val="auto"/>
        </w:rPr>
      </w:pPr>
    </w:p>
    <w:p>
      <w:pPr>
        <w:ind w:left="1120" w:right="68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and Note 11, “Stockholders’ Equity” to our consolidated financial statements included elsewhere in this prospectus for more information.</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Critical Accounting Policies and Judgments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23"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 xml:space="preserve">In May 2014, the Financial Accounting Standards Board, or FASB, issued Accounting Standards Update, or ASU, No. 2014-09 </w:t>
      </w:r>
      <w:r>
        <w:rPr>
          <w:rFonts w:ascii="Arial" w:cs="Arial" w:eastAsia="Arial" w:hAnsi="Arial"/>
          <w:sz w:val="13"/>
          <w:szCs w:val="13"/>
          <w:i w:val="1"/>
          <w:iCs w:val="1"/>
          <w:color w:val="auto"/>
        </w:rPr>
        <w:t>Revenue from</w:t>
      </w:r>
      <w:r>
        <w:rPr>
          <w:rFonts w:ascii="Arial" w:cs="Arial" w:eastAsia="Arial" w:hAnsi="Arial"/>
          <w:sz w:val="13"/>
          <w:szCs w:val="13"/>
          <w:color w:val="auto"/>
        </w:rPr>
        <w:t xml:space="preserve"> </w:t>
      </w:r>
      <w:r>
        <w:rPr>
          <w:rFonts w:ascii="Arial" w:cs="Arial" w:eastAsia="Arial" w:hAnsi="Arial"/>
          <w:sz w:val="13"/>
          <w:szCs w:val="13"/>
          <w:i w:val="1"/>
          <w:iCs w:val="1"/>
          <w:color w:val="auto"/>
        </w:rPr>
        <w:t>Contracts with Customers (Topic 606)</w:t>
      </w:r>
      <w:r>
        <w:rPr>
          <w:rFonts w:ascii="Arial" w:cs="Arial" w:eastAsia="Arial" w:hAnsi="Arial"/>
          <w:sz w:val="13"/>
          <w:szCs w:val="13"/>
          <w:color w:val="auto"/>
        </w:rPr>
        <w:t>, or Topic 606. Topic 606 supersedes the revenue recognition requirements in Accounting Standards Codification,</w:t>
      </w:r>
      <w:r>
        <w:rPr>
          <w:rFonts w:ascii="Arial" w:cs="Arial" w:eastAsia="Arial" w:hAnsi="Arial"/>
          <w:sz w:val="13"/>
          <w:szCs w:val="13"/>
          <w:i w:val="1"/>
          <w:iCs w:val="1"/>
          <w:color w:val="auto"/>
        </w:rPr>
        <w:t xml:space="preserve"> Revenue Recognition</w:t>
      </w:r>
      <w:r>
        <w:rPr>
          <w:rFonts w:ascii="Arial" w:cs="Arial" w:eastAsia="Arial" w:hAnsi="Arial"/>
          <w:sz w:val="13"/>
          <w:szCs w:val="13"/>
          <w:color w:val="auto"/>
        </w:rPr>
        <w:t>, or Topic 605, and requires the recognition of revenue when promised goods or services are transferred to customers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that reflects the consideration to which the entity expects to be entitled to in exchange for those goods or services. Topic 606 also includes Subtopic</w:t>
      </w:r>
    </w:p>
    <w:p>
      <w:pPr>
        <w:spacing w:after="0" w:line="1" w:lineRule="exact"/>
        <w:rPr>
          <w:sz w:val="20"/>
          <w:szCs w:val="20"/>
          <w:color w:val="auto"/>
        </w:rPr>
      </w:pPr>
    </w:p>
    <w:p>
      <w:pPr>
        <w:ind w:left="1120" w:right="260"/>
        <w:spacing w:after="0" w:line="262" w:lineRule="auto"/>
        <w:rPr>
          <w:sz w:val="20"/>
          <w:szCs w:val="20"/>
          <w:color w:val="auto"/>
        </w:rPr>
      </w:pPr>
      <w:r>
        <w:rPr>
          <w:rFonts w:ascii="Arial" w:cs="Arial" w:eastAsia="Arial" w:hAnsi="Arial"/>
          <w:sz w:val="15"/>
          <w:szCs w:val="15"/>
          <w:color w:val="auto"/>
        </w:rPr>
        <w:t xml:space="preserve">340-40, </w:t>
      </w:r>
      <w:r>
        <w:rPr>
          <w:rFonts w:ascii="Arial" w:cs="Arial" w:eastAsia="Arial" w:hAnsi="Arial"/>
          <w:sz w:val="15"/>
          <w:szCs w:val="15"/>
          <w:i w:val="1"/>
          <w:iCs w:val="1"/>
          <w:color w:val="auto"/>
        </w:rPr>
        <w:t>Other Assets and Deferred Costs—Contracts with Customers</w:t>
      </w:r>
      <w:r>
        <w:rPr>
          <w:rFonts w:ascii="Arial" w:cs="Arial" w:eastAsia="Arial" w:hAnsi="Arial"/>
          <w:sz w:val="15"/>
          <w:szCs w:val="15"/>
          <w:color w:val="auto"/>
        </w:rPr>
        <w:t>, which requires the deferral of incremental costs of obtaining a contract with a customer.</w:t>
      </w:r>
    </w:p>
    <w:p>
      <w:pPr>
        <w:spacing w:after="0" w:line="155"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55" w:lineRule="exact"/>
        <w:rPr>
          <w:sz w:val="20"/>
          <w:szCs w:val="20"/>
          <w:color w:val="auto"/>
        </w:rPr>
      </w:pPr>
    </w:p>
    <w:p>
      <w:pPr>
        <w:ind w:left="1120" w:right="280" w:firstLine="368"/>
        <w:spacing w:after="0" w:line="354" w:lineRule="auto"/>
        <w:rPr>
          <w:sz w:val="20"/>
          <w:szCs w:val="20"/>
          <w:color w:val="auto"/>
        </w:rPr>
      </w:pPr>
      <w:r>
        <w:rPr>
          <w:rFonts w:ascii="Arial" w:cs="Arial" w:eastAsia="Arial" w:hAnsi="Arial"/>
          <w:sz w:val="13"/>
          <w:szCs w:val="13"/>
          <w:color w:val="auto"/>
        </w:rPr>
        <w:t>The impact of adopting Topic 606 on our revenue was not material to any of the periods presented. The primary impact of adopting Topic 606 relates to the deferral of incremental costs of obtaining customer contracts and the amortization of those costs over a longer period of benefit.</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We generate revenue from sales of subscriptions to our platform. Subscription fees exclude sales and other indirect taxes. We determine revenue recognition through the following steps:</w:t>
      </w:r>
    </w:p>
    <w:p>
      <w:pPr>
        <w:spacing w:after="0" w:line="67" w:lineRule="exact"/>
        <w:rPr>
          <w:sz w:val="20"/>
          <w:szCs w:val="20"/>
          <w:color w:val="auto"/>
        </w:rPr>
      </w:pPr>
    </w:p>
    <w:p>
      <w:pPr>
        <w:ind w:left="1840" w:hanging="276"/>
        <w:spacing w:after="0"/>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300"/>
          </w:cols>
          <w:pgMar w:left="24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Recognition of revenue when, or as, we satisfy a performance obligation</w:t>
      </w:r>
    </w:p>
    <w:p>
      <w:pPr>
        <w:spacing w:after="0" w:line="18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approximately $1.0 million or less in each of the periods presented. Amortization of deferred commissions is included in sales and marketing expenses.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9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Since August 2015, we have granted RSUs as the only stock-based payment awards to our employees, excluding the Co-Founder Grants. While we stopped granting stock options in August 2015, we currently have stock options outstanding that will continue to vest through 2019 if the requisite service is provided.</w:t>
      </w:r>
    </w:p>
    <w:p>
      <w:pPr>
        <w:spacing w:after="0" w:line="155" w:lineRule="exact"/>
        <w:rPr>
          <w:sz w:val="20"/>
          <w:szCs w:val="20"/>
          <w:color w:val="auto"/>
        </w:rPr>
      </w:pPr>
    </w:p>
    <w:p>
      <w:pPr>
        <w:ind w:left="1120" w:right="340" w:firstLine="368"/>
        <w:spacing w:after="0" w:line="283" w:lineRule="auto"/>
        <w:rPr>
          <w:sz w:val="20"/>
          <w:szCs w:val="20"/>
          <w:color w:val="auto"/>
        </w:rPr>
      </w:pPr>
      <w:r>
        <w:rPr>
          <w:rFonts w:ascii="Arial" w:cs="Arial" w:eastAsia="Arial" w:hAnsi="Arial"/>
          <w:sz w:val="14"/>
          <w:szCs w:val="14"/>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 xml:space="preserve">Given the absence of a public trading market for our common stock, and in accordance with the American Institute of Certified Public Accountants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or AICPA Guide, our Board of Directors exercised reasonable judgment and considered numerous objective and subjective factors to determine the best estimate of the fair value of our common stock including:</w:t>
      </w:r>
    </w:p>
    <w:p>
      <w:pPr>
        <w:spacing w:after="0" w:line="79" w:lineRule="exact"/>
        <w:rPr>
          <w:sz w:val="20"/>
          <w:szCs w:val="20"/>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results of contemporaneous valuations of our common stock by unrelated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109"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our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performance and market position relative to our competitors, who may change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historical financial results and estimated trends and prospects for our future 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our capital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80"/>
          </w:cols>
          <w:pgMar w:left="240" w:top="407" w:right="137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likelihood and timeline of achieving a liquidity event, such as an initial public offering or sale, given prevailing market conditions;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our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Precedent sales of or offers to purchase our capital stock.</w:t>
      </w:r>
    </w:p>
    <w:p>
      <w:pPr>
        <w:spacing w:after="0" w:line="18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48" w:lineRule="exact"/>
        <w:rPr>
          <w:sz w:val="20"/>
          <w:szCs w:val="20"/>
          <w:color w:val="auto"/>
        </w:rPr>
      </w:pPr>
    </w:p>
    <w:p>
      <w:pPr>
        <w:jc w:val="both"/>
        <w:ind w:left="1120" w:right="480" w:firstLine="368"/>
        <w:spacing w:after="0" w:line="263" w:lineRule="auto"/>
        <w:rPr>
          <w:sz w:val="20"/>
          <w:szCs w:val="20"/>
          <w:color w:val="auto"/>
        </w:rPr>
      </w:pPr>
      <w:r>
        <w:rPr>
          <w:rFonts w:ascii="Arial" w:cs="Arial" w:eastAsia="Arial" w:hAnsi="Arial"/>
          <w:sz w:val="15"/>
          <w:szCs w:val="15"/>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55"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 included the use of initial public offering scenarios, a scenario assuming continued operation as a private entity, and a scenario assuming an acquisition of the company.</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3"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market condition awards</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The Co-Founder Grants contain market-based vesting conditions. The market-based vesting condition is considered when calculating the grant date fair value of these awards, which requires the use of various estimates and assumptions. The grant date fair value of the Co-Founder Grants was estimated using a model based on multiple stock price paths developed through the use of a Monte Carlo simulation that incorporates into the valuation the possibility that the market condition may not be satisfied. A Monte Carlo simulation requires the use of various assumptions, including our underlying stock price, volatility, and the risk-free interest rate as of the valuation date, corresponding to the length of time remaining in the performance period, and expected dividend yield. A Monte Carlo simulation also calculates a derived service period for each of the nine vesting tranches, which is the measure of the expected time to achieve the market conditions. Expense associated with market-based awards is recognized over the requisite service period of each tranche using the accelerated attribution method, regardless of whether the market conditions are achieved.</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 and valuation of goodwill and other acquired intangible assets</w:t>
      </w:r>
    </w:p>
    <w:p>
      <w:pPr>
        <w:spacing w:after="0" w:line="98"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When we acquire a business, we allocate the purchase price to the net tangible and identifiable intangible assets acquired based on their fair values. Any residual purchase price is recorded as goodwill. The estimation of</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320"/>
          </w:cols>
          <w:pgMar w:left="240" w:top="407" w:right="13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5" w:lineRule="auto"/>
        <w:rPr>
          <w:sz w:val="20"/>
          <w:szCs w:val="20"/>
          <w:color w:val="auto"/>
        </w:rPr>
      </w:pPr>
      <w:r>
        <w:rPr>
          <w:rFonts w:ascii="Arial" w:cs="Arial" w:eastAsia="Arial" w:hAnsi="Arial"/>
          <w:sz w:val="15"/>
          <w:szCs w:val="15"/>
          <w:color w:val="auto"/>
        </w:rPr>
        <w:t>the fair value of acquired assets and assumed liabilities requires management to apply significant judgment, especially with respect to intangible assets, which consist primarily of developed technologies.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 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Accounting Pronouncements</w:t>
      </w:r>
    </w:p>
    <w:p>
      <w:pPr>
        <w:spacing w:after="0" w:line="102" w:lineRule="exact"/>
        <w:rPr>
          <w:sz w:val="20"/>
          <w:szCs w:val="20"/>
          <w:color w:val="auto"/>
        </w:rPr>
      </w:pPr>
    </w:p>
    <w:p>
      <w:pPr>
        <w:ind w:left="1120" w:right="4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We are in the initial stage of our assessment of the new standard and are currently evaluating the timing of adoption, the quantitative impact of adoption, and the related disclosure requirements. We anticipate the adoption of this standard will result in a substantial increase in our non-current assets and liabilities recorded on the consolidated balance sheets. The adoption of the standard is not expected to have a material impact on the consolidated statement of operations. While we are assessing all potential impacts of the adoption of the standard, we currently expect the most significant impact to be the capitalization of right-to-use assets and lease liabilities for our office space and datacenter operating leases. We expect our accounting for capital leases related to infrastructure equipment to remain substantially unchanged under the new standard.</w:t>
      </w:r>
    </w:p>
    <w:p>
      <w:pPr>
        <w:spacing w:after="0" w:line="156"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are exposed to market risks in the ordinary course of our business, including interest rate, foreign currency exchange, and inflation risks.</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8" w:lineRule="exact"/>
        <w:rPr>
          <w:sz w:val="20"/>
          <w:szCs w:val="20"/>
          <w:color w:val="auto"/>
        </w:rPr>
      </w:pPr>
    </w:p>
    <w:p>
      <w:pPr>
        <w:ind w:left="1120" w:right="140" w:firstLine="368"/>
        <w:spacing w:after="0" w:line="305" w:lineRule="auto"/>
        <w:rPr>
          <w:sz w:val="20"/>
          <w:szCs w:val="20"/>
          <w:color w:val="auto"/>
        </w:rPr>
      </w:pPr>
      <w:r>
        <w:rPr>
          <w:rFonts w:ascii="Arial" w:cs="Arial" w:eastAsia="Arial" w:hAnsi="Arial"/>
          <w:sz w:val="13"/>
          <w:szCs w:val="13"/>
          <w:color w:val="auto"/>
        </w:rPr>
        <w:t>We had cash and cash equivalents of $430.0 million as of December 31,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33"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Any borrowings under the revolving credit facility bear interest at a variable rate tied to the prime rate or the LIBOR rate. As of December 31, 2017, we had no amounts outstanding under the revolving credit facility. We do not have any other long-term debt or financial liabilities with floating interest rates that would subject us to interest rate fluctuations.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300"/>
          </w:cols>
          <w:pgMar w:left="240" w:top="407"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 hypothetical 10% change in interest rates during any of the periods presented would not have had a material impact on our financial statements.</w:t>
      </w:r>
    </w:p>
    <w:p>
      <w:pPr>
        <w:spacing w:after="0" w:line="3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98"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56"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recorded $4.6 million and $3.6 million in net foreign currency transaction losses in the years ended December 31, 2015 and 2016, respectively, and $5.0 million in net foreign currency transaction gains in the year ended December 31, 2017. A hypothetical 10% change in foreign currency rates would not have resulted in material gains or losses for the years ended December 31, 2015, 2016, and 2017.</w:t>
      </w:r>
    </w:p>
    <w:p>
      <w:pPr>
        <w:spacing w:after="0" w:line="13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To date, we have not engaged in any hedging activities. As our international operations grow, we will continue to reassess our approach to managing risks relating to fluctuations in currency rates.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Inflation risk</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320"/>
          </w:cols>
          <w:pgMar w:left="240" w:top="407" w:right="133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BUSINESS</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160"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commercial construction company shares blueprints with subcontractors on job sites and sends bids to prospective clients.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320"/>
          </w:cols>
          <w:pgMar w:left="240" w:top="407" w:right="13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jc w:val="both"/>
        <w:ind w:left="1120" w:right="60" w:firstLine="368"/>
        <w:spacing w:after="0" w:line="290" w:lineRule="auto"/>
        <w:rPr>
          <w:sz w:val="20"/>
          <w:szCs w:val="20"/>
          <w:color w:val="auto"/>
        </w:rPr>
      </w:pPr>
      <w:r>
        <w:rPr>
          <w:rFonts w:ascii="Arial" w:cs="Arial" w:eastAsia="Arial" w:hAnsi="Arial"/>
          <w:sz w:val="14"/>
          <w:szCs w:val="14"/>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120" w:right="380" w:firstLine="368"/>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80"/>
          </w:cols>
          <w:pgMar w:left="240" w:top="407" w:right="137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120" w:right="200" w:firstLine="368"/>
        <w:spacing w:after="0" w:line="322" w:lineRule="auto"/>
        <w:rPr>
          <w:sz w:val="20"/>
          <w:szCs w:val="20"/>
          <w:color w:val="auto"/>
        </w:rPr>
      </w:pPr>
      <w:r>
        <w:rPr>
          <w:rFonts w:ascii="Arial" w:cs="Arial" w:eastAsia="Arial" w:hAnsi="Arial"/>
          <w:sz w:val="13"/>
          <w:szCs w:val="13"/>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120" w:right="20" w:firstLine="368"/>
        <w:spacing w:after="0" w:line="312" w:lineRule="auto"/>
        <w:rPr>
          <w:sz w:val="20"/>
          <w:szCs w:val="20"/>
          <w:color w:val="auto"/>
        </w:rPr>
      </w:pPr>
      <w:r>
        <w:rPr>
          <w:rFonts w:ascii="Arial" w:cs="Arial" w:eastAsia="Arial" w:hAnsi="Arial"/>
          <w:sz w:val="14"/>
          <w:szCs w:val="14"/>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ind w:left="1840" w:right="340" w:hanging="276"/>
        <w:spacing w:after="0" w:line="283" w:lineRule="auto"/>
        <w:tabs>
          <w:tab w:leader="none" w:pos="184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Unified home for content. </w:t>
      </w:r>
      <w:r>
        <w:rPr>
          <w:rFonts w:ascii="Arial" w:cs="Arial" w:eastAsia="Arial" w:hAnsi="Arial"/>
          <w:sz w:val="14"/>
          <w:szCs w:val="14"/>
          <w:color w:val="auto"/>
        </w:rPr>
        <w:t>We provide a unified home for the world’s content and the relevant context around it. To date, our users have</w:t>
      </w:r>
      <w:r>
        <w:rPr>
          <w:rFonts w:ascii="Arial" w:cs="Arial" w:eastAsia="Arial" w:hAnsi="Arial"/>
          <w:sz w:val="14"/>
          <w:szCs w:val="14"/>
          <w:i w:val="1"/>
          <w:iCs w:val="1"/>
          <w:color w:val="auto"/>
        </w:rPr>
        <w:t xml:space="preserve"> </w:t>
      </w:r>
      <w:r>
        <w:rPr>
          <w:rFonts w:ascii="Arial" w:cs="Arial" w:eastAsia="Arial" w:hAnsi="Arial"/>
          <w:sz w:val="14"/>
          <w:szCs w:val="14"/>
          <w:color w:val="auto"/>
        </w:rPr>
        <w:t>added more than 400 billion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63" w:lineRule="exact"/>
        <w:rPr>
          <w:rFonts w:ascii="Arial" w:cs="Arial" w:eastAsia="Arial" w:hAnsi="Arial"/>
          <w:sz w:val="14"/>
          <w:szCs w:val="14"/>
          <w:color w:val="auto"/>
        </w:rPr>
      </w:pPr>
    </w:p>
    <w:p>
      <w:pPr>
        <w:ind w:left="1840" w:hanging="276"/>
        <w:spacing w:after="0" w:line="259" w:lineRule="auto"/>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 shared</w:t>
      </w:r>
      <w:r>
        <w:rPr>
          <w:rFonts w:ascii="Arial" w:cs="Arial" w:eastAsia="Arial" w:hAnsi="Arial"/>
          <w:sz w:val="15"/>
          <w:szCs w:val="15"/>
          <w:i w:val="1"/>
          <w:iCs w:val="1"/>
          <w:color w:val="auto"/>
        </w:rPr>
        <w:t xml:space="preserve"> </w:t>
      </w:r>
      <w:r>
        <w:rPr>
          <w:rFonts w:ascii="Arial" w:cs="Arial" w:eastAsia="Arial" w:hAnsi="Arial"/>
          <w:sz w:val="15"/>
          <w:szCs w:val="15"/>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jc w:val="both"/>
        <w:ind w:left="1840" w:right="20" w:hanging="276"/>
        <w:spacing w:after="0" w:line="290" w:lineRule="auto"/>
        <w:tabs>
          <w:tab w:leader="none" w:pos="184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New product experiences. </w:t>
      </w:r>
      <w:r>
        <w:rPr>
          <w:rFonts w:ascii="Arial" w:cs="Arial" w:eastAsia="Arial" w:hAnsi="Arial"/>
          <w:sz w:val="14"/>
          <w:szCs w:val="14"/>
          <w:color w:val="auto"/>
        </w:rPr>
        <w:t>The insights we glean from our community of users lead us to develop new product experiences, like Paper, Smart</w:t>
      </w:r>
      <w:r>
        <w:rPr>
          <w:rFonts w:ascii="Arial" w:cs="Arial" w:eastAsia="Arial" w:hAnsi="Arial"/>
          <w:sz w:val="14"/>
          <w:szCs w:val="14"/>
          <w:i w:val="1"/>
          <w:iCs w:val="1"/>
          <w:color w:val="auto"/>
        </w:rPr>
        <w:t xml:space="preserve"> </w:t>
      </w:r>
      <w:r>
        <w:rPr>
          <w:rFonts w:ascii="Arial" w:cs="Arial" w:eastAsia="Arial" w:hAnsi="Arial"/>
          <w:sz w:val="14"/>
          <w:szCs w:val="14"/>
          <w:color w:val="auto"/>
        </w:rPr>
        <w:t>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3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320"/>
          </w:cols>
          <w:pgMar w:left="240" w:top="407" w:right="133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jc w:val="both"/>
        <w:ind w:left="1120" w:firstLine="368"/>
        <w:spacing w:after="0" w:line="294" w:lineRule="auto"/>
        <w:rPr>
          <w:sz w:val="20"/>
          <w:szCs w:val="20"/>
          <w:color w:val="auto"/>
        </w:rPr>
      </w:pPr>
      <w:r>
        <w:rPr>
          <w:rFonts w:ascii="Arial" w:cs="Arial" w:eastAsia="Arial" w:hAnsi="Arial"/>
          <w:sz w:val="13"/>
          <w:szCs w:val="13"/>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w:t>
      </w:r>
    </w:p>
    <w:p>
      <w:pPr>
        <w:spacing w:after="0" w:line="1" w:lineRule="exact"/>
        <w:rPr>
          <w:sz w:val="20"/>
          <w:szCs w:val="20"/>
          <w:color w:val="auto"/>
        </w:rPr>
      </w:pPr>
    </w:p>
    <w:p>
      <w:pPr>
        <w:ind w:left="1120" w:right="80"/>
        <w:spacing w:after="0" w:line="254" w:lineRule="auto"/>
        <w:rPr>
          <w:sz w:val="20"/>
          <w:szCs w:val="20"/>
          <w:color w:val="auto"/>
        </w:rPr>
      </w:pPr>
      <w:r>
        <w:rPr>
          <w:rFonts w:ascii="Arial" w:cs="Arial" w:eastAsia="Arial" w:hAnsi="Arial"/>
          <w:sz w:val="15"/>
          <w:szCs w:val="15"/>
          <w:color w:val="auto"/>
        </w:rPr>
        <w:t>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Our addressable market includes collaborative applications, content management, project and portfolio management, and public cloud storage.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IDC estimates that investment in these categories will total more than $50 billion in 2019.</w:t>
      </w:r>
    </w:p>
    <w:p>
      <w:pPr>
        <w:spacing w:after="0" w:line="179"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300"/>
          </w:cols>
          <w:pgMar w:left="24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Capabilities</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184150</wp:posOffset>
            </wp:positionV>
            <wp:extent cx="4332605" cy="46621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32605" cy="466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240" w:top="407" w:right="143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Create</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i w:val="1"/>
          <w:iCs w:val="1"/>
          <w:color w:val="auto"/>
        </w:rPr>
        <w:t>Paper</w:t>
      </w:r>
      <w:r>
        <w:rPr>
          <w:rFonts w:ascii="Arial" w:cs="Arial" w:eastAsia="Arial" w:hAnsi="Arial"/>
          <w:sz w:val="15"/>
          <w:szCs w:val="15"/>
          <w:color w:val="auto"/>
        </w:rPr>
        <w:t>. We introduced Paper in January 2017 as a collaborative surface to bring people and ideas together. With Paper, users can co-author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tag others, assign tasks with due dates, embed and comment on files, tables, checklists, code snippets, and rich media—all in real-time. We designed Paper to be simple and beautiful so users can focus on the most important ideas and tasks at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-8890</wp:posOffset>
            </wp:positionV>
            <wp:extent cx="3888740" cy="5034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88740" cy="503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320"/>
          </w:cols>
          <w:pgMar w:left="240" w:top="407" w:right="13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i w:val="1"/>
          <w:iCs w:val="1"/>
          <w:color w:val="auto"/>
        </w:rPr>
        <w:t>Doc scanner</w:t>
      </w:r>
      <w:r>
        <w:rPr>
          <w:rFonts w:ascii="Arial" w:cs="Arial" w:eastAsia="Arial" w:hAnsi="Arial"/>
          <w:sz w:val="15"/>
          <w:szCs w:val="15"/>
          <w:color w:val="auto"/>
        </w:rPr>
        <w:t>. The doc scanner in our mobile app lets users create content in Dropbox from hard copies. This includes transforming everything</w:t>
      </w:r>
      <w:r>
        <w:rPr>
          <w:rFonts w:ascii="Arial" w:cs="Arial" w:eastAsia="Arial" w:hAnsi="Arial"/>
          <w:sz w:val="15"/>
          <w:szCs w:val="15"/>
          <w:i w:val="1"/>
          <w:iCs w:val="1"/>
          <w:color w:val="auto"/>
        </w:rPr>
        <w:t xml:space="preserve"> </w:t>
      </w:r>
      <w:r>
        <w:rPr>
          <w:rFonts w:ascii="Arial" w:cs="Arial" w:eastAsia="Arial" w:hAnsi="Arial"/>
          <w:sz w:val="15"/>
          <w:szCs w:val="15"/>
          <w:color w:val="auto"/>
        </w:rPr>
        <w:t>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121920</wp:posOffset>
            </wp:positionV>
            <wp:extent cx="4332605" cy="3287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32605"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80"/>
          </w:cols>
          <w:pgMar w:left="240" w:top="407" w:right="137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Access and organize</w:t>
      </w:r>
    </w:p>
    <w:p>
      <w:pPr>
        <w:spacing w:after="0" w:line="98" w:lineRule="exact"/>
        <w:rPr>
          <w:sz w:val="20"/>
          <w:szCs w:val="20"/>
          <w:color w:val="auto"/>
        </w:rPr>
      </w:pPr>
    </w:p>
    <w:p>
      <w:pPr>
        <w:jc w:val="both"/>
        <w:ind w:left="1120" w:right="119" w:firstLine="368"/>
        <w:spacing w:after="0" w:line="263" w:lineRule="auto"/>
        <w:rPr>
          <w:sz w:val="20"/>
          <w:szCs w:val="20"/>
          <w:color w:val="auto"/>
        </w:rPr>
      </w:pPr>
      <w:r>
        <w:rPr>
          <w:rFonts w:ascii="Arial" w:cs="Arial" w:eastAsia="Arial" w:hAnsi="Arial"/>
          <w:sz w:val="15"/>
          <w:szCs w:val="15"/>
          <w:i w:val="1"/>
          <w:iCs w:val="1"/>
          <w:color w:val="auto"/>
        </w:rPr>
        <w:t>Search</w:t>
      </w:r>
      <w:r>
        <w:rPr>
          <w:rFonts w:ascii="Arial" w:cs="Arial" w:eastAsia="Arial" w:hAnsi="Arial"/>
          <w:sz w:val="15"/>
          <w:szCs w:val="15"/>
          <w:color w:val="auto"/>
        </w:rPr>
        <w:t>. Dropbox has powerful search capabilities that allow users to quickly find the files and folders they need. Our autocomplete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surfaces and prioritizes content based on users’ previous activity. For Dropbox Professional subscribers and Dropbox Business teams, full text search allows users to scan the entire content of their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341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32605" cy="234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120" w:right="79" w:firstLine="368"/>
        <w:spacing w:after="0" w:line="263" w:lineRule="auto"/>
        <w:rPr>
          <w:sz w:val="20"/>
          <w:szCs w:val="20"/>
          <w:color w:val="auto"/>
        </w:rPr>
      </w:pPr>
      <w:r>
        <w:rPr>
          <w:rFonts w:ascii="Arial" w:cs="Arial" w:eastAsia="Arial" w:hAnsi="Arial"/>
          <w:sz w:val="15"/>
          <w:szCs w:val="15"/>
          <w:i w:val="1"/>
          <w:iCs w:val="1"/>
          <w:color w:val="auto"/>
        </w:rPr>
        <w:t>Rich previews</w:t>
      </w:r>
      <w:r>
        <w:rPr>
          <w:rFonts w:ascii="Arial" w:cs="Arial" w:eastAsia="Arial" w:hAnsi="Arial"/>
          <w:sz w:val="15"/>
          <w:szCs w:val="15"/>
          <w:color w:val="auto"/>
        </w:rPr>
        <w:t>. Rich previews allow users to easily interact with files across any device without having to open different applications. Users can</w:t>
      </w:r>
      <w:r>
        <w:rPr>
          <w:rFonts w:ascii="Arial" w:cs="Arial" w:eastAsia="Arial" w:hAnsi="Arial"/>
          <w:sz w:val="15"/>
          <w:szCs w:val="15"/>
          <w:i w:val="1"/>
          <w:iCs w:val="1"/>
          <w:color w:val="auto"/>
        </w:rPr>
        <w:t xml:space="preserve"> </w:t>
      </w:r>
      <w:r>
        <w:rPr>
          <w:rFonts w:ascii="Arial" w:cs="Arial" w:eastAsia="Arial" w:hAnsi="Arial"/>
          <w:sz w:val="15"/>
          <w:szCs w:val="15"/>
          <w:color w:val="auto"/>
        </w:rPr>
        <w:t>comment on, annotate, review, and present files, and see who viewed and edited them. We support previews of over 280 file types, and Dropbox users currently preview files tens of millions of times every day.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19"/>
          </w:cols>
          <w:pgMar w:left="240" w:top="407" w:right="1440"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i w:val="1"/>
          <w:iCs w:val="1"/>
          <w:color w:val="auto"/>
        </w:rPr>
        <w:t>Smart Sync</w:t>
      </w:r>
      <w:r>
        <w:rPr>
          <w:rFonts w:ascii="Arial" w:cs="Arial" w:eastAsia="Arial" w:hAnsi="Arial"/>
          <w:sz w:val="13"/>
          <w:szCs w:val="13"/>
          <w:color w:val="auto"/>
        </w:rPr>
        <w:t>. With Smart Sync, users can access all of their content natively on their computers without taking up storage space on their local hard</w:t>
      </w:r>
      <w:r>
        <w:rPr>
          <w:rFonts w:ascii="Arial" w:cs="Arial" w:eastAsia="Arial" w:hAnsi="Arial"/>
          <w:sz w:val="13"/>
          <w:szCs w:val="13"/>
          <w:i w:val="1"/>
          <w:iCs w:val="1"/>
          <w:color w:val="auto"/>
        </w:rPr>
        <w:t xml:space="preserve"> </w:t>
      </w:r>
      <w:r>
        <w:rPr>
          <w:rFonts w:ascii="Arial" w:cs="Arial" w:eastAsia="Arial" w:hAnsi="Arial"/>
          <w:sz w:val="13"/>
          <w:szCs w:val="13"/>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-26670</wp:posOffset>
            </wp:positionV>
            <wp:extent cx="4332605" cy="2936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32605"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i w:val="1"/>
          <w:iCs w:val="1"/>
          <w:color w:val="auto"/>
        </w:rPr>
        <w:t>Version history</w:t>
      </w:r>
      <w:r>
        <w:rPr>
          <w:rFonts w:ascii="Arial" w:cs="Arial" w:eastAsia="Arial" w:hAnsi="Arial"/>
          <w:sz w:val="15"/>
          <w:szCs w:val="15"/>
          <w:color w:val="auto"/>
        </w:rPr>
        <w:t>. As paying users work on files, our servers keep snapshots of all their changes. Users can see a file’s complete version history so</w:t>
      </w:r>
      <w:r>
        <w:rPr>
          <w:rFonts w:ascii="Arial" w:cs="Arial" w:eastAsia="Arial" w:hAnsi="Arial"/>
          <w:sz w:val="15"/>
          <w:szCs w:val="15"/>
          <w:i w:val="1"/>
          <w:iCs w:val="1"/>
          <w:color w:val="auto"/>
        </w:rPr>
        <w:t xml:space="preserve"> </w:t>
      </w:r>
      <w:r>
        <w:rPr>
          <w:rFonts w:ascii="Arial" w:cs="Arial" w:eastAsia="Arial" w:hAnsi="Arial"/>
          <w:sz w:val="15"/>
          <w:szCs w:val="15"/>
          <w:color w:val="auto"/>
        </w:rPr>
        <w:t>they can reference and retrieve older versions if needed. Version histories are kept between 30 to 120 days for paying users, depending on subscription plan.</w:t>
      </w:r>
    </w:p>
    <w:p>
      <w:pPr>
        <w:spacing w:after="0" w:line="155" w:lineRule="exact"/>
        <w:rPr>
          <w:sz w:val="20"/>
          <w:szCs w:val="20"/>
          <w:color w:val="auto"/>
        </w:rPr>
      </w:pPr>
    </w:p>
    <w:p>
      <w:pPr>
        <w:ind w:left="1120" w:right="280" w:firstLine="368"/>
        <w:spacing w:after="0" w:line="279" w:lineRule="auto"/>
        <w:rPr>
          <w:sz w:val="20"/>
          <w:szCs w:val="20"/>
          <w:color w:val="auto"/>
        </w:rPr>
      </w:pPr>
      <w:r>
        <w:rPr>
          <w:rFonts w:ascii="Arial" w:cs="Arial" w:eastAsia="Arial" w:hAnsi="Arial"/>
          <w:sz w:val="14"/>
          <w:szCs w:val="14"/>
          <w:i w:val="1"/>
          <w:iCs w:val="1"/>
          <w:color w:val="auto"/>
        </w:rPr>
        <w:t>Third-party ecosystem</w:t>
      </w:r>
      <w:r>
        <w:rPr>
          <w:rFonts w:ascii="Arial" w:cs="Arial" w:eastAsia="Arial" w:hAnsi="Arial"/>
          <w:sz w:val="14"/>
          <w:szCs w:val="14"/>
          <w:color w:val="auto"/>
        </w:rPr>
        <w:t>. Our open and thriving ecosystem fosters deeper relationships with our users and developers. Developers can build</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applications that connect to Dropbox through our DBX Developer Platform. For example, email apps can plug into Dropbox to send attachments or shared links, and note-taking apps can allow users to save to Dropbox so they can open their notes on another device. As of December 31, 2017, Dropbox was receiving over 50 billion API calls per month and over 500,000 developers had registered and built applications on our platform. In addition, more than 75% of Dropbox Business teams have linked to one or more third-party applications.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i w:val="1"/>
          <w:iCs w:val="1"/>
          <w:color w:val="auto"/>
        </w:rPr>
        <w:t>Folders</w:t>
      </w:r>
      <w:r>
        <w:rPr>
          <w:rFonts w:ascii="Arial" w:cs="Arial" w:eastAsia="Arial" w:hAnsi="Arial"/>
          <w:sz w:val="14"/>
          <w:szCs w:val="14"/>
          <w:color w:val="auto"/>
        </w:rPr>
        <w:t>. There are three types of folders in Dropbox: private, shared, and team folders. A private folder allows an individual to sync files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80"/>
          </w:cols>
          <w:pgMar w:left="24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i w:val="1"/>
          <w:iCs w:val="1"/>
          <w:color w:val="auto"/>
        </w:rPr>
        <w:t>Shared links</w:t>
      </w:r>
      <w:r>
        <w:rPr>
          <w:rFonts w:ascii="Arial" w:cs="Arial" w:eastAsia="Arial" w:hAnsi="Arial"/>
          <w:sz w:val="15"/>
          <w:szCs w:val="15"/>
          <w:color w:val="auto"/>
        </w:rPr>
        <w:t>. Users can share files and folders with anyone, including non-Dropbox users, by creating a Dropbox link. Once created, the link can</w:t>
      </w:r>
      <w:r>
        <w:rPr>
          <w:rFonts w:ascii="Arial" w:cs="Arial" w:eastAsia="Arial" w:hAnsi="Arial"/>
          <w:sz w:val="15"/>
          <w:szCs w:val="15"/>
          <w:i w:val="1"/>
          <w:iCs w:val="1"/>
          <w:color w:val="auto"/>
        </w:rPr>
        <w:t xml:space="preserve"> </w:t>
      </w:r>
      <w:r>
        <w:rPr>
          <w:rFonts w:ascii="Arial" w:cs="Arial" w:eastAsia="Arial" w:hAnsi="Arial"/>
          <w:sz w:val="15"/>
          <w:szCs w:val="15"/>
          <w:color w:val="auto"/>
        </w:rPr>
        <w:t>be 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58" w:lineRule="exact"/>
        <w:rPr>
          <w:sz w:val="20"/>
          <w:szCs w:val="20"/>
          <w:color w:val="auto"/>
        </w:rPr>
      </w:pPr>
    </w:p>
    <w:p>
      <w:pPr>
        <w:ind w:left="1120" w:right="360" w:firstLine="368"/>
        <w:spacing w:after="0" w:line="259" w:lineRule="auto"/>
        <w:rPr>
          <w:sz w:val="20"/>
          <w:szCs w:val="20"/>
          <w:color w:val="auto"/>
        </w:rPr>
      </w:pPr>
      <w:r>
        <w:rPr>
          <w:rFonts w:ascii="Arial" w:cs="Arial" w:eastAsia="Arial" w:hAnsi="Arial"/>
          <w:sz w:val="15"/>
          <w:szCs w:val="15"/>
          <w:i w:val="1"/>
          <w:iCs w:val="1"/>
          <w:color w:val="auto"/>
        </w:rPr>
        <w:t>Showcase</w:t>
      </w:r>
      <w:r>
        <w:rPr>
          <w:rFonts w:ascii="Arial" w:cs="Arial" w:eastAsia="Arial" w:hAnsi="Arial"/>
          <w:sz w:val="15"/>
          <w:szCs w:val="15"/>
          <w:color w:val="auto"/>
        </w:rPr>
        <w:t>. Showcase gives users a way to present their work to clients and business partners through a customizable, professionally branded</w:t>
      </w:r>
      <w:r>
        <w:rPr>
          <w:rFonts w:ascii="Arial" w:cs="Arial" w:eastAsia="Arial" w:hAnsi="Arial"/>
          <w:sz w:val="15"/>
          <w:szCs w:val="15"/>
          <w:i w:val="1"/>
          <w:iCs w:val="1"/>
          <w:color w:val="auto"/>
        </w:rPr>
        <w:t xml:space="preserve"> </w:t>
      </w:r>
      <w:r>
        <w:rPr>
          <w:rFonts w:ascii="Arial" w:cs="Arial" w:eastAsia="Arial" w:hAnsi="Arial"/>
          <w:sz w:val="15"/>
          <w:szCs w:val="15"/>
          <w:color w:val="auto"/>
        </w:rPr>
        <w:t>webpage. Users can display visual previews of multiple files on the same page and add relevant context with introductory text and captions and an introduction. Showcase also lets users track how recipients engage with their content, including analytics on who has viewed, commented, or downloaded content on a per-person and per-file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121285</wp:posOffset>
            </wp:positionV>
            <wp:extent cx="4332605" cy="42754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32605" cy="427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80"/>
          </w:cols>
          <w:pgMar w:left="240" w:top="407" w:right="137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171450</wp:posOffset>
            </wp:positionV>
            <wp:extent cx="4332605" cy="38817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32605" cy="388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0" w:right="119" w:firstLine="368"/>
        <w:spacing w:after="0" w:line="290" w:lineRule="auto"/>
        <w:rPr>
          <w:sz w:val="20"/>
          <w:szCs w:val="20"/>
          <w:color w:val="auto"/>
        </w:rPr>
      </w:pPr>
      <w:r>
        <w:rPr>
          <w:rFonts w:ascii="Arial" w:cs="Arial" w:eastAsia="Arial" w:hAnsi="Arial"/>
          <w:sz w:val="14"/>
          <w:szCs w:val="14"/>
          <w:i w:val="1"/>
          <w:iCs w:val="1"/>
          <w:color w:val="auto"/>
        </w:rPr>
        <w:t>File requests</w:t>
      </w:r>
      <w:r>
        <w:rPr>
          <w:rFonts w:ascii="Arial" w:cs="Arial" w:eastAsia="Arial" w:hAnsi="Arial"/>
          <w:sz w:val="14"/>
          <w:szCs w:val="14"/>
          <w:color w:val="auto"/>
        </w:rPr>
        <w:t>. With file requests, users can invite anyone to submit files into a specified Dropbox folder through a simple link—regardless of</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19"/>
          </w:cols>
          <w:pgMar w:left="240" w:top="407" w:right="1440"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Collaborate</w:t>
      </w:r>
    </w:p>
    <w:p>
      <w:pPr>
        <w:spacing w:after="0" w:line="98" w:lineRule="exact"/>
        <w:rPr>
          <w:sz w:val="20"/>
          <w:szCs w:val="20"/>
          <w:color w:val="auto"/>
        </w:rPr>
      </w:pPr>
    </w:p>
    <w:p>
      <w:pPr>
        <w:ind w:left="1120" w:right="79" w:firstLine="368"/>
        <w:spacing w:after="0" w:line="263" w:lineRule="auto"/>
        <w:rPr>
          <w:sz w:val="20"/>
          <w:szCs w:val="20"/>
          <w:color w:val="auto"/>
        </w:rPr>
      </w:pPr>
      <w:r>
        <w:rPr>
          <w:rFonts w:ascii="Arial" w:cs="Arial" w:eastAsia="Arial" w:hAnsi="Arial"/>
          <w:sz w:val="15"/>
          <w:szCs w:val="15"/>
          <w:i w:val="1"/>
          <w:iCs w:val="1"/>
          <w:color w:val="auto"/>
        </w:rPr>
        <w:t>Comments and annotations</w:t>
      </w:r>
      <w:r>
        <w:rPr>
          <w:rFonts w:ascii="Arial" w:cs="Arial" w:eastAsia="Arial" w:hAnsi="Arial"/>
          <w:sz w:val="15"/>
          <w:szCs w:val="15"/>
          <w:color w:val="auto"/>
        </w:rPr>
        <w:t>. Dropbox comments and annotations marry content with the conversations and relevant context around it. Instead of</w:t>
      </w:r>
      <w:r>
        <w:rPr>
          <w:rFonts w:ascii="Arial" w:cs="Arial" w:eastAsia="Arial" w:hAnsi="Arial"/>
          <w:sz w:val="15"/>
          <w:szCs w:val="15"/>
          <w:i w:val="1"/>
          <w:iCs w:val="1"/>
          <w:color w:val="auto"/>
        </w:rPr>
        <w:t xml:space="preserve"> </w:t>
      </w:r>
      <w:r>
        <w:rPr>
          <w:rFonts w:ascii="Arial" w:cs="Arial" w:eastAsia="Arial" w:hAnsi="Arial"/>
          <w:sz w:val="15"/>
          <w:szCs w:val="15"/>
          <w:color w:val="auto"/>
        </w:rPr>
        <w:t>being scattered across separate silos, such as email and chat, the editing and development of content are tied to a file. Users can give feedback on specific parts of files through a rich, innovative overlay on our web and mobile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8930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32605" cy="289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i w:val="1"/>
          <w:iCs w:val="1"/>
          <w:color w:val="auto"/>
        </w:rPr>
        <w:t xml:space="preserve">File activity stream. </w:t>
      </w:r>
      <w:r>
        <w:rPr>
          <w:rFonts w:ascii="Arial" w:cs="Arial" w:eastAsia="Arial" w:hAnsi="Arial"/>
          <w:sz w:val="15"/>
          <w:szCs w:val="15"/>
          <w:color w:val="auto"/>
        </w:rPr>
        <w:t>An activity feed lives next to every file preview on our web interface, telling users what’s happening with a file. The feed</w:t>
      </w:r>
      <w:r>
        <w:rPr>
          <w:rFonts w:ascii="Arial" w:cs="Arial" w:eastAsia="Arial" w:hAnsi="Arial"/>
          <w:sz w:val="15"/>
          <w:szCs w:val="15"/>
          <w:i w:val="1"/>
          <w:iCs w:val="1"/>
          <w:color w:val="auto"/>
        </w:rPr>
        <w:t xml:space="preserve"> </w:t>
      </w:r>
      <w:r>
        <w:rPr>
          <w:rFonts w:ascii="Arial" w:cs="Arial" w:eastAsia="Arial" w:hAnsi="Arial"/>
          <w:sz w:val="15"/>
          <w:szCs w:val="15"/>
          <w:color w:val="auto"/>
        </w:rPr>
        <w:t>shows when someone opens a file, edits a file, or shares a file.</w:t>
      </w:r>
    </w:p>
    <w:p>
      <w:pPr>
        <w:spacing w:after="0" w:line="146" w:lineRule="exact"/>
        <w:rPr>
          <w:sz w:val="20"/>
          <w:szCs w:val="20"/>
          <w:color w:val="auto"/>
        </w:rPr>
      </w:pPr>
    </w:p>
    <w:p>
      <w:pPr>
        <w:ind w:left="1120" w:right="279" w:firstLine="368"/>
        <w:spacing w:after="0" w:line="263"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w:t>
      </w:r>
      <w:r>
        <w:rPr>
          <w:rFonts w:ascii="Arial" w:cs="Arial" w:eastAsia="Arial" w:hAnsi="Arial"/>
          <w:sz w:val="15"/>
          <w:szCs w:val="15"/>
          <w:i w:val="1"/>
          <w:iCs w:val="1"/>
          <w:color w:val="auto"/>
        </w:rPr>
        <w:t xml:space="preserve"> </w:t>
      </w:r>
      <w:r>
        <w:rPr>
          <w:rFonts w:ascii="Arial" w:cs="Arial" w:eastAsia="Arial" w:hAnsi="Arial"/>
          <w:sz w:val="15"/>
          <w:szCs w:val="15"/>
          <w:color w:val="auto"/>
        </w:rPr>
        <w:t>happening with their work. Users can choose to be notified when someone opens, edits, shares, or comments on a file, or adds a file to their shared folders. These notifications keep collaborators in sync without having to open the file or doc.</w:t>
      </w:r>
    </w:p>
    <w:p>
      <w:pPr>
        <w:spacing w:after="0" w:line="155" w:lineRule="exact"/>
        <w:rPr>
          <w:sz w:val="20"/>
          <w:szCs w:val="20"/>
          <w:color w:val="auto"/>
        </w:rPr>
      </w:pPr>
    </w:p>
    <w:p>
      <w:pPr>
        <w:ind w:left="1120" w:right="59" w:firstLine="368"/>
        <w:spacing w:after="0" w:line="283" w:lineRule="auto"/>
        <w:rPr>
          <w:sz w:val="20"/>
          <w:szCs w:val="20"/>
          <w:color w:val="auto"/>
        </w:rPr>
      </w:pPr>
      <w:r>
        <w:rPr>
          <w:rFonts w:ascii="Arial" w:cs="Arial" w:eastAsia="Arial" w:hAnsi="Arial"/>
          <w:sz w:val="14"/>
          <w:szCs w:val="14"/>
          <w:i w:val="1"/>
          <w:iCs w:val="1"/>
          <w:color w:val="auto"/>
        </w:rPr>
        <w:t>Viewer information and presence</w:t>
      </w:r>
      <w:r>
        <w:rPr>
          <w:rFonts w:ascii="Arial" w:cs="Arial" w:eastAsia="Arial" w:hAnsi="Arial"/>
          <w:sz w:val="14"/>
          <w:szCs w:val="14"/>
          <w:color w:val="auto"/>
        </w:rPr>
        <w:t>. On both file previews and Paper docs, Dropbox shows users in real-time who’s viewing a doc and when a doc</w:t>
      </w:r>
      <w:r>
        <w:rPr>
          <w:rFonts w:ascii="Arial" w:cs="Arial" w:eastAsia="Arial" w:hAnsi="Arial"/>
          <w:sz w:val="14"/>
          <w:szCs w:val="14"/>
          <w:i w:val="1"/>
          <w:iCs w:val="1"/>
          <w:color w:val="auto"/>
        </w:rPr>
        <w:t xml:space="preserve"> </w:t>
      </w:r>
      <w:r>
        <w:rPr>
          <w:rFonts w:ascii="Arial" w:cs="Arial" w:eastAsia="Arial" w:hAnsi="Arial"/>
          <w:sz w:val="14"/>
          <w:szCs w:val="14"/>
          <w:color w:val="auto"/>
        </w:rPr>
        <w:t>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 xml:space="preserve">Security protections. </w:t>
      </w:r>
      <w:r>
        <w:rPr>
          <w:rFonts w:ascii="Arial" w:cs="Arial" w:eastAsia="Arial" w:hAnsi="Arial"/>
          <w:sz w:val="15"/>
          <w:szCs w:val="15"/>
          <w:color w:val="auto"/>
        </w:rPr>
        <w:t>We employ strong protections for all of the data on our platform.</w:t>
      </w:r>
    </w:p>
    <w:p>
      <w:pPr>
        <w:spacing w:after="0" w:line="109" w:lineRule="exact"/>
        <w:rPr>
          <w:sz w:val="20"/>
          <w:szCs w:val="20"/>
          <w:color w:val="auto"/>
        </w:rPr>
      </w:pPr>
    </w:p>
    <w:p>
      <w:pPr>
        <w:ind w:left="1840" w:right="59" w:hanging="276"/>
        <w:spacing w:after="0" w:line="275" w:lineRule="auto"/>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Encryption</w:t>
      </w:r>
      <w:r>
        <w:rPr>
          <w:rFonts w:ascii="Arial" w:cs="Arial" w:eastAsia="Arial" w:hAnsi="Arial"/>
          <w:sz w:val="15"/>
          <w:szCs w:val="15"/>
          <w:color w:val="auto"/>
        </w:rPr>
        <w:t>. Dropbox file data at rest is encrypted using 256-bit Advanced Encryption Standard, or AES. To protect data in transit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Dropbox apps such as desktop, mobile, API, or web and our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19"/>
          </w:cols>
          <w:pgMar w:left="240" w:top="407" w:right="1440"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420"/>
        <w:spacing w:after="0" w:line="275" w:lineRule="auto"/>
        <w:rPr>
          <w:sz w:val="20"/>
          <w:szCs w:val="20"/>
          <w:color w:val="auto"/>
        </w:rPr>
      </w:pPr>
      <w:r>
        <w:rPr>
          <w:rFonts w:ascii="Arial" w:cs="Arial" w:eastAsia="Arial" w:hAnsi="Arial"/>
          <w:sz w:val="15"/>
          <w:szCs w:val="15"/>
          <w:color w:val="auto"/>
        </w:rPr>
        <w:t>servers, Dropbox uses Secure Sockets Layer, or SSL, and Transport Layer Security, or TLS, for data transfer, creating a secure tunnel protected by 128-bit or higher AES encryption.</w:t>
      </w:r>
    </w:p>
    <w:p>
      <w:pPr>
        <w:spacing w:after="0" w:line="67" w:lineRule="exact"/>
        <w:rPr>
          <w:sz w:val="20"/>
          <w:szCs w:val="20"/>
          <w:color w:val="auto"/>
        </w:rPr>
      </w:pPr>
    </w:p>
    <w:p>
      <w:pPr>
        <w:ind w:left="1840" w:right="80" w:hanging="276"/>
        <w:spacing w:after="0" w:line="263" w:lineRule="auto"/>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File recovery</w:t>
      </w:r>
      <w:r>
        <w:rPr>
          <w:rFonts w:ascii="Arial" w:cs="Arial" w:eastAsia="Arial" w:hAnsi="Arial"/>
          <w:sz w:val="15"/>
          <w:szCs w:val="15"/>
          <w:color w:val="auto"/>
        </w:rPr>
        <w:t>. Every deletion event in Dropbox is recorded, including when groups of files are deleted. Users can easily recover files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our web interface. Dropbox Plus subscribers may recover prior versions for up to 30 days after deletion, and Dropbox Professional and Dropbox Business subscribers may recover prior versions for up to 120 days after deletion.</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Administrator controls</w:t>
      </w:r>
      <w:r>
        <w:rPr>
          <w:rFonts w:ascii="Arial" w:cs="Arial" w:eastAsia="Arial" w:hAnsi="Arial"/>
          <w:sz w:val="13"/>
          <w:szCs w:val="13"/>
          <w:color w:val="auto"/>
        </w:rPr>
        <w:t>. Dropbox Business team administrators have many ways to customize security settings in both global and granular ways.</w:t>
      </w:r>
    </w:p>
    <w:p>
      <w:pPr>
        <w:spacing w:after="0" w:line="132" w:lineRule="exact"/>
        <w:rPr>
          <w:sz w:val="20"/>
          <w:szCs w:val="20"/>
          <w:color w:val="auto"/>
        </w:rPr>
      </w:pPr>
    </w:p>
    <w:p>
      <w:pPr>
        <w:ind w:left="1840" w:hanging="276"/>
        <w:spacing w:after="0" w:line="275"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Sharing permissions</w:t>
      </w:r>
      <w:r>
        <w:rPr>
          <w:rFonts w:ascii="Arial" w:cs="Arial" w:eastAsia="Arial" w:hAnsi="Arial"/>
          <w:sz w:val="15"/>
          <w:szCs w:val="15"/>
          <w:color w:val="auto"/>
        </w:rPr>
        <w:t>: Team administrators can set up and monitor how their members share team folders, and can set sharing permissions on</w:t>
      </w:r>
      <w:r>
        <w:rPr>
          <w:rFonts w:ascii="Arial" w:cs="Arial" w:eastAsia="Arial" w:hAnsi="Arial"/>
          <w:sz w:val="15"/>
          <w:szCs w:val="15"/>
          <w:i w:val="1"/>
          <w:iCs w:val="1"/>
          <w:color w:val="auto"/>
        </w:rPr>
        <w:t xml:space="preserve"> </w:t>
      </w:r>
      <w:r>
        <w:rPr>
          <w:rFonts w:ascii="Arial" w:cs="Arial" w:eastAsia="Arial" w:hAnsi="Arial"/>
          <w:sz w:val="15"/>
          <w:szCs w:val="15"/>
          <w:color w:val="auto"/>
        </w:rPr>
        <w:t>all folders, sub-folders, and links through the sharing tab.</w:t>
      </w:r>
    </w:p>
    <w:p>
      <w:pPr>
        <w:spacing w:after="0" w:line="67" w:lineRule="exact"/>
        <w:rPr>
          <w:rFonts w:ascii="Arial" w:cs="Arial" w:eastAsia="Arial" w:hAnsi="Arial"/>
          <w:sz w:val="15"/>
          <w:szCs w:val="15"/>
          <w:color w:val="auto"/>
        </w:rPr>
      </w:pPr>
    </w:p>
    <w:p>
      <w:pPr>
        <w:ind w:left="1840" w:right="500" w:hanging="276"/>
        <w:spacing w:after="0" w:line="275"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Remote device wipe</w:t>
      </w:r>
      <w:r>
        <w:rPr>
          <w:rFonts w:ascii="Arial" w:cs="Arial" w:eastAsia="Arial" w:hAnsi="Arial"/>
          <w:sz w:val="15"/>
          <w:szCs w:val="15"/>
          <w:color w:val="auto"/>
        </w:rPr>
        <w:t>: Team administrators can delete their organization’s Dropbox content from a member’s linked devices,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especially useful should someone lose a device or leave the team.</w:t>
      </w:r>
    </w:p>
    <w:p>
      <w:pPr>
        <w:spacing w:after="0" w:line="67" w:lineRule="exact"/>
        <w:rPr>
          <w:rFonts w:ascii="Arial" w:cs="Arial" w:eastAsia="Arial" w:hAnsi="Arial"/>
          <w:sz w:val="15"/>
          <w:szCs w:val="15"/>
          <w:color w:val="auto"/>
        </w:rPr>
      </w:pPr>
    </w:p>
    <w:p>
      <w:pPr>
        <w:ind w:left="1840" w:right="280" w:hanging="276"/>
        <w:spacing w:after="0" w:line="263"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Audit log</w:t>
      </w:r>
      <w:r>
        <w:rPr>
          <w:rFonts w:ascii="Arial" w:cs="Arial" w:eastAsia="Arial" w:hAnsi="Arial"/>
          <w:sz w:val="15"/>
          <w:szCs w:val="15"/>
          <w:color w:val="auto"/>
        </w:rPr>
        <w:t>: Team administrators can monitor which members are sharing files and logging into Dropbox, among other events. They can</w:t>
      </w:r>
      <w:r>
        <w:rPr>
          <w:rFonts w:ascii="Arial" w:cs="Arial" w:eastAsia="Arial" w:hAnsi="Arial"/>
          <w:sz w:val="15"/>
          <w:szCs w:val="15"/>
          <w:i w:val="1"/>
          <w:iCs w:val="1"/>
          <w:color w:val="auto"/>
        </w:rPr>
        <w:t xml:space="preserve"> </w:t>
      </w:r>
      <w:r>
        <w:rPr>
          <w:rFonts w:ascii="Arial" w:cs="Arial" w:eastAsia="Arial" w:hAnsi="Arial"/>
          <w:sz w:val="15"/>
          <w:szCs w:val="15"/>
          <w:color w:val="auto"/>
        </w:rPr>
        <w:t>review activity logs, create full reports for specific time ranges, and pull activity reports on specific members. Advanced and Enterprise team administrators have access to audit logs with file-event tracking.</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Device approvals</w:t>
      </w:r>
      <w:r>
        <w:rPr>
          <w:rFonts w:ascii="Arial" w:cs="Arial" w:eastAsia="Arial" w:hAnsi="Arial"/>
          <w:sz w:val="15"/>
          <w:szCs w:val="15"/>
          <w:color w:val="auto"/>
        </w:rPr>
        <w:t>: Advanced and Enterprise team administrators can manage how members access Dropbox on their devices.</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Tiered administrator roles</w:t>
      </w:r>
      <w:r>
        <w:rPr>
          <w:rFonts w:ascii="Arial" w:cs="Arial" w:eastAsia="Arial" w:hAnsi="Arial"/>
          <w:sz w:val="15"/>
          <w:szCs w:val="15"/>
          <w:color w:val="auto"/>
        </w:rPr>
        <w:t>: Advanced and Enterprise teams have the ability to set multiple administrator roles, each with a different set of</w:t>
      </w:r>
      <w:r>
        <w:rPr>
          <w:rFonts w:ascii="Arial" w:cs="Arial" w:eastAsia="Arial" w:hAnsi="Arial"/>
          <w:sz w:val="15"/>
          <w:szCs w:val="15"/>
          <w:i w:val="1"/>
          <w:iCs w:val="1"/>
          <w:color w:val="auto"/>
        </w:rPr>
        <w:t xml:space="preserve"> </w:t>
      </w:r>
      <w:r>
        <w:rPr>
          <w:rFonts w:ascii="Arial" w:cs="Arial" w:eastAsia="Arial" w:hAnsi="Arial"/>
          <w:sz w:val="15"/>
          <w:szCs w:val="15"/>
          <w:color w:val="auto"/>
        </w:rPr>
        <w:t>permissions.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Network control</w:t>
      </w:r>
      <w:r>
        <w:rPr>
          <w:rFonts w:ascii="Arial" w:cs="Arial" w:eastAsia="Arial" w:hAnsi="Arial"/>
          <w:sz w:val="15"/>
          <w:szCs w:val="15"/>
          <w:color w:val="auto"/>
        </w:rPr>
        <w:t>: Enterprise team administrators can restrict personal Dropbox usage on their organization’s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12065</wp:posOffset>
            </wp:positionV>
            <wp:extent cx="4332605" cy="2313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3260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i w:val="1"/>
          <w:iCs w:val="1"/>
          <w:color w:val="auto"/>
        </w:rPr>
        <w:t>Third-party security integrations</w:t>
      </w:r>
      <w:r>
        <w:rPr>
          <w:rFonts w:ascii="Arial" w:cs="Arial" w:eastAsia="Arial" w:hAnsi="Arial"/>
          <w:sz w:val="15"/>
          <w:szCs w:val="15"/>
          <w:color w:val="auto"/>
        </w:rPr>
        <w:t>. We’ve partnered with industry-leading third parties to enable us to provide a wide range of IT processes and</w:t>
      </w:r>
      <w:r>
        <w:rPr>
          <w:rFonts w:ascii="Arial" w:cs="Arial" w:eastAsia="Arial" w:hAnsi="Arial"/>
          <w:sz w:val="15"/>
          <w:szCs w:val="15"/>
          <w:i w:val="1"/>
          <w:iCs w:val="1"/>
          <w:color w:val="auto"/>
        </w:rPr>
        <w:t xml:space="preserve"> </w:t>
      </w:r>
      <w:r>
        <w:rPr>
          <w:rFonts w:ascii="Arial" w:cs="Arial" w:eastAsia="Arial" w:hAnsi="Arial"/>
          <w:sz w:val="15"/>
          <w:szCs w:val="15"/>
          <w:color w:val="auto"/>
        </w:rPr>
        <w:t>satisfy industry compliance standards, including:</w:t>
      </w:r>
    </w:p>
    <w:p>
      <w:pPr>
        <w:spacing w:after="0" w:line="67" w:lineRule="exact"/>
        <w:rPr>
          <w:sz w:val="20"/>
          <w:szCs w:val="20"/>
          <w:color w:val="auto"/>
        </w:rPr>
      </w:pPr>
    </w:p>
    <w:p>
      <w:pPr>
        <w:ind w:left="1840" w:hanging="276"/>
        <w:spacing w:after="0" w:line="275" w:lineRule="auto"/>
        <w:tabs>
          <w:tab w:leader="none" w:pos="184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Security information and event management</w:t>
      </w:r>
      <w:r>
        <w:rPr>
          <w:rFonts w:ascii="Arial" w:cs="Arial" w:eastAsia="Arial" w:hAnsi="Arial"/>
          <w:sz w:val="15"/>
          <w:szCs w:val="15"/>
          <w:color w:val="auto"/>
        </w:rPr>
        <w:t>: Allows Dropbox Business administrators to oversee and manage employee activity, and access</w:t>
      </w:r>
      <w:r>
        <w:rPr>
          <w:rFonts w:ascii="Arial" w:cs="Arial" w:eastAsia="Arial" w:hAnsi="Arial"/>
          <w:sz w:val="15"/>
          <w:szCs w:val="15"/>
          <w:i w:val="1"/>
          <w:iCs w:val="1"/>
          <w:color w:val="auto"/>
        </w:rPr>
        <w:t xml:space="preserve"> </w:t>
      </w:r>
      <w:r>
        <w:rPr>
          <w:rFonts w:ascii="Arial" w:cs="Arial" w:eastAsia="Arial" w:hAnsi="Arial"/>
          <w:sz w:val="15"/>
          <w:szCs w:val="15"/>
          <w:color w:val="auto"/>
        </w:rPr>
        <w:t>sensitive data through the administrator page.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80"/>
          </w:cols>
          <w:pgMar w:left="240" w:top="407" w:right="137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280" w:hanging="276"/>
        <w:spacing w:after="0" w:line="275"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Data loss prevention</w:t>
      </w:r>
      <w:r>
        <w:rPr>
          <w:rFonts w:ascii="Arial" w:cs="Arial" w:eastAsia="Arial" w:hAnsi="Arial"/>
          <w:sz w:val="15"/>
          <w:szCs w:val="15"/>
          <w:color w:val="auto"/>
        </w:rPr>
        <w:t>: Protects sensitive data like personally identifiable information and payment card industry data stored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eDiscovery and legal hold</w:t>
      </w:r>
      <w:r>
        <w:rPr>
          <w:rFonts w:ascii="Arial" w:cs="Arial" w:eastAsia="Arial" w:hAnsi="Arial"/>
          <w:sz w:val="15"/>
          <w:szCs w:val="15"/>
          <w:color w:val="auto"/>
        </w:rPr>
        <w:t>: Enables secure search and the ability to collect and preserve electronically stored information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Digital rights management</w:t>
      </w:r>
      <w:r>
        <w:rPr>
          <w:rFonts w:ascii="Arial" w:cs="Arial" w:eastAsia="Arial" w:hAnsi="Arial"/>
          <w:sz w:val="15"/>
          <w:szCs w:val="15"/>
          <w:color w:val="auto"/>
        </w:rPr>
        <w:t>: Provides third-party encryption for company data stored in Dropbox Business accounts.</w:t>
      </w:r>
    </w:p>
    <w:p>
      <w:pPr>
        <w:spacing w:after="0" w:line="109"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Data migration and on-premises backup</w:t>
      </w:r>
      <w:r>
        <w:rPr>
          <w:rFonts w:ascii="Arial" w:cs="Arial" w:eastAsia="Arial" w:hAnsi="Arial"/>
          <w:sz w:val="15"/>
          <w:szCs w:val="15"/>
          <w:color w:val="auto"/>
        </w:rPr>
        <w:t>: Assists in transferring large amounts of data between locations and securing sensitive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on-site data backup.</w:t>
      </w:r>
    </w:p>
    <w:p>
      <w:pPr>
        <w:spacing w:after="0" w:line="67" w:lineRule="exact"/>
        <w:rPr>
          <w:rFonts w:ascii="Arial" w:cs="Arial" w:eastAsia="Arial" w:hAnsi="Arial"/>
          <w:sz w:val="15"/>
          <w:szCs w:val="15"/>
          <w:color w:val="auto"/>
        </w:rPr>
      </w:pPr>
    </w:p>
    <w:p>
      <w:pPr>
        <w:ind w:left="1840" w:right="80" w:hanging="276"/>
        <w:spacing w:after="0" w:line="275"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Identity management</w:t>
      </w:r>
      <w:r>
        <w:rPr>
          <w:rFonts w:ascii="Arial" w:cs="Arial" w:eastAsia="Arial" w:hAnsi="Arial"/>
          <w:sz w:val="15"/>
          <w:szCs w:val="15"/>
          <w:color w:val="auto"/>
        </w:rPr>
        <w:t>: Allows companies to keep their Dropbox Business team authenticated with an external identity provider like Active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240" w:top="407" w:right="143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right"/>
        <w:ind w:right="119"/>
        <w:spacing w:after="0"/>
        <w:rPr>
          <w:sz w:val="20"/>
          <w:szCs w:val="20"/>
          <w:color w:val="auto"/>
        </w:rPr>
      </w:pPr>
      <w:r>
        <w:rPr>
          <w:rFonts w:ascii="Arial" w:cs="Arial" w:eastAsia="Arial" w:hAnsi="Arial"/>
          <w:sz w:val="15"/>
          <w:szCs w:val="15"/>
          <w:color w:val="auto"/>
        </w:rPr>
        <w:t>We offer subscription plans to serve the varying needs of our diverse customer base, which includes individuals, teams, and organizations of all</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134620</wp:posOffset>
            </wp:positionV>
            <wp:extent cx="4203700" cy="4841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Customers</w:t>
      </w:r>
    </w:p>
    <w:p>
      <w:pPr>
        <w:spacing w:after="0" w:line="102"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We’ve built a thriving global business with over 11 million paying users. Of these subscribers, approximately 30% use Dropbox for work on a Dropbox Business team plan, and we estimate that an additional</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19"/>
          </w:cols>
          <w:pgMar w:left="240" w:top="407" w:right="1440"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5" w:lineRule="auto"/>
        <w:rPr>
          <w:sz w:val="20"/>
          <w:szCs w:val="20"/>
          <w:color w:val="auto"/>
        </w:rPr>
      </w:pPr>
      <w:r>
        <w:rPr>
          <w:rFonts w:ascii="Arial" w:cs="Arial" w:eastAsia="Arial" w:hAnsi="Arial"/>
          <w:sz w:val="15"/>
          <w:szCs w:val="15"/>
          <w:color w:val="auto"/>
        </w:rPr>
        <w:t>50% use Dropbox for work on an individual plan, collectively totaling approximately 80% of paying subscribers. As of December 31, 2017, we had more than 300,000 paying Dropbox Business teams, and approximately 56% of Fortune 500 companies had at least one Dropbox Business team within their organization. Our customer base is highly diversified, and in 2015, 2016, and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How we support our customers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All of our users can access support through the following resources:</w:t>
      </w:r>
    </w:p>
    <w:p>
      <w:pPr>
        <w:spacing w:after="0" w:line="109" w:lineRule="exact"/>
        <w:rPr>
          <w:sz w:val="20"/>
          <w:szCs w:val="20"/>
          <w:color w:val="auto"/>
        </w:rPr>
      </w:pPr>
    </w:p>
    <w:p>
      <w:pPr>
        <w:ind w:left="1840" w:right="32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Help center</w:t>
      </w:r>
      <w:r>
        <w:rPr>
          <w:rFonts w:ascii="Arial" w:cs="Arial" w:eastAsia="Arial" w:hAnsi="Arial"/>
          <w:sz w:val="15"/>
          <w:szCs w:val="15"/>
          <w:color w:val="auto"/>
        </w:rPr>
        <w:t>: Provides an online repository of helpful information about our platform, responses to frequently asked questions, and best</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practices for use.</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Community support</w:t>
      </w:r>
      <w:r>
        <w:rPr>
          <w:rFonts w:ascii="Arial" w:cs="Arial" w:eastAsia="Arial" w:hAnsi="Arial"/>
          <w:sz w:val="13"/>
          <w:szCs w:val="13"/>
          <w:color w:val="auto"/>
        </w:rPr>
        <w:t>: Facilitates collaboration between users on answers, solutions, and ideas about our platform in an online community.</w:t>
      </w:r>
    </w:p>
    <w:p>
      <w:pPr>
        <w:spacing w:after="0" w:line="132" w:lineRule="exact"/>
        <w:rPr>
          <w:rFonts w:ascii="Arial" w:cs="Arial" w:eastAsia="Arial" w:hAnsi="Arial"/>
          <w:sz w:val="13"/>
          <w:szCs w:val="13"/>
          <w:color w:val="auto"/>
        </w:rPr>
      </w:pPr>
    </w:p>
    <w:p>
      <w:pPr>
        <w:ind w:left="1840" w:hanging="276"/>
        <w:spacing w:after="0"/>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Twitter support</w:t>
      </w:r>
      <w:r>
        <w:rPr>
          <w:rFonts w:ascii="Arial" w:cs="Arial" w:eastAsia="Arial" w:hAnsi="Arial"/>
          <w:sz w:val="15"/>
          <w:szCs w:val="15"/>
          <w:color w:val="auto"/>
        </w:rPr>
        <w:t>: Provides users real-time product and service updates, and offers tips and troubleshooting information.</w:t>
      </w:r>
    </w:p>
    <w:p>
      <w:pPr>
        <w:spacing w:after="0" w:line="109"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Guided troubleshooting</w:t>
      </w:r>
      <w:r>
        <w:rPr>
          <w:rFonts w:ascii="Arial" w:cs="Arial" w:eastAsia="Arial" w:hAnsi="Arial"/>
          <w:sz w:val="15"/>
          <w:szCs w:val="15"/>
          <w:color w:val="auto"/>
        </w:rPr>
        <w:t>: Offers step-by-step instructions to resolve common questions and provides a portal to submit help requests for</w:t>
      </w:r>
      <w:r>
        <w:rPr>
          <w:rFonts w:ascii="Arial" w:cs="Arial" w:eastAsia="Arial" w:hAnsi="Arial"/>
          <w:sz w:val="15"/>
          <w:szCs w:val="15"/>
          <w:i w:val="1"/>
          <w:iCs w:val="1"/>
          <w:color w:val="auto"/>
        </w:rPr>
        <w:t xml:space="preserve"> </w:t>
      </w:r>
      <w:r>
        <w:rPr>
          <w:rFonts w:ascii="Arial" w:cs="Arial" w:eastAsia="Arial" w:hAnsi="Arial"/>
          <w:sz w:val="15"/>
          <w:szCs w:val="15"/>
          <w:color w:val="auto"/>
        </w:rPr>
        <w:t>questions that aren’t otherwise available.</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also offer additional support for our paying users as described above in “Our Subscription Plans.”</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Case Studies</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customer examples below illustrate how businesses from different industries benefit from our platform.</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60"/>
          </w:cols>
          <w:pgMar w:left="240" w:top="407" w:right="139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0219"/>
          </w:cols>
          <w:pgMar w:left="240" w:top="407" w:right="1440"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Sales and Marketing Approach</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users share content and collaborate on our platform, they introduce and invite new users, driving viral growth. We generate 90% of our revenue from self-serve channels, which reduces customer acquisition costs.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During the fourth quarter of 2017, hundreds of millions of devices—including computers, phones, and tablets—were actively connected to the Dropbox platform, representing a large number of touchpoints to communicate with our users.</w:t>
      </w:r>
    </w:p>
    <w:p>
      <w:pPr>
        <w:spacing w:after="0" w:line="159"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Technology Infrastructure and Operations</w:t>
      </w:r>
    </w:p>
    <w:p>
      <w:pPr>
        <w:spacing w:after="0" w:line="102" w:lineRule="exact"/>
        <w:rPr>
          <w:sz w:val="20"/>
          <w:szCs w:val="20"/>
          <w:color w:val="auto"/>
        </w:rPr>
      </w:pPr>
    </w:p>
    <w:p>
      <w:pPr>
        <w:jc w:val="both"/>
        <w:ind w:left="1120" w:right="160" w:firstLine="368"/>
        <w:spacing w:after="0" w:line="290" w:lineRule="auto"/>
        <w:rPr>
          <w:sz w:val="20"/>
          <w:szCs w:val="20"/>
          <w:color w:val="auto"/>
        </w:rPr>
      </w:pPr>
      <w:r>
        <w:rPr>
          <w:rFonts w:ascii="Arial" w:cs="Arial" w:eastAsia="Arial" w:hAnsi="Arial"/>
          <w:sz w:val="14"/>
          <w:szCs w:val="14"/>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38" w:lineRule="exact"/>
        <w:rPr>
          <w:sz w:val="20"/>
          <w:szCs w:val="20"/>
          <w:color w:val="auto"/>
        </w:rPr>
      </w:pPr>
    </w:p>
    <w:p>
      <w:pPr>
        <w:ind w:left="1120" w:right="220" w:firstLine="368"/>
        <w:spacing w:after="0" w:line="290" w:lineRule="auto"/>
        <w:rPr>
          <w:sz w:val="20"/>
          <w:szCs w:val="20"/>
          <w:color w:val="auto"/>
        </w:rPr>
      </w:pPr>
      <w:r>
        <w:rPr>
          <w:rFonts w:ascii="Arial" w:cs="Arial" w:eastAsia="Arial" w:hAnsi="Arial"/>
          <w:sz w:val="14"/>
          <w:szCs w:val="14"/>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38" w:lineRule="exact"/>
        <w:rPr>
          <w:sz w:val="20"/>
          <w:szCs w:val="20"/>
          <w:color w:val="auto"/>
        </w:rPr>
      </w:pPr>
    </w:p>
    <w:p>
      <w:pPr>
        <w:jc w:val="both"/>
        <w:ind w:left="1120" w:right="260" w:firstLine="368"/>
        <w:spacing w:after="0" w:line="263" w:lineRule="auto"/>
        <w:rPr>
          <w:sz w:val="20"/>
          <w:szCs w:val="20"/>
          <w:color w:val="auto"/>
        </w:rPr>
      </w:pPr>
      <w:r>
        <w:rPr>
          <w:rFonts w:ascii="Arial" w:cs="Arial" w:eastAsia="Arial" w:hAnsi="Arial"/>
          <w:sz w:val="15"/>
          <w:szCs w:val="15"/>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Research and Development Approach</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We invest substantial resources in research and development to enhance our platform, develop new products and features, and improve our infrastructure.</w:t>
      </w:r>
    </w:p>
    <w:p>
      <w:pPr>
        <w:spacing w:after="0" w:line="146" w:lineRule="exact"/>
        <w:rPr>
          <w:sz w:val="20"/>
          <w:szCs w:val="20"/>
          <w:color w:val="auto"/>
        </w:rPr>
      </w:pPr>
    </w:p>
    <w:p>
      <w:pPr>
        <w:ind w:left="1120" w:right="260" w:firstLine="368"/>
        <w:spacing w:after="0" w:line="290" w:lineRule="auto"/>
        <w:rPr>
          <w:sz w:val="20"/>
          <w:szCs w:val="20"/>
          <w:color w:val="auto"/>
        </w:rPr>
      </w:pPr>
      <w:r>
        <w:rPr>
          <w:rFonts w:ascii="Arial" w:cs="Arial" w:eastAsia="Arial" w:hAnsi="Arial"/>
          <w:sz w:val="14"/>
          <w:szCs w:val="14"/>
          <w:color w:val="auto"/>
        </w:rPr>
        <w:t>Our research and development organization consists of world-class engineering, product, and design teams. As of December 31, 2017, we had more than 870 professionals across these teams, representing approximately 47% of our full-time employees. They have a diverse set of skills and industry experience, including expertise in massively distributed systems and user-centric application engineering.</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300"/>
          </w:cols>
          <w:pgMar w:left="240" w:top="407" w:right="135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Values</w:t>
      </w:r>
    </w:p>
    <w:p>
      <w:pPr>
        <w:spacing w:after="0" w:line="102"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Since our founding, we’ve focused on building a culture of innovation and teamwork. As our company grew, we developed five core values that are critical to our success. Our values are a compass and part of everyday life for Dropboxers. Each one guides how we treat each other and our users.</w:t>
      </w:r>
    </w:p>
    <w:p>
      <w:pPr>
        <w:spacing w:after="0" w:line="21" w:lineRule="exact"/>
        <w:rPr>
          <w:sz w:val="20"/>
          <w:szCs w:val="20"/>
          <w:color w:val="auto"/>
        </w:rPr>
      </w:pPr>
    </w:p>
    <w:p>
      <w:pPr>
        <w:ind w:left="1840" w:hanging="276"/>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Be worthy of trust</w:t>
      </w:r>
    </w:p>
    <w:p>
      <w:pPr>
        <w:spacing w:after="0" w:line="98" w:lineRule="exact"/>
        <w:rPr>
          <w:rFonts w:ascii="Arial" w:cs="Arial" w:eastAsia="Arial" w:hAnsi="Arial"/>
          <w:sz w:val="15"/>
          <w:szCs w:val="15"/>
          <w:color w:val="auto"/>
        </w:rPr>
      </w:pPr>
    </w:p>
    <w:p>
      <w:pPr>
        <w:ind w:left="1840" w:right="240"/>
        <w:spacing w:after="0" w:line="275" w:lineRule="auto"/>
        <w:rPr>
          <w:rFonts w:ascii="Arial" w:cs="Arial" w:eastAsia="Arial" w:hAnsi="Arial"/>
          <w:sz w:val="15"/>
          <w:szCs w:val="15"/>
          <w:color w:val="auto"/>
        </w:rPr>
      </w:pPr>
      <w:r>
        <w:rPr>
          <w:rFonts w:ascii="Arial" w:cs="Arial" w:eastAsia="Arial" w:hAnsi="Arial"/>
          <w:sz w:val="15"/>
          <w:szCs w:val="15"/>
          <w:i w:val="1"/>
          <w:iCs w:val="1"/>
          <w:color w:val="auto"/>
        </w:rPr>
        <w:t xml:space="preserve">Take care of each other and our users, and keep their best interests at heart. </w:t>
      </w:r>
      <w:r>
        <w:rPr>
          <w:rFonts w:ascii="Arial" w:cs="Arial" w:eastAsia="Arial" w:hAnsi="Arial"/>
          <w:sz w:val="15"/>
          <w:szCs w:val="15"/>
          <w:color w:val="auto"/>
        </w:rPr>
        <w:t>Millions of people and businesses trust us to safeguard their</w:t>
      </w:r>
      <w:r>
        <w:rPr>
          <w:rFonts w:ascii="Arial" w:cs="Arial" w:eastAsia="Arial" w:hAnsi="Arial"/>
          <w:sz w:val="15"/>
          <w:szCs w:val="15"/>
          <w:i w:val="1"/>
          <w:iCs w:val="1"/>
          <w:color w:val="auto"/>
        </w:rPr>
        <w:t xml:space="preserve"> </w:t>
      </w:r>
      <w:r>
        <w:rPr>
          <w:rFonts w:ascii="Arial" w:cs="Arial" w:eastAsia="Arial" w:hAnsi="Arial"/>
          <w:sz w:val="15"/>
          <w:szCs w:val="15"/>
          <w:color w:val="auto"/>
        </w:rPr>
        <w:t>most important information. We strive to be as transparent as possible with them and each other.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Sweat the details</w:t>
      </w:r>
    </w:p>
    <w:p>
      <w:pPr>
        <w:spacing w:after="0" w:line="98" w:lineRule="exact"/>
        <w:rPr>
          <w:rFonts w:ascii="Arial" w:cs="Arial" w:eastAsia="Arial" w:hAnsi="Arial"/>
          <w:sz w:val="15"/>
          <w:szCs w:val="15"/>
          <w:color w:val="auto"/>
        </w:rPr>
      </w:pPr>
    </w:p>
    <w:p>
      <w:pPr>
        <w:ind w:left="184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Obsess over quality and strive to master your craft. </w:t>
      </w:r>
      <w:r>
        <w:rPr>
          <w:rFonts w:ascii="Arial" w:cs="Arial" w:eastAsia="Arial" w:hAnsi="Arial"/>
          <w:sz w:val="15"/>
          <w:szCs w:val="15"/>
          <w:color w:val="auto"/>
        </w:rPr>
        <w:t>We believe that truly insightful solutions emerge from a deep understanding of problems</w:t>
      </w:r>
      <w:r>
        <w:rPr>
          <w:rFonts w:ascii="Arial" w:cs="Arial" w:eastAsia="Arial" w:hAnsi="Arial"/>
          <w:sz w:val="15"/>
          <w:szCs w:val="15"/>
          <w:i w:val="1"/>
          <w:iCs w:val="1"/>
          <w:color w:val="auto"/>
        </w:rPr>
        <w:t xml:space="preserve"> </w:t>
      </w:r>
      <w:r>
        <w:rPr>
          <w:rFonts w:ascii="Arial" w:cs="Arial" w:eastAsia="Arial" w:hAnsi="Arial"/>
          <w:sz w:val="15"/>
          <w:szCs w:val="15"/>
          <w:color w:val="auto"/>
        </w:rPr>
        <w:t>and a dedication to iteration. We push ourselves (and each other) to get to the root of problems, and we don’t accept sloppy solutions or band-aids.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Aim higher</w:t>
      </w:r>
    </w:p>
    <w:p>
      <w:pPr>
        <w:spacing w:after="0" w:line="98" w:lineRule="exact"/>
        <w:rPr>
          <w:rFonts w:ascii="Arial" w:cs="Arial" w:eastAsia="Arial" w:hAnsi="Arial"/>
          <w:sz w:val="15"/>
          <w:szCs w:val="15"/>
          <w:color w:val="auto"/>
        </w:rPr>
      </w:pPr>
    </w:p>
    <w:p>
      <w:pPr>
        <w:ind w:left="1840" w:right="28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Set audacious goals. </w:t>
      </w:r>
      <w:r>
        <w:rPr>
          <w:rFonts w:ascii="Arial" w:cs="Arial" w:eastAsia="Arial" w:hAnsi="Arial"/>
          <w:sz w:val="15"/>
          <w:szCs w:val="15"/>
          <w:color w:val="auto"/>
        </w:rPr>
        <w:t>We believe in taking risks and being willing to disrupt ourselves, so we don’t squander an opportunity to build</w:t>
      </w:r>
      <w:r>
        <w:rPr>
          <w:rFonts w:ascii="Arial" w:cs="Arial" w:eastAsia="Arial" w:hAnsi="Arial"/>
          <w:sz w:val="15"/>
          <w:szCs w:val="15"/>
          <w:i w:val="1"/>
          <w:iCs w:val="1"/>
          <w:color w:val="auto"/>
        </w:rPr>
        <w:t xml:space="preserve"> </w:t>
      </w:r>
      <w:r>
        <w:rPr>
          <w:rFonts w:ascii="Arial" w:cs="Arial" w:eastAsia="Arial" w:hAnsi="Arial"/>
          <w:sz w:val="15"/>
          <w:szCs w:val="15"/>
          <w:color w:val="auto"/>
        </w:rPr>
        <w:t>something much bigger. With the density of incredible talent at Dropbox and the size of the opportunity in front of us, we owe it to each other to push limits.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b w:val="1"/>
          <w:bCs w:val="1"/>
          <w:i w:val="1"/>
          <w:iCs w:val="1"/>
          <w:color w:val="auto"/>
        </w:rPr>
        <w:t>We, not I</w:t>
      </w:r>
    </w:p>
    <w:p>
      <w:pPr>
        <w:spacing w:after="0" w:line="98" w:lineRule="exact"/>
        <w:rPr>
          <w:rFonts w:ascii="Arial" w:cs="Arial" w:eastAsia="Arial" w:hAnsi="Arial"/>
          <w:sz w:val="15"/>
          <w:szCs w:val="15"/>
          <w:color w:val="auto"/>
        </w:rPr>
      </w:pPr>
    </w:p>
    <w:p>
      <w:pPr>
        <w:jc w:val="both"/>
        <w:ind w:left="1840" w:right="10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We’re a village, and as members, we each need to do our part for the village to thrive. </w:t>
      </w:r>
      <w:r>
        <w:rPr>
          <w:rFonts w:ascii="Arial" w:cs="Arial" w:eastAsia="Arial" w:hAnsi="Arial"/>
          <w:sz w:val="15"/>
          <w:szCs w:val="15"/>
          <w:color w:val="auto"/>
        </w:rPr>
        <w:t>We tackle a never-ending stream of people,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challenges, many of which are far too hard to be solved by a single person or team. We believe in people really knowing each other and in putting the welfare of the company and our users before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54610</wp:posOffset>
            </wp:positionV>
            <wp:extent cx="307975" cy="3721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7975" cy="372110"/>
                    </a:xfrm>
                    <a:prstGeom prst="rect">
                      <a:avLst/>
                    </a:prstGeom>
                    <a:noFill/>
                  </pic:spPr>
                </pic:pic>
              </a:graphicData>
            </a:graphic>
          </wp:anchor>
        </w:drawing>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w:t>
      </w:r>
    </w:p>
    <w:p>
      <w:pPr>
        <w:spacing w:after="0" w:line="301" w:lineRule="exact"/>
        <w:rPr>
          <w:sz w:val="20"/>
          <w:szCs w:val="20"/>
          <w:color w:val="auto"/>
        </w:rPr>
      </w:pPr>
    </w:p>
    <w:p>
      <w:pPr>
        <w:ind w:left="1840" w:right="40"/>
        <w:spacing w:after="0" w:line="259" w:lineRule="auto"/>
        <w:rPr>
          <w:sz w:val="20"/>
          <w:szCs w:val="20"/>
          <w:color w:val="auto"/>
        </w:rPr>
      </w:pPr>
      <w:r>
        <w:rPr>
          <w:rFonts w:ascii="Arial" w:cs="Arial" w:eastAsia="Arial" w:hAnsi="Arial"/>
          <w:sz w:val="15"/>
          <w:szCs w:val="15"/>
          <w:i w:val="1"/>
          <w:iCs w:val="1"/>
          <w:color w:val="auto"/>
        </w:rPr>
        <w:t xml:space="preserve">Surprise and delight each other and our users. </w:t>
      </w:r>
      <w:r>
        <w:rPr>
          <w:rFonts w:ascii="Arial" w:cs="Arial" w:eastAsia="Arial" w:hAnsi="Arial"/>
          <w:sz w:val="15"/>
          <w:szCs w:val="15"/>
          <w:color w:val="auto"/>
        </w:rPr>
        <w:t>Cupcake is about adding an authentic, human touch to everything we do. But more than that,</w:t>
      </w:r>
      <w:r>
        <w:rPr>
          <w:rFonts w:ascii="Arial" w:cs="Arial" w:eastAsia="Arial" w:hAnsi="Arial"/>
          <w:sz w:val="15"/>
          <w:szCs w:val="15"/>
          <w:i w:val="1"/>
          <w:iCs w:val="1"/>
          <w:color w:val="auto"/>
        </w:rPr>
        <w:t xml:space="preserve"> </w:t>
      </w:r>
      <w:r>
        <w:rPr>
          <w:rFonts w:ascii="Arial" w:cs="Arial" w:eastAsia="Arial" w:hAnsi="Arial"/>
          <w:sz w:val="15"/>
          <w:szCs w:val="15"/>
          <w:color w:val="auto"/>
        </w:rPr>
        <w:t>it’s about finding creative ways to make our users (and each other) smile—whether it’s our quirky illustrations, or bringing a roving ice cream cart to the office to celebrate a product launch. We believe that the magic we create together as Dropboxers translates into magic for our users.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Employees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As of December 31, 2017, we had 1,858 full-time employees. We also engage contractors and consultants. None of our employees are represented by a labor union. We have not experienced any work stoppages, and we believe that our employee relations are strong.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Commitment to Security and Privacy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Trust is the foundation of our relationship with our users, and we take significant measures every day to protect their privacy and security.</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Security</w:t>
      </w:r>
    </w:p>
    <w:p>
      <w:pPr>
        <w:spacing w:after="0" w:line="98"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300"/>
          </w:cols>
          <w:pgMar w:left="240" w:top="407"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ISO has developed a series of standards for information security and related areas. We’ve received the following ISO certifications:</w:t>
      </w:r>
    </w:p>
    <w:p>
      <w:pPr>
        <w:spacing w:after="0" w:line="121" w:lineRule="exact"/>
        <w:rPr>
          <w:sz w:val="20"/>
          <w:szCs w:val="20"/>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ISO 27001 (Information Security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ISO 27017 (Cloud Security)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ISO 27018 (Cloud Privacy and Data Protection)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ISO 22301 (Business Continuity Management)</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 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64"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4"/>
          <w:szCs w:val="14"/>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 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48" w:lineRule="exact"/>
        <w:rPr>
          <w:sz w:val="20"/>
          <w:szCs w:val="20"/>
          <w:color w:val="auto"/>
        </w:rPr>
      </w:pPr>
    </w:p>
    <w:p>
      <w:pPr>
        <w:jc w:val="both"/>
        <w:ind w:left="1120" w:right="280" w:firstLine="368"/>
        <w:spacing w:after="0" w:line="263" w:lineRule="auto"/>
        <w:rPr>
          <w:sz w:val="20"/>
          <w:szCs w:val="20"/>
          <w:color w:val="auto"/>
        </w:rPr>
      </w:pPr>
      <w:r>
        <w:rPr>
          <w:rFonts w:ascii="Arial" w:cs="Arial" w:eastAsia="Arial" w:hAnsi="Arial"/>
          <w:sz w:val="15"/>
          <w:szCs w:val="15"/>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300"/>
          </w:cols>
          <w:pgMar w:left="24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67" w:lineRule="exact"/>
        <w:rPr>
          <w:sz w:val="20"/>
          <w:szCs w:val="20"/>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Be transparent</w:t>
      </w:r>
    </w:p>
    <w:p>
      <w:pPr>
        <w:spacing w:after="0" w:line="109" w:lineRule="exact"/>
        <w:rPr>
          <w:rFonts w:ascii="Arial" w:cs="Arial" w:eastAsia="Arial" w:hAnsi="Arial"/>
          <w:sz w:val="15"/>
          <w:szCs w:val="15"/>
          <w:color w:val="auto"/>
        </w:rPr>
      </w:pPr>
    </w:p>
    <w:p>
      <w:pPr>
        <w:jc w:val="both"/>
        <w:ind w:left="2300" w:right="380" w:hanging="364"/>
        <w:spacing w:after="0" w:line="263" w:lineRule="auto"/>
        <w:tabs>
          <w:tab w:leader="none" w:pos="2300" w:val="left"/>
        </w:tabs>
        <w:numPr>
          <w:ilvl w:val="1"/>
          <w:numId w:val="52"/>
        </w:numPr>
        <w:rPr>
          <w:rFonts w:ascii="Arial" w:cs="Arial" w:eastAsia="Arial" w:hAnsi="Arial"/>
          <w:sz w:val="15"/>
          <w:szCs w:val="15"/>
          <w:color w:val="auto"/>
        </w:rPr>
      </w:pPr>
      <w:r>
        <w:rPr>
          <w:rFonts w:ascii="Arial" w:cs="Arial" w:eastAsia="Arial" w:hAnsi="Arial"/>
          <w:sz w:val="15"/>
          <w:szCs w:val="15"/>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Fight overly broad requests</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1"/>
          <w:numId w:val="52"/>
        </w:numPr>
        <w:rPr>
          <w:rFonts w:ascii="Arial" w:cs="Arial" w:eastAsia="Arial" w:hAnsi="Arial"/>
          <w:sz w:val="15"/>
          <w:szCs w:val="15"/>
          <w:color w:val="auto"/>
        </w:rPr>
      </w:pPr>
      <w:r>
        <w:rPr>
          <w:rFonts w:ascii="Arial" w:cs="Arial" w:eastAsia="Arial" w:hAnsi="Arial"/>
          <w:sz w:val="15"/>
          <w:szCs w:val="15"/>
          <w:color w:val="auto"/>
        </w:rPr>
        <w:t>We believe that government data requests should be limited in the information they seek and narrowly tailored to specific people and legitimate investigations. We’ll resist blanket and overly broad requests.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Provide trusted services</w:t>
      </w:r>
    </w:p>
    <w:p>
      <w:pPr>
        <w:spacing w:after="0" w:line="109" w:lineRule="exact"/>
        <w:rPr>
          <w:rFonts w:ascii="Arial" w:cs="Arial" w:eastAsia="Arial" w:hAnsi="Arial"/>
          <w:sz w:val="15"/>
          <w:szCs w:val="15"/>
          <w:color w:val="auto"/>
        </w:rPr>
      </w:pPr>
    </w:p>
    <w:p>
      <w:pPr>
        <w:ind w:left="2300" w:right="200" w:hanging="364"/>
        <w:spacing w:after="0" w:line="312" w:lineRule="auto"/>
        <w:tabs>
          <w:tab w:leader="none" w:pos="2300" w:val="left"/>
        </w:tabs>
        <w:numPr>
          <w:ilvl w:val="1"/>
          <w:numId w:val="52"/>
        </w:numPr>
        <w:rPr>
          <w:rFonts w:ascii="Arial" w:cs="Arial" w:eastAsia="Arial" w:hAnsi="Arial"/>
          <w:sz w:val="14"/>
          <w:szCs w:val="14"/>
          <w:color w:val="auto"/>
        </w:rPr>
      </w:pPr>
      <w:r>
        <w:rPr>
          <w:rFonts w:ascii="Arial" w:cs="Arial" w:eastAsia="Arial" w:hAnsi="Arial"/>
          <w:sz w:val="14"/>
          <w:szCs w:val="14"/>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Protect all users</w:t>
      </w:r>
    </w:p>
    <w:p>
      <w:pPr>
        <w:spacing w:after="0" w:line="109" w:lineRule="exact"/>
        <w:rPr>
          <w:rFonts w:ascii="Arial" w:cs="Arial" w:eastAsia="Arial" w:hAnsi="Arial"/>
          <w:sz w:val="15"/>
          <w:szCs w:val="15"/>
          <w:color w:val="auto"/>
        </w:rPr>
      </w:pPr>
    </w:p>
    <w:p>
      <w:pPr>
        <w:ind w:left="2300" w:hanging="364"/>
        <w:spacing w:after="0" w:line="290" w:lineRule="auto"/>
        <w:tabs>
          <w:tab w:leader="none" w:pos="2300" w:val="left"/>
        </w:tabs>
        <w:numPr>
          <w:ilvl w:val="1"/>
          <w:numId w:val="52"/>
        </w:numPr>
        <w:rPr>
          <w:rFonts w:ascii="Arial" w:cs="Arial" w:eastAsia="Arial" w:hAnsi="Arial"/>
          <w:sz w:val="14"/>
          <w:szCs w:val="14"/>
          <w:color w:val="auto"/>
        </w:rPr>
      </w:pPr>
      <w:r>
        <w:rPr>
          <w:rFonts w:ascii="Arial" w:cs="Arial" w:eastAsia="Arial" w:hAnsi="Arial"/>
          <w:sz w:val="14"/>
          <w:szCs w:val="14"/>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Competition</w:t>
      </w:r>
    </w:p>
    <w:p>
      <w:pPr>
        <w:spacing w:after="0" w:line="102"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that the principal competitive factors in our markets include the following:</w:t>
      </w:r>
    </w:p>
    <w:p>
      <w:pPr>
        <w:spacing w:after="0" w:line="109" w:lineRule="exact"/>
        <w:rPr>
          <w:sz w:val="20"/>
          <w:szCs w:val="20"/>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300"/>
          </w:cols>
          <w:pgMar w:left="240" w:top="407" w:right="135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Intellectual Property</w:t>
      </w:r>
    </w:p>
    <w:p>
      <w:pPr>
        <w:spacing w:after="0" w:line="102"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43"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over 600 issued patents and more than 600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55"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55"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Legal Proceedings</w:t>
      </w:r>
    </w:p>
    <w:p>
      <w:pPr>
        <w:spacing w:after="0" w:line="102" w:lineRule="exact"/>
        <w:rPr>
          <w:sz w:val="20"/>
          <w:szCs w:val="20"/>
          <w:color w:val="auto"/>
        </w:rPr>
      </w:pPr>
    </w:p>
    <w:p>
      <w:pPr>
        <w:ind w:left="1120" w:firstLine="368"/>
        <w:spacing w:after="0" w:line="298" w:lineRule="auto"/>
        <w:rPr>
          <w:sz w:val="20"/>
          <w:szCs w:val="20"/>
          <w:color w:val="auto"/>
        </w:rPr>
      </w:pPr>
      <w:r>
        <w:rPr>
          <w:rFonts w:ascii="Arial" w:cs="Arial" w:eastAsia="Arial" w:hAnsi="Arial"/>
          <w:sz w:val="13"/>
          <w:szCs w:val="13"/>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and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139"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300"/>
          </w:cols>
          <w:pgMar w:left="240" w:top="407" w:right="13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Facilities</w:t>
      </w:r>
    </w:p>
    <w:p>
      <w:pPr>
        <w:spacing w:after="0" w:line="102"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color w:val="auto"/>
        </w:rPr>
        <w:t>Our corporate headquarters is located in San Francisco, California, pursuant to operating leases that expire in 2033. We lease additional offices in San Francisco and around the world, including in Austin, Texas; Seattle, Washington; New York, New York; Dublin, Ireland; London, United Kingdom; Tel Aviv, Israel; Sydney, Australia; and Tokyo, Japan. We have datacenter co-location facilities in California, Texas, and Virginia. We believe that these facilities are generally suitable to meet our needs.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80"/>
          </w:cols>
          <w:pgMar w:left="240" w:top="407" w:right="137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MANAGEMENT</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Officers and Directors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information regarding our executive officers and directors as of March 8, 2018:</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23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20" w:type="dxa"/>
            <w:vAlign w:val="bottom"/>
            <w:gridSpan w:val="2"/>
          </w:tcPr>
          <w:p>
            <w:pPr>
              <w:jc w:val="center"/>
              <w:ind w:left="746"/>
              <w:spacing w:after="0"/>
              <w:rPr>
                <w:sz w:val="20"/>
                <w:szCs w:val="20"/>
                <w:color w:val="auto"/>
              </w:rPr>
            </w:pPr>
            <w:r>
              <w:rPr>
                <w:rFonts w:ascii="Arial" w:cs="Arial" w:eastAsia="Arial" w:hAnsi="Arial"/>
                <w:sz w:val="12"/>
                <w:szCs w:val="12"/>
                <w:b w:val="1"/>
                <w:bCs w:val="1"/>
                <w:color w:val="auto"/>
                <w:w w:val="88"/>
              </w:rPr>
              <w:t>Age</w:t>
            </w:r>
          </w:p>
        </w:tc>
        <w:tc>
          <w:tcPr>
            <w:tcW w:w="180" w:type="dxa"/>
            <w:vAlign w:val="bottom"/>
          </w:tcPr>
          <w:p>
            <w:pPr>
              <w:spacing w:after="0"/>
              <w:rPr>
                <w:sz w:val="13"/>
                <w:szCs w:val="13"/>
                <w:color w:val="auto"/>
              </w:rPr>
            </w:pPr>
          </w:p>
        </w:tc>
        <w:tc>
          <w:tcPr>
            <w:tcW w:w="5700" w:type="dxa"/>
            <w:vAlign w:val="bottom"/>
          </w:tcPr>
          <w:p>
            <w:pPr>
              <w:ind w:left="26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280" w:type="dxa"/>
            <w:vAlign w:val="bottom"/>
            <w:gridSpan w:val="2"/>
          </w:tcPr>
          <w:p>
            <w:pPr>
              <w:spacing w:after="0" w:line="147" w:lineRule="exact"/>
              <w:rPr>
                <w:sz w:val="20"/>
                <w:szCs w:val="20"/>
                <w:color w:val="auto"/>
              </w:rPr>
            </w:pPr>
            <w:r>
              <w:rPr>
                <w:rFonts w:ascii="Arial" w:cs="Arial" w:eastAsia="Arial" w:hAnsi="Arial"/>
                <w:sz w:val="15"/>
                <w:szCs w:val="15"/>
                <w:i w:val="1"/>
                <w:iCs w:val="1"/>
                <w:color w:val="auto"/>
              </w:rPr>
              <w:t>Executive officers: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Andrew W. Houston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Executive Officer, Co-Founder, and Chairman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32</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Co-Founder and 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46</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Senior Vice President of Engineering, Product, and Design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Ajay V. Vashee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34</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Bart E. Volkmer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Dennis M. Woodside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Operating Officer</w:t>
            </w: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5"/>
                <w:szCs w:val="15"/>
                <w:i w:val="1"/>
                <w:iCs w:val="1"/>
                <w:color w:val="auto"/>
              </w:rPr>
              <w:t>Non-executive directors</w:t>
            </w:r>
            <w:r>
              <w:rPr>
                <w:rFonts w:ascii="Arial" w:cs="Arial" w:eastAsia="Arial" w:hAnsi="Arial"/>
                <w:sz w:val="15"/>
                <w:szCs w:val="15"/>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Donald W. Blair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Paul E. Jacobs</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Robert J. Mylod, Jr.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Condoleezza Rice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 Bryan Schreier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Margaret C. Whitman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98" w:lineRule="exact"/>
        <w:rPr>
          <w:sz w:val="20"/>
          <w:szCs w:val="20"/>
          <w:color w:val="auto"/>
        </w:rPr>
      </w:pPr>
    </w:p>
    <w:p>
      <w:pPr>
        <w:ind w:left="1120" w:right="480" w:firstLine="368"/>
        <w:spacing w:after="0" w:line="312" w:lineRule="auto"/>
        <w:rPr>
          <w:sz w:val="20"/>
          <w:szCs w:val="20"/>
          <w:color w:val="auto"/>
        </w:rPr>
      </w:pPr>
      <w:r>
        <w:rPr>
          <w:rFonts w:ascii="Arial" w:cs="Arial" w:eastAsia="Arial" w:hAnsi="Arial"/>
          <w:sz w:val="14"/>
          <w:szCs w:val="14"/>
          <w:i w:val="1"/>
          <w:iCs w:val="1"/>
          <w:color w:val="auto"/>
        </w:rPr>
        <w:t>Andrew W. Houston</w:t>
      </w:r>
      <w:r>
        <w:rPr>
          <w:rFonts w:ascii="Arial" w:cs="Arial" w:eastAsia="Arial" w:hAnsi="Arial"/>
          <w:sz w:val="14"/>
          <w:szCs w:val="14"/>
          <w:color w:val="auto"/>
        </w:rPr>
        <w:t>. Mr. Houston is one of our co-founders and has served as a member of our Board of Directors and our Chief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since June 2007. Mr. Houston holds a B.S. in Computer Science from the Massachusetts Institute of Technology.</w:t>
      </w:r>
    </w:p>
    <w:p>
      <w:pPr>
        <w:spacing w:after="0" w:line="12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Mr. Houston was selected to serve on our Board of Directors because of the perspective and experience he brings as our Chief Executive Officer and as one of our co-founders.</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i w:val="1"/>
          <w:iCs w:val="1"/>
          <w:color w:val="auto"/>
        </w:rPr>
        <w:t>Arash Ferdowsi</w:t>
      </w:r>
      <w:r>
        <w:rPr>
          <w:rFonts w:ascii="Arial" w:cs="Arial" w:eastAsia="Arial" w:hAnsi="Arial"/>
          <w:sz w:val="14"/>
          <w:szCs w:val="14"/>
          <w:color w:val="auto"/>
        </w:rPr>
        <w:t>. Mr. Ferdowsi is one of our co-founders and has served as a member of our Board of Directors since June 2007. From June 2007</w:t>
      </w:r>
      <w:r>
        <w:rPr>
          <w:rFonts w:ascii="Arial" w:cs="Arial" w:eastAsia="Arial" w:hAnsi="Arial"/>
          <w:sz w:val="14"/>
          <w:szCs w:val="14"/>
          <w:i w:val="1"/>
          <w:iCs w:val="1"/>
          <w:color w:val="auto"/>
        </w:rPr>
        <w:t xml:space="preserve"> </w:t>
      </w:r>
      <w:r>
        <w:rPr>
          <w:rFonts w:ascii="Arial" w:cs="Arial" w:eastAsia="Arial" w:hAnsi="Arial"/>
          <w:sz w:val="14"/>
          <w:szCs w:val="14"/>
          <w:color w:val="auto"/>
        </w:rPr>
        <w:t>to October 2016, Mr. Ferdowsi served as our Chief Technology Officer. Mr. Ferdowsi attended the Massachusetts Institute of Technology.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Mr. Ferdowsi was selected to serve on our Board of Directors because of the perspective and experience he brings as one of our co-founders.</w:t>
      </w:r>
    </w:p>
    <w:p>
      <w:pPr>
        <w:spacing w:after="0" w:line="20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Quentin J. Clark</w:t>
      </w:r>
      <w:r>
        <w:rPr>
          <w:rFonts w:ascii="Arial" w:cs="Arial" w:eastAsia="Arial" w:hAnsi="Arial"/>
          <w:sz w:val="15"/>
          <w:szCs w:val="15"/>
          <w:color w:val="auto"/>
        </w:rPr>
        <w:t>. Mr. Clark has served as our Senior Vice President of Engineering, Product, and Design since September 2017. From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i w:val="1"/>
          <w:iCs w:val="1"/>
          <w:color w:val="auto"/>
        </w:rPr>
        <w:t>Ajay V. Vashee</w:t>
      </w:r>
      <w:r>
        <w:rPr>
          <w:rFonts w:ascii="Arial" w:cs="Arial" w:eastAsia="Arial" w:hAnsi="Arial"/>
          <w:sz w:val="15"/>
          <w:szCs w:val="15"/>
          <w:color w:val="auto"/>
        </w:rPr>
        <w:t>. Mr. Vashee has served as our Chief Financial Officer since September 2016. From February 2015 to September 2016, Mr. Vashee</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our Head of Corporate Development. From April 2012 to February 2015, Mr. Vashee served as our Head of Finance. Mr. Vashee holds a B.A. in Economics-Political Science from Columbia University.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320"/>
          </w:cols>
          <w:pgMar w:left="240" w:top="407" w:right="133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i w:val="1"/>
          <w:iCs w:val="1"/>
          <w:color w:val="auto"/>
        </w:rPr>
        <w:t>Bart E. Volkmer</w:t>
      </w:r>
      <w:r>
        <w:rPr>
          <w:rFonts w:ascii="Arial" w:cs="Arial" w:eastAsia="Arial" w:hAnsi="Arial"/>
          <w:sz w:val="15"/>
          <w:szCs w:val="15"/>
          <w:color w:val="auto"/>
        </w:rPr>
        <w:t>. Mr. Volkmer has served as our General Counsel since June 2016. From August 2011 to June 2016, Mr. Volkmer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Head of Litigation &amp; Regulatory. Mr. Volkmer holds a J.D. from Santa Clara University School of Law and a B.A. in English from Creighton University.</w:t>
      </w:r>
    </w:p>
    <w:p>
      <w:pPr>
        <w:spacing w:after="0" w:line="155"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i w:val="1"/>
          <w:iCs w:val="1"/>
          <w:color w:val="auto"/>
        </w:rPr>
        <w:t>Dennis M. Woodside</w:t>
      </w:r>
      <w:r>
        <w:rPr>
          <w:rFonts w:ascii="Arial" w:cs="Arial" w:eastAsia="Arial" w:hAnsi="Arial"/>
          <w:sz w:val="14"/>
          <w:szCs w:val="14"/>
          <w:color w:val="auto"/>
        </w:rPr>
        <w:t>. Mr. Woodside has served as our Chief Operating Officer since April 2014. From May 2012 to April 2014, Mr. Woodside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Non-executive directors</w:t>
      </w:r>
    </w:p>
    <w:p>
      <w:pPr>
        <w:spacing w:after="0" w:line="9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i w:val="1"/>
          <w:iCs w:val="1"/>
          <w:color w:val="auto"/>
        </w:rPr>
        <w:t xml:space="preserve">Donald W. Blair. </w:t>
      </w:r>
      <w:r>
        <w:rPr>
          <w:rFonts w:ascii="Arial" w:cs="Arial" w:eastAsia="Arial" w:hAnsi="Arial"/>
          <w:sz w:val="14"/>
          <w:szCs w:val="14"/>
          <w:color w:val="auto"/>
        </w:rPr>
        <w:t>Mr. Blair has served as a member of our Board of Directors since December 2017. From November 1999 to October 2015, Mr.</w:t>
      </w:r>
      <w:r>
        <w:rPr>
          <w:rFonts w:ascii="Arial" w:cs="Arial" w:eastAsia="Arial" w:hAnsi="Arial"/>
          <w:sz w:val="14"/>
          <w:szCs w:val="14"/>
          <w:i w:val="1"/>
          <w:iCs w:val="1"/>
          <w:color w:val="auto"/>
        </w:rPr>
        <w:t xml:space="preserve"> </w:t>
      </w:r>
      <w:r>
        <w:rPr>
          <w:rFonts w:ascii="Arial" w:cs="Arial" w:eastAsia="Arial" w:hAnsi="Arial"/>
          <w:sz w:val="14"/>
          <w:szCs w:val="14"/>
          <w:color w:val="auto"/>
        </w:rPr>
        <w:t>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w:t>
      </w:r>
    </w:p>
    <w:p>
      <w:pPr>
        <w:spacing w:after="0" w:line="14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Mr. Blair was selected to serve on our Board of Directors because of his extensive financial expertise, and business management and governance experience.</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Paul E. Jacobs, Ph.D</w:t>
      </w:r>
      <w:r>
        <w:rPr>
          <w:rFonts w:ascii="Arial" w:cs="Arial" w:eastAsia="Arial" w:hAnsi="Arial"/>
          <w:sz w:val="15"/>
          <w:szCs w:val="15"/>
          <w:color w:val="auto"/>
        </w:rPr>
        <w:t>. Dr. Jacobs has served as a member of our Board of Directors since April 2016. From March 2014 to March 2018, Dr.</w:t>
      </w:r>
      <w:r>
        <w:rPr>
          <w:rFonts w:ascii="Arial" w:cs="Arial" w:eastAsia="Arial" w:hAnsi="Arial"/>
          <w:sz w:val="15"/>
          <w:szCs w:val="15"/>
          <w:i w:val="1"/>
          <w:iCs w:val="1"/>
          <w:color w:val="auto"/>
        </w:rPr>
        <w:t xml:space="preserve"> </w:t>
      </w:r>
      <w:r>
        <w:rPr>
          <w:rFonts w:ascii="Arial" w:cs="Arial" w:eastAsia="Arial" w:hAnsi="Arial"/>
          <w:sz w:val="15"/>
          <w:szCs w:val="15"/>
          <w:color w:val="auto"/>
        </w:rPr>
        <w:t>Jacobs served as Executive Chairman for Qualcomm, a semiconductor and telecommunications equipment company. From March 2009 to March 2014, Dr. Jacobs served as Chairman of the board of directors for Qualcomm.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Dr. Jacobs was selected to serve on our Board of Directors because of his extensive business, operations, and management experience.</w:t>
      </w:r>
    </w:p>
    <w:p>
      <w:pPr>
        <w:spacing w:after="0" w:line="20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Robert J. Mylod Jr</w:t>
      </w:r>
      <w:r>
        <w:rPr>
          <w:rFonts w:ascii="Arial" w:cs="Arial" w:eastAsia="Arial" w:hAnsi="Arial"/>
          <w:sz w:val="15"/>
          <w:szCs w:val="15"/>
          <w:color w:val="auto"/>
        </w:rPr>
        <w:t>. Mr. Mylod has served as a member of our Board of Directors since September 2014. Mr. Mylod has served as 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for 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61" w:lineRule="exact"/>
        <w:rPr>
          <w:sz w:val="20"/>
          <w:szCs w:val="20"/>
          <w:color w:val="auto"/>
        </w:rPr>
      </w:pPr>
    </w:p>
    <w:p>
      <w:pPr>
        <w:jc w:val="both"/>
        <w:ind w:left="1120" w:right="40" w:firstLine="368"/>
        <w:spacing w:after="0" w:line="275" w:lineRule="auto"/>
        <w:rPr>
          <w:sz w:val="20"/>
          <w:szCs w:val="20"/>
          <w:color w:val="auto"/>
        </w:rPr>
      </w:pPr>
      <w:r>
        <w:rPr>
          <w:rFonts w:ascii="Arial" w:cs="Arial" w:eastAsia="Arial" w:hAnsi="Arial"/>
          <w:sz w:val="15"/>
          <w:szCs w:val="15"/>
          <w:color w:val="auto"/>
        </w:rPr>
        <w:t>Mr. Mylod was selected to serve on our Board of Directors because of his financial expertise and extensive business, operations, and management experience.</w:t>
      </w:r>
    </w:p>
    <w:p>
      <w:pPr>
        <w:spacing w:after="0" w:line="146" w:lineRule="exact"/>
        <w:rPr>
          <w:sz w:val="20"/>
          <w:szCs w:val="20"/>
          <w:color w:val="auto"/>
        </w:rPr>
      </w:pPr>
    </w:p>
    <w:p>
      <w:pPr>
        <w:jc w:val="both"/>
        <w:ind w:left="1120" w:right="40" w:firstLine="368"/>
        <w:spacing w:after="0" w:line="263" w:lineRule="auto"/>
        <w:rPr>
          <w:sz w:val="20"/>
          <w:szCs w:val="20"/>
          <w:color w:val="auto"/>
        </w:rPr>
      </w:pPr>
      <w:r>
        <w:rPr>
          <w:rFonts w:ascii="Arial" w:cs="Arial" w:eastAsia="Arial" w:hAnsi="Arial"/>
          <w:sz w:val="15"/>
          <w:szCs w:val="15"/>
          <w:i w:val="1"/>
          <w:iCs w:val="1"/>
          <w:color w:val="auto"/>
        </w:rPr>
        <w:t xml:space="preserve">Condoleezza Rice, Ph.D. </w:t>
      </w:r>
      <w:r>
        <w:rPr>
          <w:rFonts w:ascii="Arial" w:cs="Arial" w:eastAsia="Arial" w:hAnsi="Arial"/>
          <w:sz w:val="15"/>
          <w:szCs w:val="15"/>
          <w:color w:val="auto"/>
        </w:rPr>
        <w:t>Dr. Rice has served as a member of our Board of Directors since April 2014. Since September 2010, Dr. Rice has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the Denning Professor of Global Business and the Economy for the Stanford Graduate School of Business. Since March 2009, Dr. Rice has served as a Senior Fellow of Public</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300"/>
          </w:cols>
          <w:pgMar w:left="240" w:top="407" w:right="135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5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46"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i w:val="1"/>
          <w:iCs w:val="1"/>
          <w:color w:val="auto"/>
        </w:rPr>
        <w:t>R. Bryan Schreier</w:t>
      </w:r>
      <w:r>
        <w:rPr>
          <w:rFonts w:ascii="Arial" w:cs="Arial" w:eastAsia="Arial" w:hAnsi="Arial"/>
          <w:sz w:val="15"/>
          <w:szCs w:val="15"/>
          <w:color w:val="auto"/>
        </w:rPr>
        <w:t>. Mr. Schreier has served as a member of our Board of Directors since July 2009. Since March 2008, Mr. Schreier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a partner at Sequoia Capital, a venture capital firm. Mr. Schreier currently serves as a member of the board of directors for a number of private companies. Mr. Schreier holds a B.A. in Computer Science from Princeton University.</w:t>
      </w:r>
    </w:p>
    <w:p>
      <w:pPr>
        <w:spacing w:after="0" w:line="155"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color w:val="auto"/>
        </w:rPr>
        <w:t>Mr. Schreier was selected to serve on our Board of Directors because of his financial and managerial experience and because he represents our largest stockholder.</w:t>
      </w:r>
    </w:p>
    <w:p>
      <w:pPr>
        <w:spacing w:after="0" w:line="146" w:lineRule="exact"/>
        <w:rPr>
          <w:sz w:val="20"/>
          <w:szCs w:val="20"/>
          <w:color w:val="auto"/>
        </w:rPr>
      </w:pPr>
    </w:p>
    <w:p>
      <w:pPr>
        <w:ind w:left="1120" w:right="20" w:firstLine="368"/>
        <w:spacing w:after="0" w:line="295" w:lineRule="auto"/>
        <w:rPr>
          <w:sz w:val="20"/>
          <w:szCs w:val="20"/>
          <w:color w:val="auto"/>
        </w:rPr>
      </w:pPr>
      <w:r>
        <w:rPr>
          <w:rFonts w:ascii="Arial" w:cs="Arial" w:eastAsia="Arial" w:hAnsi="Arial"/>
          <w:sz w:val="13"/>
          <w:szCs w:val="13"/>
          <w:i w:val="1"/>
          <w:iCs w:val="1"/>
          <w:color w:val="auto"/>
        </w:rPr>
        <w:t xml:space="preserve">Margaret C. Whitman. </w:t>
      </w:r>
      <w:r>
        <w:rPr>
          <w:rFonts w:ascii="Arial" w:cs="Arial" w:eastAsia="Arial" w:hAnsi="Arial"/>
          <w:sz w:val="13"/>
          <w:szCs w:val="13"/>
          <w:color w:val="auto"/>
        </w:rPr>
        <w:t>Ms. Whitman has served as a member of our Board of Directors since September 2017. Since February 2018, Ms.</w:t>
      </w:r>
      <w:r>
        <w:rPr>
          <w:rFonts w:ascii="Arial" w:cs="Arial" w:eastAsia="Arial" w:hAnsi="Arial"/>
          <w:sz w:val="13"/>
          <w:szCs w:val="13"/>
          <w:i w:val="1"/>
          <w:iCs w:val="1"/>
          <w:color w:val="auto"/>
        </w:rPr>
        <w:t xml:space="preserve"> </w:t>
      </w:r>
      <w:r>
        <w:rPr>
          <w:rFonts w:ascii="Arial" w:cs="Arial" w:eastAsia="Arial" w:hAnsi="Arial"/>
          <w:sz w:val="13"/>
          <w:szCs w:val="13"/>
          <w:color w:val="auto"/>
        </w:rPr>
        <w:t>Whitman has served as Chief Executive Officer for NewTV, a mobile media company. From June 2017 to January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41"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Ms. Whitman was selected to serve on our Board of Directors because of her extensive leadership, strategy, risk management, and consumer industry experience.</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02"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300"/>
          </w:cols>
          <w:pgMar w:left="240" w:top="407" w:right="135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40"/>
        <w:spacing w:after="0" w:line="275" w:lineRule="auto"/>
        <w:rPr>
          <w:sz w:val="20"/>
          <w:szCs w:val="20"/>
          <w:color w:val="auto"/>
        </w:rPr>
      </w:pPr>
      <w:r>
        <w:rPr>
          <w:rFonts w:ascii="Arial" w:cs="Arial" w:eastAsia="Arial" w:hAnsi="Arial"/>
          <w:sz w:val="15"/>
          <w:szCs w:val="15"/>
          <w:color w:val="auto"/>
        </w:rPr>
        <w:t>the investor relations page on our website. We intend to disclose any amendments to our code of business conduct and ethics, or waivers of its requirements, on our website or in filings under the Exchange Act.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Board of Directors</w:t>
      </w:r>
    </w:p>
    <w:p>
      <w:pPr>
        <w:spacing w:after="0" w:line="102" w:lineRule="exact"/>
        <w:rPr>
          <w:sz w:val="20"/>
          <w:szCs w:val="20"/>
          <w:color w:val="auto"/>
        </w:rPr>
      </w:pPr>
    </w:p>
    <w:p>
      <w:pPr>
        <w:jc w:val="both"/>
        <w:ind w:left="1120" w:right="300" w:firstLine="368"/>
        <w:spacing w:after="0" w:line="263" w:lineRule="auto"/>
        <w:rPr>
          <w:sz w:val="20"/>
          <w:szCs w:val="20"/>
          <w:color w:val="auto"/>
        </w:rPr>
      </w:pPr>
      <w:r>
        <w:rPr>
          <w:rFonts w:ascii="Arial" w:cs="Arial" w:eastAsia="Arial" w:hAnsi="Arial"/>
          <w:sz w:val="15"/>
          <w:szCs w:val="15"/>
          <w:color w:val="auto"/>
        </w:rPr>
        <w:t>Our business and affairs are managed under the direction of our Board of Directors. Our Board of Directors consists of eight directors, six of whom qualify as “independent” under the listing standards of Nasdaq. Pursuant to our current certificate of incorporation and amended and restated voting agreement, our current directors were elected as follows:</w:t>
      </w:r>
    </w:p>
    <w:p>
      <w:pPr>
        <w:spacing w:after="0" w:line="76" w:lineRule="exact"/>
        <w:rPr>
          <w:sz w:val="20"/>
          <w:szCs w:val="20"/>
          <w:color w:val="auto"/>
        </w:rPr>
      </w:pPr>
    </w:p>
    <w:p>
      <w:pPr>
        <w:ind w:left="1840" w:right="40" w:hanging="276"/>
        <w:spacing w:after="0" w:line="312" w:lineRule="auto"/>
        <w:tabs>
          <w:tab w:leader="none" w:pos="18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Messrs. Ferdowsi, Houston, Blair, Jacobs, and Mylod, and Mmes. Rice and Whitman were elected as the designees nominated by holders of our common stock, excluding the common stock issued upon conversion of our convertible preferred stock; and</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Mr. Schreier was elected as the preferred stock designee nominated by entities affiliated with Sequoia Capital.</w:t>
      </w:r>
    </w:p>
    <w:p>
      <w:pPr>
        <w:spacing w:after="0" w:line="188"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Classified Board of Directors</w:t>
      </w:r>
    </w:p>
    <w:p>
      <w:pPr>
        <w:spacing w:after="0" w:line="102"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Until the outstanding shares of our Class B common stock represent less than a majority of the combined voting power of common stock, we will have a single class of directors who are each elected for one-year terms and until their successors are duly elected and qualified. When the outstanding shares of our Class B common stock represent less than a majority of the combined voting power of common stock, we will have a classified Board of Directors consisting of three classes of approximately equal size, each serving staggered three-year terms. Our directors will be assigned by the then-current Board of Directors to a class.</w:t>
      </w:r>
    </w:p>
    <w:p>
      <w:pPr>
        <w:spacing w:after="0" w:line="159"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At such times as we have a classified Board of Directors,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43"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Only our Board of Directors may fill vacancies on our board. At such times as our Board of Directors is classified, any additional directorships resulting from an increase in the number of directors will be distributed among the three classes so that, as nearly as possible, each class will consist of one-third of the total number of directors.</w:t>
      </w:r>
    </w:p>
    <w:p>
      <w:pPr>
        <w:spacing w:after="0" w:line="155" w:lineRule="exact"/>
        <w:rPr>
          <w:sz w:val="20"/>
          <w:szCs w:val="20"/>
          <w:color w:val="auto"/>
        </w:rPr>
      </w:pPr>
    </w:p>
    <w:p>
      <w:pPr>
        <w:ind w:left="1120" w:right="780" w:firstLine="368"/>
        <w:spacing w:after="0" w:line="312" w:lineRule="auto"/>
        <w:rPr>
          <w:sz w:val="20"/>
          <w:szCs w:val="20"/>
          <w:color w:val="auto"/>
        </w:rPr>
      </w:pPr>
      <w:r>
        <w:rPr>
          <w:rFonts w:ascii="Arial" w:cs="Arial" w:eastAsia="Arial" w:hAnsi="Arial"/>
          <w:sz w:val="14"/>
          <w:szCs w:val="14"/>
          <w:color w:val="auto"/>
        </w:rPr>
        <w:t>The classification of our Board of Directors may have the effect of delaying or preventing changes in our control or management. See “Description of Capital Stock—Anti-Takeover Provisions—Restated Certificate of Incorporation and Bylaw Provisions.”</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Director Independence</w:t>
      </w:r>
    </w:p>
    <w:p>
      <w:pPr>
        <w:spacing w:after="0" w:line="102"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300"/>
          </w:cols>
          <w:pgMar w:left="240" w:top="407" w:right="13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7" w:lineRule="auto"/>
        <w:rPr>
          <w:sz w:val="20"/>
          <w:szCs w:val="20"/>
          <w:color w:val="auto"/>
        </w:rPr>
      </w:pPr>
      <w:r>
        <w:rPr>
          <w:rFonts w:ascii="Arial" w:cs="Arial" w:eastAsia="Arial" w:hAnsi="Arial"/>
          <w:sz w:val="14"/>
          <w:szCs w:val="14"/>
          <w:color w:val="auto"/>
        </w:rPr>
        <w:t>has determined that Mmes. Rice and Whitman and Messrs. Blair, Jacobs, Mylod, and Schreier do not have a relationship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02"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Following the completion of this offering, our audit committee will consist of Ms. Whitman and Messrs. Blair and Mylod, with Mr. Mylod serving as Chairperson, each of whom will meet the requirements for independence under the listing standards of Nasdaq and SEC rules and regulations. Each member of our audit committee also meets the financial literacy and sophistication requirements of the listing standards of Nasdaq. In addition, our Board of Directors has determined that Ms. Whitman and Messrs. Blair and Mylod are audit committee financial experts within the meaning of Item 407(d) of Regulation S-K under the Securities Act. Following the completion of this offering, our audit committee will be responsible for, among other things:</w:t>
      </w:r>
    </w:p>
    <w:p>
      <w:pPr>
        <w:spacing w:after="0" w:line="85" w:lineRule="exact"/>
        <w:rPr>
          <w:sz w:val="20"/>
          <w:szCs w:val="20"/>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selecting a qualified firm to serve as the independent registered public accounting firm to audit our financial statements;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helping to ensure the independence and overseeing performance of the independent registered public accounting firm;</w:t>
      </w:r>
    </w:p>
    <w:p>
      <w:pPr>
        <w:spacing w:after="0" w:line="109" w:lineRule="exact"/>
        <w:rPr>
          <w:rFonts w:ascii="Arial" w:cs="Arial" w:eastAsia="Arial" w:hAnsi="Arial"/>
          <w:sz w:val="15"/>
          <w:szCs w:val="15"/>
          <w:color w:val="auto"/>
        </w:rPr>
      </w:pPr>
    </w:p>
    <w:p>
      <w:pPr>
        <w:ind w:left="1840" w:right="320" w:hanging="276"/>
        <w:spacing w:after="0" w:line="312" w:lineRule="auto"/>
        <w:tabs>
          <w:tab w:leader="none" w:pos="18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reviewing our financial statements and our critical accounting policies and estimates;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reviewing the adequacy and effectiveness of our internal controls;</w:t>
      </w:r>
    </w:p>
    <w:p>
      <w:pPr>
        <w:spacing w:after="0" w:line="109" w:lineRule="exact"/>
        <w:rPr>
          <w:rFonts w:ascii="Arial" w:cs="Arial" w:eastAsia="Arial" w:hAnsi="Arial"/>
          <w:sz w:val="15"/>
          <w:szCs w:val="15"/>
          <w:color w:val="auto"/>
        </w:rPr>
      </w:pPr>
    </w:p>
    <w:p>
      <w:pPr>
        <w:ind w:left="1840" w:right="20" w:hanging="276"/>
        <w:spacing w:after="0" w:line="275" w:lineRule="auto"/>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developing procedures for employees to submit concerns anonymously about questionable accounting, internal accounting controls, or audit matters;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overseeing our policies on risk assessment and risk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overseeing compliance with our code of business conduct and ethics;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reviewing related party transactions; and</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pre-approving all audit and all permissible non-audit services, other than de minimis non-audit services, to be performed by the independent registered public accounting firm.</w:t>
      </w:r>
    </w:p>
    <w:p>
      <w:pPr>
        <w:spacing w:after="0" w:line="146"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Following the completion of this offering, our compensation committee will consist of Ms. Rice and Messrs. Mylod and Schreier, with Ms. Rice serving as Chairperson, each of whom will meet the requirements for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300"/>
          </w:cols>
          <w:pgMar w:left="24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460"/>
        <w:spacing w:after="0" w:line="263" w:lineRule="auto"/>
        <w:rPr>
          <w:sz w:val="20"/>
          <w:szCs w:val="20"/>
          <w:color w:val="auto"/>
        </w:rPr>
      </w:pPr>
      <w:r>
        <w:rPr>
          <w:rFonts w:ascii="Arial" w:cs="Arial" w:eastAsia="Arial" w:hAnsi="Arial"/>
          <w:sz w:val="15"/>
          <w:szCs w:val="15"/>
          <w:color w:val="auto"/>
        </w:rPr>
        <w:t>independence under the listing standards of Nasdaq and SEC rules and regulations. Each member of our compensation committee will also be a non-employee director, as defined pursuant to Rule 16b-3 promulgated under the Exchange Act, or Rule 16b-3. Following the completion of this offering, our compensation committee will be responsible for, among other things:</w:t>
      </w:r>
    </w:p>
    <w:p>
      <w:pPr>
        <w:spacing w:after="0" w:line="76" w:lineRule="exact"/>
        <w:rPr>
          <w:sz w:val="20"/>
          <w:szCs w:val="20"/>
          <w:color w:val="auto"/>
        </w:rPr>
      </w:pPr>
    </w:p>
    <w:p>
      <w:pPr>
        <w:ind w:left="1840" w:hanging="276"/>
        <w:spacing w:after="0" w:line="275" w:lineRule="auto"/>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approving, and determining, or making recommendations to our Board of Directors regarding, the compensation of our executive officers, including our CEO;</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administering our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approving, and administering incentive compensation and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and approving our overall compensation philosophy;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making recommendations regarding non-employee director compensation to our full Board of Directors.</w:t>
      </w:r>
    </w:p>
    <w:p>
      <w:pPr>
        <w:spacing w:after="0" w:line="18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9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Following the completion of this offering, our nominating and corporate governance committee will consist of Ms. Whitman and Mr. Jacobs, with Ms. Whitman serving as Chairperson, each of whom will meet the requirements for independence under the listing standards of Nasdaq and SEC rules and regulations. Following the completion of this offering, our nominating and corporate governance committee will be responsible for, among other things:</w:t>
      </w:r>
    </w:p>
    <w:p>
      <w:pPr>
        <w:spacing w:after="0" w:line="79" w:lineRule="exact"/>
        <w:rPr>
          <w:sz w:val="20"/>
          <w:szCs w:val="20"/>
          <w:color w:val="auto"/>
        </w:rPr>
      </w:pPr>
    </w:p>
    <w:p>
      <w:pPr>
        <w:ind w:left="1840" w:right="80" w:hanging="276"/>
        <w:spacing w:after="0" w:line="275" w:lineRule="auto"/>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identifying, evaluating, and selecting, or making recommendations to our Board of Directors regarding, nominees for election to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overseeing the evaluation the performance of our Board of Directors and of individual directors;</w:t>
      </w:r>
    </w:p>
    <w:p>
      <w:pPr>
        <w:spacing w:after="0" w:line="109"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of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overseeing our corporate governance practices;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contributing to succession planning;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 this offering, that satisfies the applicable listing standards of Nasdaq.</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02" w:lineRule="exact"/>
        <w:rPr>
          <w:sz w:val="20"/>
          <w:szCs w:val="20"/>
          <w:color w:val="auto"/>
        </w:rPr>
      </w:pPr>
    </w:p>
    <w:p>
      <w:pPr>
        <w:ind w:left="1120" w:right="40" w:firstLine="368"/>
        <w:spacing w:after="0" w:line="322" w:lineRule="auto"/>
        <w:rPr>
          <w:sz w:val="20"/>
          <w:szCs w:val="20"/>
          <w:color w:val="auto"/>
        </w:rPr>
      </w:pPr>
      <w:r>
        <w:rPr>
          <w:rFonts w:ascii="Arial" w:cs="Arial" w:eastAsia="Arial" w:hAnsi="Arial"/>
          <w:sz w:val="13"/>
          <w:szCs w:val="13"/>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Non-Employee Director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employee directors, Messrs. Houston and Ferdowsi, have not received any compensation as directors.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80"/>
          </w:cols>
          <w:pgMar w:left="240" w:top="407" w:right="137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The following table provides information regarding compensation of our non-employee directors for service as directors, for the year ended December 31, 2017. In 2017, we did not pay any compensation to any person who served as a non-employee member of our Board of Directors who is affiliated with our greater than 5% stockholders.</w:t>
      </w:r>
    </w:p>
    <w:p>
      <w:pPr>
        <w:spacing w:after="0" w:line="154"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12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Stock</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2980" w:type="dxa"/>
            <w:vAlign w:val="bottom"/>
            <w:gridSpan w:val="3"/>
          </w:tcPr>
          <w:p>
            <w:pPr>
              <w:jc w:val="right"/>
              <w:ind w:right="400"/>
              <w:spacing w:after="0"/>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000000"/>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2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19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Condoleezza Rice</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r>
              <w:rPr>
                <w:rFonts w:ascii="Arial" w:cs="Arial" w:eastAsia="Arial" w:hAnsi="Arial"/>
                <w:sz w:val="12"/>
                <w:szCs w:val="12"/>
                <w:color w:val="auto"/>
              </w:rPr>
              <w:t>(3)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908,800</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908,800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96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62865</wp:posOffset>
            </wp:positionV>
            <wp:extent cx="58039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16" w:lineRule="exact"/>
        <w:rPr>
          <w:sz w:val="20"/>
          <w:szCs w:val="20"/>
          <w:color w:val="auto"/>
        </w:rPr>
      </w:pPr>
    </w:p>
    <w:p>
      <w:pPr>
        <w:ind w:left="1380" w:right="60" w:hanging="268"/>
        <w:spacing w:after="0" w:line="222"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3"/>
          <w:szCs w:val="13"/>
          <w:color w:val="auto"/>
        </w:rPr>
        <w:t>The amounts reported represent the aggregate grant-date fair value of the RSUs awarded to the director in 2017,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ind w:left="1380" w:hanging="268"/>
        <w:spacing w:after="0" w:line="185" w:lineRule="auto"/>
        <w:tabs>
          <w:tab w:leader="none" w:pos="1380" w:val="left"/>
        </w:tabs>
        <w:numPr>
          <w:ilvl w:val="0"/>
          <w:numId w:val="59"/>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59"/>
        </w:numPr>
        <w:rPr>
          <w:rFonts w:ascii="Arial" w:cs="Arial" w:eastAsia="Arial" w:hAnsi="Arial"/>
          <w:sz w:val="18"/>
          <w:szCs w:val="18"/>
          <w:color w:val="auto"/>
          <w:vertAlign w:val="superscript"/>
        </w:rPr>
      </w:pPr>
      <w:r>
        <w:rPr>
          <w:rFonts w:ascii="Arial" w:cs="Arial" w:eastAsia="Arial" w:hAnsi="Arial"/>
          <w:sz w:val="11"/>
          <w:szCs w:val="11"/>
          <w:color w:val="auto"/>
        </w:rPr>
        <w:t>Ms. Whitman became a member of our Board of Directors in September 2017.</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lists all outstanding equity awards held by non-employee directors as of December 31, 2017:</w:t>
      </w:r>
    </w:p>
    <w:p>
      <w:pPr>
        <w:spacing w:after="0" w:line="188"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540" w:type="dxa"/>
            <w:vAlign w:val="bottom"/>
            <w:vMerge w:val="restart"/>
          </w:tcPr>
          <w:p>
            <w:pPr>
              <w:spacing w:after="0"/>
              <w:rPr>
                <w:sz w:val="12"/>
                <w:szCs w:val="12"/>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8"/>
              </w:rPr>
              <w:t>Date of</w:t>
            </w:r>
          </w:p>
        </w:tc>
        <w:tc>
          <w:tcPr>
            <w:tcW w:w="20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Number of shares underlying</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354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4"/>
              </w:rPr>
              <w:t>unvested stock awards</w:t>
            </w:r>
            <w:r>
              <w:rPr>
                <w:rFonts w:ascii="Arial" w:cs="Arial" w:eastAsia="Arial" w:hAnsi="Arial"/>
                <w:sz w:val="10"/>
                <w:szCs w:val="10"/>
                <w:b w:val="1"/>
                <w:bCs w:val="1"/>
                <w:color w:val="auto"/>
                <w:w w:val="94"/>
              </w:rPr>
              <w:t>(1)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(3)</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26,667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w w:val="98"/>
              </w:rPr>
              <w:t>10/27/14</w:t>
            </w:r>
            <w:r>
              <w:rPr>
                <w:rFonts w:ascii="Arial" w:cs="Arial" w:eastAsia="Arial" w:hAnsi="Arial"/>
                <w:sz w:val="12"/>
                <w:szCs w:val="12"/>
                <w:color w:val="auto"/>
                <w:w w:val="98"/>
              </w:rPr>
              <w:t>(4)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(5)</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Condoleezza Rice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7/29/14</w:t>
            </w:r>
            <w:r>
              <w:rPr>
                <w:rFonts w:ascii="Arial" w:cs="Arial" w:eastAsia="Arial" w:hAnsi="Arial"/>
                <w:sz w:val="12"/>
                <w:szCs w:val="12"/>
                <w:color w:val="auto"/>
              </w:rPr>
              <w:t>(6)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(7)</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(8)</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53,333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16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65405</wp:posOffset>
            </wp:positionV>
            <wp:extent cx="58039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0" w:lineRule="exact"/>
        <w:rPr>
          <w:sz w:val="20"/>
          <w:szCs w:val="20"/>
          <w:color w:val="auto"/>
        </w:rPr>
      </w:pPr>
    </w:p>
    <w:p>
      <w:pPr>
        <w:ind w:left="1380" w:right="60" w:hanging="268"/>
        <w:spacing w:after="0" w:line="224" w:lineRule="auto"/>
        <w:tabs>
          <w:tab w:leader="none" w:pos="138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such that it will occur upon the effectiveness of our registration statement of which this prospectus forms a part.</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right="460" w:hanging="268"/>
        <w:spacing w:after="0" w:line="236" w:lineRule="auto"/>
        <w:tabs>
          <w:tab w:leader="none" w:pos="1380" w:val="left"/>
        </w:tabs>
        <w:numPr>
          <w:ilvl w:val="0"/>
          <w:numId w:val="60"/>
        </w:numPr>
        <w:rPr>
          <w:rFonts w:ascii="Arial" w:cs="Arial" w:eastAsia="Arial" w:hAnsi="Arial"/>
          <w:sz w:val="20"/>
          <w:szCs w:val="20"/>
          <w:color w:val="auto"/>
          <w:vertAlign w:val="superscript"/>
        </w:rPr>
      </w:pPr>
      <w:r>
        <w:rPr>
          <w:rFonts w:ascii="Arial" w:cs="Arial" w:eastAsia="Arial" w:hAnsi="Arial"/>
          <w:sz w:val="12"/>
          <w:szCs w:val="12"/>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1" w:lineRule="exact"/>
        <w:rPr>
          <w:rFonts w:ascii="Arial" w:cs="Arial" w:eastAsia="Arial" w:hAnsi="Arial"/>
          <w:sz w:val="20"/>
          <w:szCs w:val="20"/>
          <w:color w:val="auto"/>
          <w:vertAlign w:val="superscript"/>
        </w:rPr>
      </w:pPr>
    </w:p>
    <w:p>
      <w:pPr>
        <w:ind w:left="1380" w:right="400" w:hanging="268"/>
        <w:spacing w:after="0" w:line="190" w:lineRule="auto"/>
        <w:tabs>
          <w:tab w:leader="none" w:pos="138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September 1,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right="20" w:hanging="268"/>
        <w:spacing w:after="0" w:line="220" w:lineRule="auto"/>
        <w:tabs>
          <w:tab w:leader="none" w:pos="1380" w:val="left"/>
        </w:tabs>
        <w:numPr>
          <w:ilvl w:val="0"/>
          <w:numId w:val="60"/>
        </w:numPr>
        <w:rPr>
          <w:rFonts w:ascii="Arial" w:cs="Arial" w:eastAsia="Arial" w:hAnsi="Arial"/>
          <w:sz w:val="20"/>
          <w:szCs w:val="20"/>
          <w:color w:val="auto"/>
          <w:vertAlign w:val="superscript"/>
        </w:rPr>
      </w:pPr>
      <w:r>
        <w:rPr>
          <w:rFonts w:ascii="Arial" w:cs="Arial" w:eastAsia="Arial" w:hAnsi="Arial"/>
          <w:sz w:val="12"/>
          <w:szCs w:val="12"/>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spacing w:after="0" w:line="1" w:lineRule="exact"/>
        <w:rPr>
          <w:rFonts w:ascii="Arial" w:cs="Arial" w:eastAsia="Arial" w:hAnsi="Arial"/>
          <w:sz w:val="20"/>
          <w:szCs w:val="20"/>
          <w:color w:val="auto"/>
          <w:vertAlign w:val="superscript"/>
        </w:rPr>
      </w:pPr>
    </w:p>
    <w:p>
      <w:pPr>
        <w:ind w:left="1380" w:right="100" w:hanging="268"/>
        <w:spacing w:after="0" w:line="190" w:lineRule="auto"/>
        <w:tabs>
          <w:tab w:leader="none" w:pos="138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May 15,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100% of the shares of our Class B common stock underlying the RSUs vest on May 15, 2018, subject to continued service through such vesting date.</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Ms. Whitman became a member of our Board of Directors in September 2017. 50% of the shares of our Class A common stock underlying the RSUs vest on each of August 15, 2018 and August 15, 2019, subject to continued service through each such vesting date.</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300"/>
          </w:cols>
          <w:pgMar w:left="240" w:top="407" w:right="135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approved new awards of RSUs with a value of $300,000 to the non-employee directors listed below on the terms set forth below. In determining the size and terms of these awards, our Board of Directors considered such factors as it determined appropriate, including, the vested status of each of these non-employee director’s current company equity awards, the compensation level of directors at comparable companies, the expected timing of the issuance of future equity awards to them under the director compensation policy described below, and the past and expected future contributions of these directors to our company.</w:t>
      </w:r>
    </w:p>
    <w:p>
      <w:pPr>
        <w:spacing w:after="0" w:line="80" w:lineRule="exact"/>
        <w:rPr>
          <w:sz w:val="20"/>
          <w:szCs w:val="20"/>
          <w:color w:val="auto"/>
        </w:rPr>
      </w:pPr>
    </w:p>
    <w:p>
      <w:pPr>
        <w:ind w:left="1840" w:right="60" w:hanging="276"/>
        <w:spacing w:after="0" w:line="277" w:lineRule="auto"/>
        <w:tabs>
          <w:tab w:leader="none" w:pos="1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Rice and Messrs. Jacobs, Mylod, and Schreier: an award of RSUs with a value of $300,000 that vests on May 15, 2019 or the next annual meeting of our stockholders, if earlier, subject to the director’s continued service with us. The award will be subject to vesting acceleration on a “change in control”, as set forth in our director compensation policy described below. The award will be effective as of immediately prior to the effectiveness of our registration statement related to this offering, subject to their approval by our stockholders and the director’s continued service with us. The number of RSUs subject to the award shall equal $300,000 divided by the per share price of Class A common stock listed on the cover of the registration statement related to this offering.</w:t>
      </w:r>
    </w:p>
    <w:p>
      <w:pPr>
        <w:spacing w:after="0" w:line="69" w:lineRule="exact"/>
        <w:rPr>
          <w:rFonts w:ascii="Arial" w:cs="Arial" w:eastAsia="Arial" w:hAnsi="Arial"/>
          <w:sz w:val="14"/>
          <w:szCs w:val="14"/>
          <w:color w:val="auto"/>
        </w:rPr>
      </w:pPr>
    </w:p>
    <w:p>
      <w:pPr>
        <w:ind w:left="1840" w:right="360" w:hanging="276"/>
        <w:spacing w:after="0" w:line="290" w:lineRule="auto"/>
        <w:tabs>
          <w:tab w:leader="none" w:pos="1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Blair: an award of 53,333 RSUs that vests in two equal installments on November 15, 2018 and November 15, 2019, subject to his continued service with us. The award will be subject to vesting acceleration on a “change in control”, as set forth in our director compensation policy described below. This award was provided to Mr. Blair as part of his recruitment to join our Board of Directors.</w:t>
      </w:r>
    </w:p>
    <w:p>
      <w:pPr>
        <w:spacing w:after="0" w:line="138"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In February 2018, our Board of Directors adopted a new compensation policy for our non-employee directors that will be effective as of the date of the effectiveness of the registration statement related to this offering. This policy was developed, with input from our independent compensation consultant firm, Compensia, Inc., regarding practices and compensation level at comparable companies. It is designed to attract, retain, and reward non-employee directors.</w:t>
      </w:r>
    </w:p>
    <w:p>
      <w:pPr>
        <w:spacing w:after="0" w:line="148" w:lineRule="exact"/>
        <w:rPr>
          <w:sz w:val="20"/>
          <w:szCs w:val="20"/>
          <w:color w:val="auto"/>
        </w:rPr>
      </w:pPr>
    </w:p>
    <w:p>
      <w:pPr>
        <w:ind w:left="1120" w:right="120" w:firstLine="368"/>
        <w:spacing w:after="0" w:line="354" w:lineRule="auto"/>
        <w:rPr>
          <w:sz w:val="20"/>
          <w:szCs w:val="20"/>
          <w:color w:val="auto"/>
        </w:rPr>
      </w:pPr>
      <w:r>
        <w:rPr>
          <w:rFonts w:ascii="Arial" w:cs="Arial" w:eastAsia="Arial" w:hAnsi="Arial"/>
          <w:sz w:val="13"/>
          <w:szCs w:val="13"/>
          <w:color w:val="auto"/>
        </w:rPr>
        <w:t>Under this director compensation policy, each non-employee director will receive the cash and equity compensation for board services described below. We also will continue to reimburse our non-employee directors for reasonable, customary, and documented travel expenses to board meetings.</w:t>
      </w:r>
    </w:p>
    <w:p>
      <w:pPr>
        <w:spacing w:after="0" w:line="100"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The director compensation policy includes a maximum annual limit of $1,200,000 of cash compensation and equity awards that may be paid, issued, or granted to a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Following the completion of this offering, non-employee directors will be entitled to receive the following cash compensation for their services:</w:t>
      </w:r>
    </w:p>
    <w:p>
      <w:pPr>
        <w:spacing w:after="0" w:line="121" w:lineRule="exact"/>
        <w:rPr>
          <w:sz w:val="20"/>
          <w:szCs w:val="20"/>
          <w:color w:val="auto"/>
        </w:rPr>
      </w:pPr>
    </w:p>
    <w:p>
      <w:pPr>
        <w:ind w:left="1840" w:hanging="276"/>
        <w:spacing w:after="0"/>
        <w:tabs>
          <w:tab w:leader="none" w:pos="18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$50,000 per year for service as a board member;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$20,000 per year for service as a lead independent director;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$25,000 per year for service as chair of the audit committee;</w:t>
      </w:r>
    </w:p>
    <w:p>
      <w:pPr>
        <w:spacing w:after="0" w:line="109" w:lineRule="exact"/>
        <w:rPr>
          <w:rFonts w:ascii="Arial" w:cs="Arial" w:eastAsia="Arial" w:hAnsi="Arial"/>
          <w:sz w:val="15"/>
          <w:szCs w:val="15"/>
          <w:color w:val="auto"/>
        </w:rPr>
      </w:pPr>
    </w:p>
    <w:p>
      <w:pPr>
        <w:ind w:left="5600" w:right="4480" w:hanging="4036"/>
        <w:spacing w:after="0" w:line="553" w:lineRule="auto"/>
        <w:tabs>
          <w:tab w:leader="none" w:pos="1833" w:val="left"/>
        </w:tabs>
        <w:numPr>
          <w:ilvl w:val="0"/>
          <w:numId w:val="62"/>
        </w:numPr>
        <w:rPr>
          <w:rFonts w:ascii="Arial" w:cs="Arial" w:eastAsia="Arial" w:hAnsi="Arial"/>
          <w:sz w:val="13"/>
          <w:szCs w:val="13"/>
          <w:color w:val="auto"/>
        </w:rPr>
      </w:pPr>
      <w:r>
        <w:rPr>
          <w:rFonts w:ascii="Arial" w:cs="Arial" w:eastAsia="Arial" w:hAnsi="Arial"/>
          <w:sz w:val="13"/>
          <w:szCs w:val="13"/>
          <w:color w:val="auto"/>
        </w:rPr>
        <w:t>$12,500 per year for service as a member of the audit committee; 144</w:t>
      </w:r>
    </w:p>
    <w:p>
      <w:pPr>
        <w:sectPr>
          <w:pgSz w:w="11900" w:h="16838" w:orient="portrait"/>
          <w:cols w:equalWidth="0" w:num="1">
            <w:col w:w="10300"/>
          </w:cols>
          <w:pgMar w:left="240" w:top="407" w:right="135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$20,000 per year for service as chair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$10,000 per year for service as a member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$10,000 per year for service as chair of the nominating and governance committee;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$5,000 per year for service as a member of the nominating and governance committee.</w:t>
      </w:r>
    </w:p>
    <w:p>
      <w:pPr>
        <w:spacing w:after="0" w:line="188"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Each non-employee director who serves as the chair of a committee will receive both the additional annual fee as the chair of the committee and the additional annual fee as a member of the committee. All cash payments to non-employee directors are paid quarterly in arrears on a prorated basis.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Initial Award. </w:t>
      </w:r>
      <w:r>
        <w:rPr>
          <w:rFonts w:ascii="Arial" w:cs="Arial" w:eastAsia="Arial" w:hAnsi="Arial"/>
          <w:sz w:val="14"/>
          <w:szCs w:val="14"/>
          <w:color w:val="auto"/>
        </w:rPr>
        <w:t>Each person who first becomes a non-employee director will receive, on the first trading date on or after the date on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person first becomes an non-employee director, an initial award of RSUs, or the Initial Award, covering a number of shares of our Class A common stock having a grant date fair value (determined in accordance with GAAP) equal to $300,000 multiplied by the fraction obtained by dividing (1) the number of full months during the period beginning on the date the person first becomes a non-employee director and ending on the one-year anniversary of the date of the then-most recent annual meeting of the company’s stockholders, or the Initial Award Vesting Period by (2) 12, rounded to the nearest whole share. The Initial Award will vest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 If the person was a member of the Board of Directors and also an employee, becoming a non-employee director due to termination of employment will not entitle the non-employee director to an Initial Award.</w:t>
      </w:r>
    </w:p>
    <w:p>
      <w:pPr>
        <w:spacing w:after="0" w:line="15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 xml:space="preserve">Annual Award. </w:t>
      </w:r>
      <w:r>
        <w:rPr>
          <w:rFonts w:ascii="Arial" w:cs="Arial" w:eastAsia="Arial" w:hAnsi="Arial"/>
          <w:sz w:val="15"/>
          <w:szCs w:val="15"/>
          <w:color w:val="auto"/>
        </w:rPr>
        <w:t>Each non-employee director automatically will receive, on the date of each annual meeting of the Company’s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effective date of the policy, an annual award of RSUs, each of which we refer to as an Annual Award, covering a number of shares of our Class A common stock having a grant date fair value (determined in accordance with GAAP) of $300,000, rounded to the nearest whole share. 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In the event of a “change in control” (as defined in our 2018 Plan), each non-employee director will fully vest in his or her outstanding company equity awards, including any Initial Award or Annual Award, provided that the non-employee director continues to be a non-employee director through such date.</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300"/>
          </w:cols>
          <w:pgMar w:left="240" w:top="407" w:right="135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EXECUTIVE COMPENSATION</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Summary Compensation Table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Our named executive officers, consisting of our principal executive officer and the next two most highly compensated executive officers, as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December 31, 2017, were:</w:t>
      </w:r>
    </w:p>
    <w:p>
      <w:pPr>
        <w:spacing w:after="0" w:line="100" w:lineRule="exact"/>
        <w:rPr>
          <w:sz w:val="20"/>
          <w:szCs w:val="20"/>
          <w:color w:val="auto"/>
        </w:rPr>
      </w:pPr>
    </w:p>
    <w:p>
      <w:pPr>
        <w:ind w:left="1840" w:hanging="276"/>
        <w:spacing w:after="0"/>
        <w:tabs>
          <w:tab w:leader="none" w:pos="18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Andrew W. Houston, our Chief Executive Officer and co-founder;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Arash Ferdowsi, our co-founder;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Quentin J. Clark, our Senior Vice President of Engineering, Product, and Design.</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amounts below represent the compensation paid to our named executive officers for 2017.</w:t>
      </w:r>
    </w:p>
    <w:p>
      <w:pPr>
        <w:spacing w:after="0" w:line="275"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2017 Summary Compensation Table</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6"/>
              </w:rPr>
              <w:t>Non-equity</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3"/>
              </w:rPr>
              <w:t>incentive</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8"/>
              </w:rPr>
              <w:t>plan</w:t>
            </w:r>
          </w:p>
        </w:tc>
        <w:tc>
          <w:tcPr>
            <w:tcW w:w="140" w:type="dxa"/>
            <w:vAlign w:val="bottom"/>
          </w:tcPr>
          <w:p>
            <w:pPr>
              <w:spacing w:after="0"/>
              <w:rPr>
                <w:sz w:val="9"/>
                <w:szCs w:val="9"/>
                <w:color w:val="auto"/>
              </w:rPr>
            </w:pPr>
          </w:p>
        </w:tc>
        <w:tc>
          <w:tcPr>
            <w:tcW w:w="74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89"/>
              </w:rPr>
              <w:t>All other</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334"/>
              <w:spacing w:after="0" w:line="113" w:lineRule="exact"/>
              <w:rPr>
                <w:sz w:val="20"/>
                <w:szCs w:val="20"/>
                <w:color w:val="auto"/>
              </w:rPr>
            </w:pPr>
            <w:r>
              <w:rPr>
                <w:rFonts w:ascii="Arial" w:cs="Arial" w:eastAsia="Arial" w:hAnsi="Arial"/>
                <w:sz w:val="11"/>
                <w:szCs w:val="11"/>
                <w:b w:val="1"/>
                <w:bCs w:val="1"/>
                <w:color w:val="auto"/>
              </w:rPr>
              <w:t>Stock</w:t>
            </w:r>
          </w:p>
        </w:tc>
        <w:tc>
          <w:tcPr>
            <w:tcW w:w="680" w:type="dxa"/>
            <w:vAlign w:val="bottom"/>
            <w:gridSpan w:val="2"/>
          </w:tcPr>
          <w:p>
            <w:pPr>
              <w:jc w:val="center"/>
              <w:ind w:left="4"/>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880" w:type="dxa"/>
            <w:vAlign w:val="bottom"/>
            <w:gridSpan w:val="3"/>
          </w:tcPr>
          <w:p>
            <w:pPr>
              <w:jc w:val="center"/>
              <w:ind w:right="20"/>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gridSpan w:val="3"/>
          </w:tcPr>
          <w:p>
            <w:pPr>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12"/>
                <w:szCs w:val="12"/>
                <w:color w:val="auto"/>
              </w:rPr>
            </w:pP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b w:val="1"/>
                <w:bCs w:val="1"/>
                <w:u w:val="single" w:color="auto"/>
                <w:color w:val="auto"/>
                <w:w w:val="85"/>
              </w:rPr>
              <w:t>Salary($</w:t>
            </w:r>
            <w:r>
              <w:rPr>
                <w:rFonts w:ascii="Arial" w:cs="Arial" w:eastAsia="Arial" w:hAnsi="Arial"/>
                <w:sz w:val="11"/>
                <w:szCs w:val="11"/>
                <w:b w:val="1"/>
                <w:bCs w:val="1"/>
                <w:color w:val="auto"/>
                <w:w w:val="85"/>
              </w:rPr>
              <w:t>)</w:t>
            </w:r>
          </w:p>
        </w:tc>
        <w:tc>
          <w:tcPr>
            <w:tcW w:w="62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Bonus($</w:t>
            </w:r>
            <w:r>
              <w:rPr>
                <w:rFonts w:ascii="Arial" w:cs="Arial" w:eastAsia="Arial" w:hAnsi="Arial"/>
                <w:sz w:val="11"/>
                <w:szCs w:val="11"/>
                <w:b w:val="1"/>
                <w:bCs w:val="1"/>
                <w:color w:val="auto"/>
              </w:rPr>
              <w:t>)</w:t>
            </w:r>
          </w:p>
        </w:tc>
        <w:tc>
          <w:tcPr>
            <w:tcW w:w="820" w:type="dxa"/>
            <w:vAlign w:val="bottom"/>
            <w:gridSpan w:val="2"/>
          </w:tcPr>
          <w:p>
            <w:pPr>
              <w:jc w:val="right"/>
              <w:ind w:right="234"/>
              <w:spacing w:after="0"/>
              <w:rPr>
                <w:sz w:val="20"/>
                <w:szCs w:val="20"/>
                <w:color w:val="auto"/>
              </w:rPr>
            </w:pPr>
            <w:r>
              <w:rPr>
                <w:rFonts w:ascii="Arial" w:cs="Arial" w:eastAsia="Arial" w:hAnsi="Arial"/>
                <w:sz w:val="11"/>
                <w:szCs w:val="11"/>
                <w:b w:val="1"/>
                <w:bCs w:val="1"/>
                <w:color w:val="auto"/>
              </w:rPr>
              <w:t>awards($)</w:t>
            </w:r>
          </w:p>
        </w:tc>
        <w:tc>
          <w:tcPr>
            <w:tcW w:w="68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w w:val="94"/>
              </w:rPr>
              <w:t>($)</w:t>
            </w:r>
            <w:r>
              <w:rPr>
                <w:rFonts w:ascii="Arial" w:cs="Arial" w:eastAsia="Arial" w:hAnsi="Arial"/>
                <w:sz w:val="8"/>
                <w:szCs w:val="8"/>
                <w:b w:val="1"/>
                <w:bCs w:val="1"/>
                <w:color w:val="auto"/>
                <w:w w:val="94"/>
              </w:rPr>
              <w:t>(1)</w:t>
            </w:r>
          </w:p>
        </w:tc>
        <w:tc>
          <w:tcPr>
            <w:tcW w:w="760" w:type="dxa"/>
            <w:vAlign w:val="bottom"/>
            <w:gridSpan w:val="2"/>
          </w:tcPr>
          <w:p>
            <w:pPr>
              <w:jc w:val="center"/>
              <w:ind w:left="44"/>
              <w:spacing w:after="0"/>
              <w:rPr>
                <w:sz w:val="20"/>
                <w:szCs w:val="20"/>
                <w:color w:val="auto"/>
              </w:rPr>
            </w:pPr>
            <w:r>
              <w:rPr>
                <w:rFonts w:ascii="Arial" w:cs="Arial" w:eastAsia="Arial" w:hAnsi="Arial"/>
                <w:sz w:val="11"/>
                <w:szCs w:val="11"/>
                <w:b w:val="1"/>
                <w:bCs w:val="1"/>
                <w:color w:val="auto"/>
                <w:w w:val="94"/>
              </w:rPr>
              <w:t>($)</w:t>
            </w:r>
            <w:r>
              <w:rPr>
                <w:rFonts w:ascii="Arial" w:cs="Arial" w:eastAsia="Arial" w:hAnsi="Arial"/>
                <w:sz w:val="8"/>
                <w:szCs w:val="8"/>
                <w:b w:val="1"/>
                <w:bCs w:val="1"/>
                <w:color w:val="auto"/>
                <w:w w:val="94"/>
              </w:rPr>
              <w:t>(6)</w:t>
            </w:r>
          </w:p>
        </w:tc>
        <w:tc>
          <w:tcPr>
            <w:tcW w:w="12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line="80" w:lineRule="exact"/>
              <w:rPr>
                <w:sz w:val="20"/>
                <w:szCs w:val="20"/>
                <w:color w:val="auto"/>
              </w:rPr>
            </w:pPr>
            <w:r>
              <w:rPr>
                <w:rFonts w:ascii="Arial" w:cs="Arial" w:eastAsia="Arial" w:hAnsi="Arial"/>
                <w:sz w:val="9"/>
                <w:szCs w:val="9"/>
                <w:color w:val="auto"/>
              </w:rPr>
              <w:t>Andrew W. Houston</w:t>
            </w:r>
          </w:p>
        </w:tc>
        <w:tc>
          <w:tcPr>
            <w:tcW w:w="3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ind w:left="20"/>
              <w:spacing w:after="0" w:line="80" w:lineRule="exact"/>
              <w:rPr>
                <w:sz w:val="20"/>
                <w:szCs w:val="20"/>
                <w:color w:val="auto"/>
              </w:rPr>
            </w:pPr>
            <w:r>
              <w:rPr>
                <w:rFonts w:ascii="Arial" w:cs="Arial" w:eastAsia="Arial" w:hAnsi="Arial"/>
                <w:sz w:val="9"/>
                <w:szCs w:val="9"/>
                <w:color w:val="auto"/>
              </w:rPr>
              <w:t>2017</w:t>
            </w: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400,000</w:t>
            </w: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ind w:left="240"/>
              <w:spacing w:after="0" w:line="80"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109,569,500</w:t>
            </w:r>
          </w:p>
        </w:tc>
        <w:tc>
          <w:tcPr>
            <w:tcW w:w="180" w:type="dxa"/>
            <w:vAlign w:val="bottom"/>
            <w:tcBorders>
              <w:top w:val="single" w:sz="8" w:color="CCEEFF"/>
            </w:tcBorders>
            <w:shd w:val="clear" w:color="auto" w:fill="CCEEFF"/>
          </w:tcPr>
          <w:p>
            <w:pPr>
              <w:jc w:val="right"/>
              <w:ind w:right="14"/>
              <w:spacing w:after="0" w:line="80" w:lineRule="exact"/>
              <w:rPr>
                <w:sz w:val="20"/>
                <w:szCs w:val="20"/>
                <w:color w:val="auto"/>
              </w:rPr>
            </w:pPr>
            <w:r>
              <w:rPr>
                <w:rFonts w:ascii="Arial" w:cs="Arial" w:eastAsia="Arial" w:hAnsi="Arial"/>
                <w:sz w:val="9"/>
                <w:szCs w:val="9"/>
                <w:color w:val="auto"/>
                <w:w w:val="90"/>
              </w:rPr>
              <w:t>(2)</w:t>
            </w: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260,000</w:t>
            </w: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3,000</w:t>
            </w:r>
          </w:p>
        </w:tc>
        <w:tc>
          <w:tcPr>
            <w:tcW w:w="1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110,232,500</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Chief Executive Officer and Co-Founder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540" w:type="dxa"/>
            <w:vAlign w:val="bottom"/>
            <w:gridSpan w:val="3"/>
          </w:tcPr>
          <w:p>
            <w:pPr>
              <w:spacing w:after="0"/>
              <w:rPr>
                <w:sz w:val="20"/>
                <w:szCs w:val="20"/>
                <w:color w:val="auto"/>
              </w:rPr>
            </w:pPr>
            <w:r>
              <w:rPr>
                <w:rFonts w:ascii="Arial" w:cs="Arial" w:eastAsia="Arial" w:hAnsi="Arial"/>
                <w:sz w:val="12"/>
                <w:szCs w:val="12"/>
                <w:color w:val="auto"/>
              </w:rPr>
              <w:t>Arash Ferdowsi</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400,000</w:t>
            </w:r>
          </w:p>
        </w:tc>
        <w:tc>
          <w:tcPr>
            <w:tcW w:w="8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
              <w:spacing w:after="0"/>
              <w:rPr>
                <w:sz w:val="20"/>
                <w:szCs w:val="20"/>
                <w:color w:val="auto"/>
              </w:rPr>
            </w:pPr>
            <w:r>
              <w:rPr>
                <w:rFonts w:ascii="Arial" w:cs="Arial" w:eastAsia="Arial" w:hAnsi="Arial"/>
                <w:sz w:val="12"/>
                <w:szCs w:val="12"/>
                <w:color w:val="auto"/>
              </w:rPr>
              <w:t>46,655,400</w:t>
            </w:r>
            <w:r>
              <w:rPr>
                <w:rFonts w:ascii="Arial" w:cs="Arial" w:eastAsia="Arial" w:hAnsi="Arial"/>
                <w:sz w:val="10"/>
                <w:szCs w:val="10"/>
                <w:color w:val="auto"/>
              </w:rPr>
              <w:t>(2)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47,318,400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gridSpan w:val="2"/>
          </w:tcPr>
          <w:p>
            <w:pPr>
              <w:ind w:left="100"/>
              <w:spacing w:after="0"/>
              <w:rPr>
                <w:sz w:val="20"/>
                <w:szCs w:val="20"/>
                <w:color w:val="auto"/>
              </w:rPr>
            </w:pPr>
            <w:r>
              <w:rPr>
                <w:rFonts w:ascii="Arial" w:cs="Arial" w:eastAsia="Arial" w:hAnsi="Arial"/>
                <w:sz w:val="12"/>
                <w:szCs w:val="12"/>
                <w:i w:val="1"/>
                <w:iCs w:val="1"/>
                <w:color w:val="auto"/>
              </w:rPr>
              <w:t>Co-Founder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5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Quentin J. Clark</w:t>
            </w:r>
            <w:r>
              <w:rPr>
                <w:rFonts w:ascii="Arial" w:cs="Arial" w:eastAsia="Arial" w:hAnsi="Arial"/>
                <w:sz w:val="10"/>
                <w:szCs w:val="10"/>
                <w:color w:val="auto"/>
              </w:rPr>
              <w:t>(3)</w:t>
            </w:r>
          </w:p>
        </w:tc>
        <w:tc>
          <w:tcPr>
            <w:tcW w:w="38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2"/>
                <w:szCs w:val="12"/>
                <w:color w:val="auto"/>
                <w:w w:val="89"/>
              </w:rPr>
              <w:t>2017</w:t>
            </w: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2"/>
              </w:rPr>
              <w:t>130,513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2"/>
                <w:szCs w:val="12"/>
                <w:color w:val="auto"/>
                <w:w w:val="93"/>
              </w:rPr>
              <w:t>340,000</w:t>
            </w:r>
            <w:r>
              <w:rPr>
                <w:rFonts w:ascii="Arial" w:cs="Arial" w:eastAsia="Arial" w:hAnsi="Arial"/>
                <w:sz w:val="10"/>
                <w:szCs w:val="10"/>
                <w:color w:val="auto"/>
                <w:w w:val="93"/>
              </w:rPr>
              <w:t>(4)</w:t>
            </w:r>
          </w:p>
        </w:tc>
        <w:tc>
          <w:tcPr>
            <w:tcW w:w="820" w:type="dxa"/>
            <w:vAlign w:val="bottom"/>
            <w:gridSpan w:val="2"/>
            <w:shd w:val="clear" w:color="auto" w:fill="CCEEFF"/>
          </w:tcPr>
          <w:p>
            <w:pPr>
              <w:jc w:val="right"/>
              <w:ind w:right="14"/>
              <w:spacing w:after="0" w:line="109" w:lineRule="exact"/>
              <w:rPr>
                <w:sz w:val="20"/>
                <w:szCs w:val="20"/>
                <w:color w:val="auto"/>
              </w:rPr>
            </w:pPr>
            <w:r>
              <w:rPr>
                <w:rFonts w:ascii="Arial" w:cs="Arial" w:eastAsia="Arial" w:hAnsi="Arial"/>
                <w:sz w:val="12"/>
                <w:szCs w:val="12"/>
                <w:color w:val="auto"/>
              </w:rPr>
              <w:t>34,080,000</w:t>
            </w:r>
            <w:r>
              <w:rPr>
                <w:rFonts w:ascii="Arial" w:cs="Arial" w:eastAsia="Arial" w:hAnsi="Arial"/>
                <w:sz w:val="10"/>
                <w:szCs w:val="10"/>
                <w:color w:val="auto"/>
              </w:rPr>
              <w:t>(5)</w:t>
            </w:r>
          </w:p>
        </w:tc>
        <w:tc>
          <w:tcPr>
            <w:tcW w:w="6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2"/>
                <w:szCs w:val="12"/>
                <w:color w:val="auto"/>
              </w:rPr>
              <w:t>84,055</w:t>
            </w:r>
          </w:p>
        </w:tc>
        <w:tc>
          <w:tcPr>
            <w:tcW w:w="76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2"/>
                <w:szCs w:val="12"/>
                <w:color w:val="auto"/>
              </w:rPr>
              <w:t>16,136</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9"/>
              </w:rPr>
              <w:t>34,650,704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Senior Vice President of Engineering, Product, and Design</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9" w:lineRule="exact"/>
        <w:rPr>
          <w:sz w:val="20"/>
          <w:szCs w:val="20"/>
          <w:color w:val="auto"/>
        </w:rPr>
      </w:pPr>
    </w:p>
    <w:p>
      <w:pPr>
        <w:ind w:left="1380" w:right="180" w:hanging="268"/>
        <w:spacing w:after="0" w:line="192" w:lineRule="auto"/>
        <w:tabs>
          <w:tab w:leader="none" w:pos="138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amounts payable in 2017 under our 2017 Cash Bonus Plan, as described in greater detail under “—Non-Equity Incentive Plan Compensation.”</w:t>
      </w:r>
    </w:p>
    <w:p>
      <w:pPr>
        <w:spacing w:after="0" w:line="1" w:lineRule="exact"/>
        <w:rPr>
          <w:rFonts w:ascii="Arial" w:cs="Arial" w:eastAsia="Arial" w:hAnsi="Arial"/>
          <w:sz w:val="23"/>
          <w:szCs w:val="23"/>
          <w:color w:val="auto"/>
          <w:vertAlign w:val="superscript"/>
        </w:rPr>
      </w:pPr>
    </w:p>
    <w:p>
      <w:pPr>
        <w:ind w:left="1380" w:hanging="268"/>
        <w:spacing w:after="0" w:line="227" w:lineRule="auto"/>
        <w:tabs>
          <w:tab w:leader="none" w:pos="138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restricted stock awards, or RSAs, calculated in accordance with ASC Topic 718. The RSAs are eligible to vest over a period of up to ten years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the section titled “Management’s Discussion and Analysis of Financial Condition and Results of Operations—Critical Accounting Policies and Judgements”. See “—Co-Founder Restricted Stock Awards” for additional information.</w:t>
      </w:r>
    </w:p>
    <w:p>
      <w:pPr>
        <w:spacing w:after="0" w:line="3" w:lineRule="exact"/>
        <w:rPr>
          <w:rFonts w:ascii="Arial" w:cs="Arial" w:eastAsia="Arial" w:hAnsi="Arial"/>
          <w:sz w:val="23"/>
          <w:szCs w:val="23"/>
          <w:color w:val="auto"/>
          <w:vertAlign w:val="superscript"/>
        </w:rPr>
      </w:pPr>
    </w:p>
    <w:p>
      <w:pPr>
        <w:ind w:left="1380" w:right="20" w:hanging="268"/>
        <w:spacing w:after="0" w:line="190" w:lineRule="auto"/>
        <w:tabs>
          <w:tab w:leader="none" w:pos="138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Mr. Clark joined us in September 2017 and therefore his salary and non-equity incentive plan compensation set forth in the table above were prorated for the portion of 2017 in which he was employed with us.</w:t>
      </w:r>
    </w:p>
    <w:p>
      <w:pPr>
        <w:spacing w:after="0" w:line="1" w:lineRule="exact"/>
        <w:rPr>
          <w:rFonts w:ascii="Arial" w:cs="Arial" w:eastAsia="Arial" w:hAnsi="Arial"/>
          <w:sz w:val="23"/>
          <w:szCs w:val="23"/>
          <w:color w:val="auto"/>
          <w:vertAlign w:val="superscript"/>
        </w:rPr>
      </w:pPr>
    </w:p>
    <w:p>
      <w:pPr>
        <w:ind w:left="1380" w:right="180" w:hanging="268"/>
        <w:spacing w:after="0" w:line="190" w:lineRule="auto"/>
        <w:tabs>
          <w:tab w:leader="none" w:pos="138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spacing w:after="0" w:line="1" w:lineRule="exact"/>
        <w:rPr>
          <w:rFonts w:ascii="Arial" w:cs="Arial" w:eastAsia="Arial" w:hAnsi="Arial"/>
          <w:sz w:val="23"/>
          <w:szCs w:val="23"/>
          <w:color w:val="auto"/>
          <w:vertAlign w:val="superscript"/>
        </w:rPr>
      </w:pPr>
    </w:p>
    <w:p>
      <w:pPr>
        <w:ind w:left="1380" w:right="100" w:hanging="268"/>
        <w:spacing w:after="0" w:line="207" w:lineRule="auto"/>
        <w:tabs>
          <w:tab w:leader="none" w:pos="138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RSUs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5"/>
        </w:numPr>
        <w:rPr>
          <w:rFonts w:ascii="Arial" w:cs="Arial" w:eastAsia="Arial" w:hAnsi="Arial"/>
          <w:sz w:val="19"/>
          <w:szCs w:val="19"/>
          <w:color w:val="auto"/>
          <w:vertAlign w:val="superscript"/>
        </w:rPr>
      </w:pPr>
      <w:r>
        <w:rPr>
          <w:rFonts w:ascii="Arial" w:cs="Arial" w:eastAsia="Arial" w:hAnsi="Arial"/>
          <w:sz w:val="12"/>
          <w:szCs w:val="12"/>
          <w:color w:val="auto"/>
        </w:rPr>
        <w:t>Amounts represent matching 401(k) contributions of $3,000 and, in the case of Mr. Clark, transportation reimbursements (to and from work) of $13,136.</w:t>
      </w:r>
    </w:p>
    <w:p>
      <w:pPr>
        <w:spacing w:after="0" w:line="26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Non-Equity Incentive Plan Compensation</w:t>
      </w:r>
    </w:p>
    <w:p>
      <w:pPr>
        <w:spacing w:after="0" w:line="102"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Each of our named executive officers participated in our 2017 Cash Bonus Plan, or the 2017 Bonus Plan, which provides for cash bonus amounts based on our achievements of key company performance metrics.</w:t>
      </w:r>
    </w:p>
    <w:p>
      <w:pPr>
        <w:spacing w:after="0" w:line="146"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Under the 2017 Bonus Plan, a cash bonus pool under our 2017 Bonus Plan is established if we achieve certain corporate financial performance measures based on revenue and free cash flow. Our Board of Directors 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320"/>
          </w:cols>
          <w:pgMar w:left="240" w:top="407" w:right="133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05" w:lineRule="auto"/>
        <w:rPr>
          <w:sz w:val="20"/>
          <w:szCs w:val="20"/>
          <w:color w:val="auto"/>
        </w:rPr>
      </w:pPr>
      <w:r>
        <w:rPr>
          <w:rFonts w:ascii="Arial" w:cs="Arial" w:eastAsia="Arial" w:hAnsi="Arial"/>
          <w:sz w:val="13"/>
          <w:szCs w:val="13"/>
          <w:color w:val="auto"/>
        </w:rPr>
        <w:t>Following the end of 2017, our compensation committee reviewed our achievements against the revenue and free cash flow corporate financial performance measures and determined that we exceeded target levels of achievement for each of these performance measures. Accordingly, the annual bonus payment for each of our named executive officers was calculated based on 100% of his target bonus amount, which is described under “— Executive Employment Arrangements.” Mr. Clark’s amount is pro-rated based on his length of service with us in 2017. The actual bonus amounts payable to our named executive officers under the 2017 Bonus Plan are set forth in the “2017 Summary Compensation Table.”</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Outstanding Equity Awards at 2017 Year-End</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 sets forth information regarding outstanding equity awards held by our named executive officers as of December 31, 2017.</w:t>
      </w:r>
    </w:p>
    <w:p>
      <w:pPr>
        <w:spacing w:after="0" w:line="213"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Borders>
              <w:top w:val="single" w:sz="8" w:color="auto"/>
            </w:tcBorders>
            <w:gridSpan w:val="2"/>
          </w:tcPr>
          <w:p>
            <w:pPr>
              <w:jc w:val="center"/>
              <w:ind w:right="340"/>
              <w:spacing w:after="0" w:line="96" w:lineRule="exact"/>
              <w:rPr>
                <w:sz w:val="20"/>
                <w:szCs w:val="20"/>
                <w:color w:val="auto"/>
              </w:rPr>
            </w:pPr>
            <w:r>
              <w:rPr>
                <w:rFonts w:ascii="Arial" w:cs="Arial" w:eastAsia="Arial" w:hAnsi="Arial"/>
                <w:sz w:val="11"/>
                <w:szCs w:val="11"/>
                <w:b w:val="1"/>
                <w:bCs w:val="1"/>
                <w:color w:val="auto"/>
              </w:rPr>
              <w:t>Number of</w:t>
            </w:r>
          </w:p>
        </w:tc>
        <w:tc>
          <w:tcPr>
            <w:tcW w:w="8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Market value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8"/>
              </w:rPr>
              <w:t>shares or</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of shares or</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20" w:type="dxa"/>
            <w:vAlign w:val="bottom"/>
            <w:gridSpan w:val="2"/>
            <w:vMerge w:val="restart"/>
          </w:tcPr>
          <w:p>
            <w:pPr>
              <w:jc w:val="right"/>
              <w:ind w:right="496"/>
              <w:spacing w:after="0"/>
              <w:rPr>
                <w:sz w:val="20"/>
                <w:szCs w:val="20"/>
                <w:color w:val="auto"/>
              </w:rPr>
            </w:pPr>
            <w:r>
              <w:rPr>
                <w:rFonts w:ascii="Arial" w:cs="Arial" w:eastAsia="Arial" w:hAnsi="Arial"/>
                <w:sz w:val="12"/>
                <w:szCs w:val="12"/>
                <w:b w:val="1"/>
                <w:bCs w:val="1"/>
                <w:color w:val="auto"/>
              </w:rPr>
              <w:t>Grant</w:t>
            </w: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0" w:type="dxa"/>
            <w:vAlign w:val="bottom"/>
          </w:tcPr>
          <w:p>
            <w:pPr>
              <w:spacing w:after="0"/>
              <w:rPr>
                <w:sz w:val="1"/>
                <w:szCs w:val="1"/>
                <w:color w:val="auto"/>
              </w:rPr>
            </w:pPr>
          </w:p>
        </w:tc>
      </w:tr>
      <w:tr>
        <w:trPr>
          <w:trHeight w:val="12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400" w:type="dxa"/>
            <w:vAlign w:val="bottom"/>
            <w:vMerge w:val="restart"/>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0" w:type="dxa"/>
            <w:vAlign w:val="bottom"/>
          </w:tcPr>
          <w:p>
            <w:pPr>
              <w:spacing w:after="0"/>
              <w:rPr>
                <w:sz w:val="1"/>
                <w:szCs w:val="1"/>
                <w:color w:val="auto"/>
              </w:rPr>
            </w:pPr>
          </w:p>
        </w:tc>
      </w:tr>
      <w:tr>
        <w:trPr>
          <w:trHeight w:val="164"/>
        </w:trPr>
        <w:tc>
          <w:tcPr>
            <w:tcW w:w="300" w:type="dxa"/>
            <w:vAlign w:val="bottom"/>
            <w:tcBorders>
              <w:bottom w:val="single" w:sz="8" w:color="auto"/>
            </w:tcBorders>
            <w:vMerge w:val="continue"/>
          </w:tcPr>
          <w:p>
            <w:pPr>
              <w:spacing w:after="0"/>
              <w:rPr>
                <w:sz w:val="14"/>
                <w:szCs w:val="14"/>
                <w:color w:val="auto"/>
              </w:rPr>
            </w:pPr>
          </w:p>
        </w:tc>
        <w:tc>
          <w:tcPr>
            <w:tcW w:w="440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date</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vested</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vested ($)</w:t>
            </w:r>
            <w:r>
              <w:rPr>
                <w:rFonts w:ascii="Arial" w:cs="Arial" w:eastAsia="Arial" w:hAnsi="Arial"/>
                <w:sz w:val="10"/>
                <w:szCs w:val="10"/>
                <w:b w:val="1"/>
                <w:bCs w:val="1"/>
                <w:color w:val="auto"/>
                <w:w w:val="87"/>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0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Andrew W. Houston</w:t>
            </w:r>
          </w:p>
        </w:tc>
        <w:tc>
          <w:tcPr>
            <w:tcW w:w="60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9"/>
              </w:rPr>
              <w:t>12/12/17</w:t>
            </w:r>
          </w:p>
        </w:tc>
        <w:tc>
          <w:tcPr>
            <w:tcW w:w="420" w:type="dxa"/>
            <w:vAlign w:val="bottom"/>
            <w:shd w:val="clear" w:color="auto" w:fill="CCEEFF"/>
          </w:tcPr>
          <w:p>
            <w:pPr>
              <w:jc w:val="right"/>
              <w:ind w:right="196"/>
              <w:spacing w:after="0" w:line="122" w:lineRule="exact"/>
              <w:rPr>
                <w:sz w:val="20"/>
                <w:szCs w:val="20"/>
                <w:color w:val="auto"/>
              </w:rPr>
            </w:pPr>
            <w:r>
              <w:rPr>
                <w:rFonts w:ascii="Arial" w:cs="Arial" w:eastAsia="Arial" w:hAnsi="Arial"/>
                <w:sz w:val="13"/>
                <w:szCs w:val="13"/>
                <w:color w:val="auto"/>
                <w:w w:val="87"/>
              </w:rPr>
              <w:t>(2)</w:t>
            </w: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10,333,333</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216,999,993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gridSpan w:val="2"/>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right"/>
              <w:ind w:right="196"/>
              <w:spacing w:after="0"/>
              <w:rPr>
                <w:sz w:val="20"/>
                <w:szCs w:val="20"/>
                <w:color w:val="auto"/>
              </w:rPr>
            </w:pPr>
            <w:r>
              <w:rPr>
                <w:rFonts w:ascii="Arial" w:cs="Arial" w:eastAsia="Arial" w:hAnsi="Arial"/>
                <w:sz w:val="15"/>
                <w:szCs w:val="15"/>
                <w:color w:val="auto"/>
              </w:rPr>
              <w:t>12/12/17</w:t>
            </w:r>
            <w:r>
              <w:rPr>
                <w:rFonts w:ascii="Arial" w:cs="Arial" w:eastAsia="Arial" w:hAnsi="Arial"/>
                <w:sz w:val="12"/>
                <w:szCs w:val="12"/>
                <w:color w:val="auto"/>
              </w:rPr>
              <w:t>(2)</w:t>
            </w:r>
          </w:p>
        </w:tc>
        <w:tc>
          <w:tcPr>
            <w:tcW w:w="760" w:type="dxa"/>
            <w:vAlign w:val="bottom"/>
          </w:tcPr>
          <w:p>
            <w:pPr>
              <w:jc w:val="right"/>
              <w:spacing w:after="0"/>
              <w:rPr>
                <w:sz w:val="20"/>
                <w:szCs w:val="20"/>
                <w:color w:val="auto"/>
              </w:rPr>
            </w:pPr>
            <w:r>
              <w:rPr>
                <w:rFonts w:ascii="Arial" w:cs="Arial" w:eastAsia="Arial" w:hAnsi="Arial"/>
                <w:sz w:val="15"/>
                <w:szCs w:val="15"/>
                <w:color w:val="auto"/>
              </w:rPr>
              <w:t>4,400,000</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92,400,000</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shd w:val="clear" w:color="auto" w:fill="CCEEFF"/>
          </w:tcPr>
          <w:p>
            <w:pPr>
              <w:jc w:val="right"/>
              <w:ind w:right="196"/>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37" w:lineRule="exact"/>
        <w:rPr>
          <w:sz w:val="20"/>
          <w:szCs w:val="20"/>
          <w:color w:val="auto"/>
        </w:rPr>
      </w:pPr>
    </w:p>
    <w:p>
      <w:pPr>
        <w:ind w:left="1380" w:hanging="268"/>
        <w:spacing w:after="0"/>
        <w:tabs>
          <w:tab w:leader="none" w:pos="138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The market value for our stock awards is based upon the initial public offering price of $21.00 per share.</w:t>
      </w:r>
    </w:p>
    <w:p>
      <w:pPr>
        <w:spacing w:after="0" w:line="8" w:lineRule="exact"/>
        <w:rPr>
          <w:rFonts w:ascii="Arial" w:cs="Arial" w:eastAsia="Arial" w:hAnsi="Arial"/>
          <w:sz w:val="23"/>
          <w:szCs w:val="23"/>
          <w:color w:val="auto"/>
          <w:vertAlign w:val="superscript"/>
        </w:rPr>
      </w:pPr>
    </w:p>
    <w:p>
      <w:pPr>
        <w:ind w:left="1380" w:right="40" w:hanging="268"/>
        <w:spacing w:after="0" w:line="216" w:lineRule="auto"/>
        <w:tabs>
          <w:tab w:leader="none" w:pos="1380" w:val="left"/>
        </w:tabs>
        <w:numPr>
          <w:ilvl w:val="0"/>
          <w:numId w:val="66"/>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RSAs granted to each of Messrs. Houston and Ferdowsi pursuant to a stand-alone restricted stock award agreement. The shares underlying the RSAs are Class A common stock. The RSAs vest over a period of up to ten years upon achievement of service-based, market-based, and liquidity event-related performance vesting conditions. See “—Co-Founder Restricted Stock Awards” for additional information.</w:t>
      </w:r>
    </w:p>
    <w:p>
      <w:pPr>
        <w:spacing w:after="0" w:line="2" w:lineRule="exact"/>
        <w:rPr>
          <w:rFonts w:ascii="Arial" w:cs="Arial" w:eastAsia="Arial" w:hAnsi="Arial"/>
          <w:sz w:val="22"/>
          <w:szCs w:val="22"/>
          <w:color w:val="auto"/>
          <w:vertAlign w:val="superscript"/>
        </w:rPr>
      </w:pPr>
    </w:p>
    <w:p>
      <w:pPr>
        <w:ind w:left="1380" w:right="200" w:hanging="268"/>
        <w:spacing w:after="0" w:line="185" w:lineRule="auto"/>
        <w:tabs>
          <w:tab w:leader="none" w:pos="1380" w:val="left"/>
        </w:tabs>
        <w:numPr>
          <w:ilvl w:val="0"/>
          <w:numId w:val="66"/>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RSUs granted to Mr. Clark pursuant to our 2017 Plan. 25% of the shares of our Class A common stock underlying the RSUs vest on August 15, 2018, and an additional 3/48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total number of shares of our Class A common stock underlying the RSUs vests in equal quarterly installments, each subject to continued service through each such vesting date.</w:t>
      </w:r>
    </w:p>
    <w:p>
      <w:pPr>
        <w:spacing w:after="0" w:line="26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Co-Founder Restricted Stock Awards</w:t>
      </w:r>
    </w:p>
    <w:p>
      <w:pPr>
        <w:spacing w:after="0" w:line="102"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In December 2017, our Board of Directors approved a grant to our co-founders, Messrs. Houston and Ferdowsi, of RSAs with respect to 14.7 million shares of Class A common stock in the aggregate, or, collectively, the Co-Founder Grants, of which 10.3 million RSAs were granted to Mr. Houston, our co-founder and Chief Executive Officer, and 4.4 million RSAs were granted to Mr. Ferdowsi, our co-founder and Director. The Co-Founder Grants vest upon the satisfaction of the service condition and achievement of certain stock price goals, as described below.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determining the terms and conditions of these Co-Founder Grants, the Board of Directors considered that neither co-founder had received an equity award since founding the Company and wanted to provide a meaningful incentive to the co-founders to continue to drive the growth of the business following the completion of this offering. The Board of Directors thought it was important for the Co-Founder Grants to not simply vest based on the passage of time while our co-founders provide service to us. Rather, the Co-Founder Grants will vest only if we achieve certain stock price goals, which if achieved, would allow our other stockholders to benefit tremendously from such increases in our stock price.</w:t>
      </w:r>
    </w:p>
    <w:p>
      <w:pPr>
        <w:spacing w:after="0" w:line="147"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60"/>
          </w:cols>
          <w:pgMar w:left="240" w:top="407" w:right="139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goals, or each, a Stock Price Target, measured over a consecutive thirty-day trading period during the performance period as follows:</w:t>
      </w:r>
    </w:p>
    <w:p>
      <w:pPr>
        <w:spacing w:after="0" w:line="188"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3140" w:type="dxa"/>
            <w:vAlign w:val="bottom"/>
            <w:gridSpan w:val="3"/>
          </w:tcPr>
          <w:p>
            <w:pPr>
              <w:spacing w:after="0"/>
              <w:rPr>
                <w:sz w:val="20"/>
                <w:szCs w:val="20"/>
                <w:color w:val="auto"/>
              </w:rPr>
            </w:pPr>
            <w:r>
              <w:rPr>
                <w:rFonts w:ascii="Arial" w:cs="Arial" w:eastAsia="Arial" w:hAnsi="Arial"/>
                <w:sz w:val="12"/>
                <w:szCs w:val="12"/>
                <w:b w:val="1"/>
                <w:bCs w:val="1"/>
                <w:color w:val="auto"/>
              </w:rPr>
              <w:t>Company Stock Price</w:t>
            </w:r>
          </w:p>
        </w:tc>
        <w:tc>
          <w:tcPr>
            <w:tcW w:w="3380" w:type="dxa"/>
            <w:vAlign w:val="bottom"/>
            <w:gridSpan w:val="2"/>
          </w:tcPr>
          <w:p>
            <w:pPr>
              <w:jc w:val="right"/>
              <w:ind w:right="2040"/>
              <w:spacing w:after="0"/>
              <w:rPr>
                <w:sz w:val="20"/>
                <w:szCs w:val="20"/>
                <w:color w:val="auto"/>
              </w:rPr>
            </w:pPr>
            <w:r>
              <w:rPr>
                <w:rFonts w:ascii="Arial" w:cs="Arial" w:eastAsia="Arial" w:hAnsi="Arial"/>
                <w:sz w:val="12"/>
                <w:szCs w:val="12"/>
                <w:b w:val="1"/>
                <w:bCs w:val="1"/>
                <w:color w:val="auto"/>
                <w:w w:val="88"/>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200" w:type="dxa"/>
            <w:vAlign w:val="bottom"/>
          </w:tcPr>
          <w:p>
            <w:pPr>
              <w:spacing w:after="0"/>
              <w:rPr>
                <w:sz w:val="12"/>
                <w:szCs w:val="12"/>
                <w:color w:val="auto"/>
              </w:rPr>
            </w:pPr>
          </w:p>
        </w:tc>
        <w:tc>
          <w:tcPr>
            <w:tcW w:w="2940" w:type="dxa"/>
            <w:vAlign w:val="bottom"/>
            <w:gridSpan w:val="2"/>
          </w:tcPr>
          <w:p>
            <w:pPr>
              <w:ind w:left="160"/>
              <w:spacing w:after="0"/>
              <w:rPr>
                <w:sz w:val="20"/>
                <w:szCs w:val="20"/>
                <w:color w:val="auto"/>
              </w:rPr>
            </w:pPr>
            <w:r>
              <w:rPr>
                <w:rFonts w:ascii="Arial" w:cs="Arial" w:eastAsia="Arial" w:hAnsi="Arial"/>
                <w:sz w:val="12"/>
                <w:szCs w:val="12"/>
                <w:b w:val="1"/>
                <w:bCs w:val="1"/>
                <w:color w:val="auto"/>
              </w:rPr>
              <w:t>Target*</w:t>
            </w:r>
          </w:p>
        </w:tc>
        <w:tc>
          <w:tcPr>
            <w:tcW w:w="338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w w:val="85"/>
              </w:rPr>
              <w:t>30.00</w:t>
            </w:r>
          </w:p>
        </w:tc>
        <w:tc>
          <w:tcPr>
            <w:tcW w:w="20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20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2940" w:type="dxa"/>
            <w:vAlign w:val="bottom"/>
            <w:gridSpan w:val="2"/>
          </w:tcPr>
          <w:p>
            <w:pPr>
              <w:ind w:left="560"/>
              <w:spacing w:after="0"/>
              <w:rPr>
                <w:sz w:val="20"/>
                <w:szCs w:val="20"/>
                <w:color w:val="auto"/>
              </w:rPr>
            </w:pPr>
            <w:r>
              <w:rPr>
                <w:rFonts w:ascii="Arial" w:cs="Arial" w:eastAsia="Arial" w:hAnsi="Arial"/>
                <w:sz w:val="15"/>
                <w:szCs w:val="15"/>
                <w:color w:val="auto"/>
              </w:rPr>
              <w:t>37.50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9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45.00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2940" w:type="dxa"/>
            <w:vAlign w:val="bottom"/>
            <w:gridSpan w:val="2"/>
          </w:tcPr>
          <w:p>
            <w:pPr>
              <w:ind w:left="560"/>
              <w:spacing w:after="0"/>
              <w:rPr>
                <w:sz w:val="20"/>
                <w:szCs w:val="20"/>
                <w:color w:val="auto"/>
              </w:rPr>
            </w:pPr>
            <w:r>
              <w:rPr>
                <w:rFonts w:ascii="Arial" w:cs="Arial" w:eastAsia="Arial" w:hAnsi="Arial"/>
                <w:sz w:val="15"/>
                <w:szCs w:val="15"/>
                <w:color w:val="auto"/>
              </w:rPr>
              <w:t>52.50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9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60.00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2940" w:type="dxa"/>
            <w:vAlign w:val="bottom"/>
            <w:gridSpan w:val="2"/>
          </w:tcPr>
          <w:p>
            <w:pPr>
              <w:ind w:left="560"/>
              <w:spacing w:after="0"/>
              <w:rPr>
                <w:sz w:val="20"/>
                <w:szCs w:val="20"/>
                <w:color w:val="auto"/>
              </w:rPr>
            </w:pPr>
            <w:r>
              <w:rPr>
                <w:rFonts w:ascii="Arial" w:cs="Arial" w:eastAsia="Arial" w:hAnsi="Arial"/>
                <w:sz w:val="15"/>
                <w:szCs w:val="15"/>
                <w:color w:val="auto"/>
              </w:rPr>
              <w:t>67.50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9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75.00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2940" w:type="dxa"/>
            <w:vAlign w:val="bottom"/>
            <w:gridSpan w:val="2"/>
          </w:tcPr>
          <w:p>
            <w:pPr>
              <w:ind w:left="560"/>
              <w:spacing w:after="0"/>
              <w:rPr>
                <w:sz w:val="20"/>
                <w:szCs w:val="20"/>
                <w:color w:val="auto"/>
              </w:rPr>
            </w:pPr>
            <w:r>
              <w:rPr>
                <w:rFonts w:ascii="Arial" w:cs="Arial" w:eastAsia="Arial" w:hAnsi="Arial"/>
                <w:sz w:val="15"/>
                <w:szCs w:val="15"/>
                <w:color w:val="auto"/>
              </w:rPr>
              <w:t>82.50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9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90.00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Measurement of our stock price for purposes of achievement of the Stock Price Targets will not commence until the later of the expiration of the lock-up period following the completion of this offering or January 1, 2019. In addition, the Stock Price Targets will be adjusted to reflect any stock splits, stock dividends, combinations, reorganizations, reclassifications, or similar event.</w:t>
      </w:r>
    </w:p>
    <w:p>
      <w:pPr>
        <w:spacing w:after="0" w:line="155"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This ensures that to fully vest in the Co-Founder Grants, any increase in our stock price must be sustained over a long period of time and not allow any short-term, unsustained increases in our stock price to result in a vesting event for either co-founder.</w:t>
      </w:r>
    </w:p>
    <w:p>
      <w:pPr>
        <w:spacing w:after="0" w:line="13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Further, the co-founders will only vest in the awards if they continue as the Chief Executive Officer or Executive Chairman, with respect to Mr. Houston, and as a member of the senior management team, with respect to Mr. Ferdowsi, or the Executive Service Requirement, at the time a Stock Price Target is achieved. Upon a co-founder’s no longer satisfying the Executive Service Requirement, any portion of the Co-Founder Grant for which a Stock Price Target has not been achieved would terminate and be cancelled. By requiring that each continue in a senior executive role with us as a condition to vesting, the Board of Directors sought to ensure that each must be providing significant contributions to us that drive any future growth that would allow the Co-Founder Grants to vest.</w:t>
      </w:r>
    </w:p>
    <w:p>
      <w:pPr>
        <w:spacing w:after="0" w:line="164"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Lastly, the Board of Directors considered the impact these grants would have on the co-founders’ voting control of the Company. The Board of Directors determined that it was in our and our stockholders’ best interests to issue the Co-Founder Grants because the receipt of the Co-Founder Grants would not materially impact the voting control of the Company, but would still provide the co-founders with meaningful incentives as described above, and thereby align their interests with those of our other stockholders.</w:t>
      </w:r>
    </w:p>
    <w:p>
      <w:pPr>
        <w:spacing w:after="0" w:line="15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the event of an acquisition of the Company following the closing of this offering, but before the end of the performance period, the Co-Founder Grants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Employment Arrangements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Andrew W. Houston</w:t>
      </w:r>
    </w:p>
    <w:p>
      <w:pPr>
        <w:spacing w:after="0" w:line="98"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We have entered into an employment letter with Andrew W. Houston, our Chief Executive Officer and one of our co-founders. The employment letter does not have a specific term and provides that Mr. Houston is an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80"/>
          </w:cols>
          <w:pgMar w:left="240" w:top="407" w:right="137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spacing w:after="0" w:line="275" w:lineRule="auto"/>
        <w:rPr>
          <w:sz w:val="20"/>
          <w:szCs w:val="20"/>
          <w:color w:val="auto"/>
        </w:rPr>
      </w:pPr>
      <w:r>
        <w:rPr>
          <w:rFonts w:ascii="Arial" w:cs="Arial" w:eastAsia="Arial" w:hAnsi="Arial"/>
          <w:sz w:val="15"/>
          <w:szCs w:val="15"/>
          <w:color w:val="auto"/>
        </w:rPr>
        <w:t>at-will employee. Mr. Houston’s current annual base salary is $700,000, and he is eligible for an annual target cash incentive payment equal to 100% of his annual base salary.</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Arash Ferdowsi</w:t>
      </w:r>
    </w:p>
    <w:p>
      <w:pPr>
        <w:spacing w:after="0" w:line="98"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have entered into an employment letter with Arash Ferdowsi, one of our co-founders. The employment letter does not have a specific term and provides that Mr. Ferdowsi is an at-will employee. Mr. Ferdowsi’s current annual base salary is $550,000, and he is eligible for an annual target cash incentive payment equal to 65% of his annual base salary.</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Quentin J. Clark</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We have entered into an employment letter with Quentin J. Clark, our Senior Vice President of Engineering, Product, and Design. The employment letter does not have a specific term and provides that Mr. Clark is an at-will employee. Mr. Clark’s current annual base salary is $550,000, and he is eligible for an annual target cash incentive payment equal to 65% of his annual base salary.</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02"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We expect to enter into a change in control and severance agreement with each of our named executive officers that provides for the severance and change in control benefits described below. Each change in control and severance agreement will supersede any existing agreement or arrangement the named executive officers may have with us that provides for severance and/or change in control payments or benefits, except that the change in control and severance agreements with Messrs. Houston and Ferdowsi will not have any effect on the Co-Founder Grants.</w:t>
      </w:r>
    </w:p>
    <w:p>
      <w:pPr>
        <w:spacing w:after="0" w:line="12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If the named executive officer’s employment is terminated by us other than for “cause,” death, or “disability” or he resigns for “good reason” (as such terms are defined in his change in control and severance agreement), in either case, outside the Change in Control Period (as defined below), he will be eligible to receive the following payments and benefits:</w:t>
      </w:r>
    </w:p>
    <w:p>
      <w:pPr>
        <w:spacing w:after="0" w:line="76" w:lineRule="exact"/>
        <w:rPr>
          <w:sz w:val="20"/>
          <w:szCs w:val="20"/>
          <w:color w:val="auto"/>
        </w:rPr>
      </w:pPr>
    </w:p>
    <w:p>
      <w:pPr>
        <w:ind w:left="1840" w:right="660" w:hanging="276"/>
        <w:spacing w:after="0" w:line="354" w:lineRule="auto"/>
        <w:tabs>
          <w:tab w:leader="none" w:pos="18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lump-sum payment equal to 50% of annual base salary as of immediately before his termination (or if the termination is due to a resignation for good reason based on a material reduction in base salary, then as of immediately before such reduction); and</w:t>
      </w:r>
    </w:p>
    <w:p>
      <w:pPr>
        <w:spacing w:after="0" w:line="21" w:lineRule="exact"/>
        <w:rPr>
          <w:rFonts w:ascii="Arial" w:cs="Arial" w:eastAsia="Arial" w:hAnsi="Arial"/>
          <w:sz w:val="13"/>
          <w:szCs w:val="13"/>
          <w:color w:val="auto"/>
        </w:rPr>
      </w:pPr>
    </w:p>
    <w:p>
      <w:pPr>
        <w:jc w:val="both"/>
        <w:ind w:left="1840" w:right="80" w:hanging="276"/>
        <w:spacing w:after="0" w:line="354" w:lineRule="auto"/>
        <w:tabs>
          <w:tab w:leader="none" w:pos="18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if he elects to continue health insurance coverage for him and his eligible dependents under COBRA, our payment of the monthly premium for such COBRA continuation coverage for up to 6 months (or monthly taxable payments to him in lieu of our payment of such premiums).</w:t>
      </w:r>
    </w:p>
    <w:p>
      <w:pPr>
        <w:spacing w:after="0" w:line="100"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If, within the three-month period before or after the 12-month period following a change in control (such period, the Change in Control Period), the named executive officer’s employment is terminated by us other than for cause, death, or disability or he resigns for “good reason” (as defined in his change in control and severance agreement), he will be entitled to the following benefits:</w:t>
      </w:r>
    </w:p>
    <w:p>
      <w:pPr>
        <w:spacing w:after="0" w:line="76" w:lineRule="exact"/>
        <w:rPr>
          <w:sz w:val="20"/>
          <w:szCs w:val="20"/>
          <w:color w:val="auto"/>
        </w:rPr>
      </w:pPr>
    </w:p>
    <w:p>
      <w:pPr>
        <w:ind w:left="1840" w:right="80" w:hanging="276"/>
        <w:spacing w:after="0" w:line="263" w:lineRule="auto"/>
        <w:tabs>
          <w:tab w:leader="none" w:pos="1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lump-sum payment equal to 100% of his annual base salary as of immediately before his termination (or if the termination is due to a resignation for good reason based on a material reduction in base salary, then as of immediately before such reduction) or, if such amount is greater, as of immediately before the change in control;</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lump-sum payment equal to 100% of his target annual bonus (for the year of his termination);</w:t>
      </w:r>
    </w:p>
    <w:p>
      <w:pPr>
        <w:spacing w:after="0" w:line="109"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if he elects to continue health insurance coverage for him and his eligible dependents under COBRA, our payment of the monthly premium for such COBRA continuation coverage for up to 12 months (or monthly taxable payments to him in lieu of our payment of such premiums); and</w:t>
      </w:r>
    </w:p>
    <w:p>
      <w:pPr>
        <w:spacing w:after="0" w:line="75" w:lineRule="exact"/>
        <w:rPr>
          <w:rFonts w:ascii="Arial" w:cs="Arial" w:eastAsia="Arial" w:hAnsi="Arial"/>
          <w:sz w:val="15"/>
          <w:szCs w:val="15"/>
          <w:color w:val="auto"/>
        </w:rPr>
      </w:pPr>
    </w:p>
    <w:p>
      <w:pPr>
        <w:ind w:left="1840" w:right="440" w:hanging="276"/>
        <w:spacing w:after="0" w:line="275" w:lineRule="auto"/>
        <w:tabs>
          <w:tab w:leader="none" w:pos="1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100% accelerated vesting of all outstanding equity awards, and, with respect to equity awards with performance-based vesting, unless otherwise specified in the award agreements governing such equity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320"/>
          </w:cols>
          <w:pgMar w:left="240" w:top="408" w:right="133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awards, all performance goals or other vesting criteria will be deemed achieved at 100% of target levels.</w:t>
      </w:r>
    </w:p>
    <w:p>
      <w:pPr>
        <w:spacing w:after="0" w:line="18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6"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him. The change in control and severance agreements do not require us to provide any tax gross-up payments to the named executive officers.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Employee Benefits and Stock Plans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Equity Incentive Plan</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adopted, and in March 2018 our stockholders approved,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59"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41,368,326 shares of our Class A common stock will be reserved for issuance pursuant to our 2018 Plan. In addition,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shares reserved for issuance under our 2018 Plan will also include (i) shares that, as of the effective date of the registration statement relating to the offering, were reserved but unissued under our 2017 Plan and are not subject to awards granted thereunder, plus (ii) Shares subject to stock options, restricted stock units, or similar awards granted under the 2017 Plan that, on or after the effective date of the registration statement relating to the offering, expire or otherwise terminate without having been exercised in full, are tendered to or withheld by us for payment of an exercise price or for tax withholding obligations, or are forfeited to or repurchased by us due to failure to vest, plus (iii) a number of shares equal to the shares of the Class B common stock subject to stock options, restricted stock units, or similar awards granted under the 2008 Plan that, on or after the effective date of the registration statement relating to the offering, expire or otherwise terminate without having been exercised in full, are tendered to or withheld by us for payment of an exercise price or for tax withholding obligations (including, for the avoidance of doubt, shares withheld on or after the effective date of the registration statement relating to the offering, to satisfy tax withholding obligations with respect to restricted stock units vesting on the effective date of the registration statement relating to the offering), or are forfeited to or repurchased by us due to failure to vest, (provided that the maximum number of shares that may be added to our 2018 Plan from the Prior Plans under clauses (i) through (iii) is 68,824,856 shares). The number of shares of our Class A common stock available for issuance under our 2018 Plan will also include an annual increase on the first day of each fiscal year beginning on January 1, 2019, equal to the least of:</w:t>
      </w:r>
    </w:p>
    <w:p>
      <w:pPr>
        <w:spacing w:after="0" w:line="73" w:lineRule="exact"/>
        <w:rPr>
          <w:sz w:val="20"/>
          <w:szCs w:val="20"/>
          <w:color w:val="auto"/>
        </w:rPr>
      </w:pPr>
    </w:p>
    <w:p>
      <w:pPr>
        <w:ind w:left="1840" w:hanging="276"/>
        <w:spacing w:after="0"/>
        <w:tabs>
          <w:tab w:leader="none" w:pos="18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41,368,326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five percent (5%) of the outstanding shares of our capital stock as of the last day of the immediately preceding fiscal year;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such other amount as our Board of Directors may determine.</w:t>
      </w:r>
    </w:p>
    <w:p>
      <w:pPr>
        <w:spacing w:after="0" w:line="188" w:lineRule="exact"/>
        <w:rPr>
          <w:sz w:val="20"/>
          <w:szCs w:val="20"/>
          <w:color w:val="auto"/>
        </w:rPr>
      </w:pPr>
    </w:p>
    <w:p>
      <w:pPr>
        <w:ind w:left="1120" w:right="280" w:firstLine="368"/>
        <w:spacing w:after="0" w:line="275" w:lineRule="auto"/>
        <w:rPr>
          <w:sz w:val="20"/>
          <w:szCs w:val="20"/>
          <w:color w:val="auto"/>
        </w:rPr>
      </w:pPr>
      <w:r>
        <w:rPr>
          <w:rFonts w:ascii="Arial" w:cs="Arial" w:eastAsia="Arial" w:hAnsi="Arial"/>
          <w:sz w:val="15"/>
          <w:szCs w:val="15"/>
          <w:color w:val="auto"/>
        </w:rPr>
        <w:t>If an award expires or becomes unexercisable without having been exercised in full, is surrendered pursuant to an exchange program, or, with respect to restricted stock, restricted stock units, performance units, 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80"/>
          </w:cols>
          <w:pgMar w:left="240" w:top="408" w:right="137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4" w:lineRule="auto"/>
        <w:rPr>
          <w:sz w:val="20"/>
          <w:szCs w:val="20"/>
          <w:color w:val="auto"/>
        </w:rPr>
      </w:pPr>
      <w:r>
        <w:rPr>
          <w:rFonts w:ascii="Arial" w:cs="Arial" w:eastAsia="Arial" w:hAnsi="Arial"/>
          <w:sz w:val="14"/>
          <w:szCs w:val="14"/>
          <w:color w:val="auto"/>
        </w:rPr>
        <w:t>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50"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will administer our 2018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is expected to administer our 2018 Plan.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5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 Stock options may be granted under our 2018 Plan. The exercise price of options granted under our 2018 Plan must at least be equal</w:t>
      </w:r>
      <w:r>
        <w:rPr>
          <w:rFonts w:ascii="Arial" w:cs="Arial" w:eastAsia="Arial" w:hAnsi="Arial"/>
          <w:sz w:val="13"/>
          <w:szCs w:val="13"/>
          <w:i w:val="1"/>
          <w:iCs w:val="1"/>
          <w:color w:val="auto"/>
        </w:rPr>
        <w:t xml:space="preserve"> </w:t>
      </w:r>
      <w:r>
        <w:rPr>
          <w:rFonts w:ascii="Arial" w:cs="Arial" w:eastAsia="Arial" w:hAnsi="Arial"/>
          <w:sz w:val="13"/>
          <w:szCs w:val="13"/>
          <w:color w:val="auto"/>
        </w:rPr>
        <w:t>to 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300"/>
          </w:cols>
          <w:pgMar w:left="240" w:top="407" w:right="135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appreciation rights</w:t>
      </w:r>
      <w:r>
        <w:rPr>
          <w:rFonts w:ascii="Arial" w:cs="Arial" w:eastAsia="Arial" w:hAnsi="Arial"/>
          <w:sz w:val="13"/>
          <w:szCs w:val="13"/>
          <w:color w:val="auto"/>
        </w:rPr>
        <w:t>. Stock appreciation rights may be granted under our 2018 Plan. Stock appreciation rights allow the recipient to receive</w:t>
      </w:r>
      <w:r>
        <w:rPr>
          <w:rFonts w:ascii="Arial" w:cs="Arial" w:eastAsia="Arial" w:hAnsi="Arial"/>
          <w:sz w:val="13"/>
          <w:szCs w:val="13"/>
          <w:i w:val="1"/>
          <w:iCs w:val="1"/>
          <w:color w:val="auto"/>
        </w:rPr>
        <w:t xml:space="preserve"> </w:t>
      </w:r>
      <w:r>
        <w:rPr>
          <w:rFonts w:ascii="Arial" w:cs="Arial" w:eastAsia="Arial" w:hAnsi="Arial"/>
          <w:sz w:val="13"/>
          <w:szCs w:val="13"/>
          <w:color w:val="auto"/>
        </w:rPr>
        <w:t>the 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41"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i w:val="1"/>
          <w:iCs w:val="1"/>
          <w:color w:val="auto"/>
        </w:rPr>
        <w:t>Restricted stock</w:t>
      </w:r>
      <w:r>
        <w:rPr>
          <w:rFonts w:ascii="Arial" w:cs="Arial" w:eastAsia="Arial" w:hAnsi="Arial"/>
          <w:sz w:val="14"/>
          <w:szCs w:val="14"/>
          <w:color w:val="auto"/>
        </w:rPr>
        <w:t>. Restricted stock may be granted under our 2018 Plan. Restricted stock awards are grants of shares of our Class A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that 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48"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2018 Plan. Each RSU represents an amount equal to the fair market value of one share of our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61"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i w:val="1"/>
          <w:iCs w:val="1"/>
          <w:color w:val="auto"/>
        </w:rPr>
        <w:t>Performance units and performance shares</w:t>
      </w:r>
      <w:r>
        <w:rPr>
          <w:rFonts w:ascii="Arial" w:cs="Arial" w:eastAsia="Arial" w:hAnsi="Arial"/>
          <w:sz w:val="14"/>
          <w:szCs w:val="14"/>
          <w:color w:val="auto"/>
        </w:rPr>
        <w:t>. Performance units and performance shares may be granted under our 2018 Plan. Performance units</w:t>
      </w:r>
      <w:r>
        <w:rPr>
          <w:rFonts w:ascii="Arial" w:cs="Arial" w:eastAsia="Arial" w:hAnsi="Arial"/>
          <w:sz w:val="14"/>
          <w:szCs w:val="14"/>
          <w:i w:val="1"/>
          <w:iCs w:val="1"/>
          <w:color w:val="auto"/>
        </w:rPr>
        <w:t xml:space="preserve"> </w:t>
      </w:r>
      <w:r>
        <w:rPr>
          <w:rFonts w:ascii="Arial" w:cs="Arial" w:eastAsia="Arial" w:hAnsi="Arial"/>
          <w:sz w:val="14"/>
          <w:szCs w:val="14"/>
          <w:color w:val="auto"/>
        </w:rPr>
        <w:t>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320"/>
          </w:cols>
          <w:pgMar w:left="240" w:top="408" w:right="133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i w:val="1"/>
          <w:iCs w:val="1"/>
          <w:color w:val="auto"/>
        </w:rPr>
        <w:t xml:space="preserve">Outside Directors. </w:t>
      </w:r>
      <w:r>
        <w:rPr>
          <w:rFonts w:ascii="Arial" w:cs="Arial" w:eastAsia="Arial" w:hAnsi="Arial"/>
          <w:sz w:val="13"/>
          <w:szCs w:val="13"/>
          <w:color w:val="auto"/>
        </w:rPr>
        <w:t>Our 2018 Plan includes a maximum annual limit of $1,200,000 of cash compensation and equity awards that may be paid,</w:t>
      </w:r>
      <w:r>
        <w:rPr>
          <w:rFonts w:ascii="Arial" w:cs="Arial" w:eastAsia="Arial" w:hAnsi="Arial"/>
          <w:sz w:val="13"/>
          <w:szCs w:val="13"/>
          <w:i w:val="1"/>
          <w:iCs w:val="1"/>
          <w:color w:val="auto"/>
        </w:rPr>
        <w:t xml:space="preserve"> </w:t>
      </w:r>
      <w:r>
        <w:rPr>
          <w:rFonts w:ascii="Arial" w:cs="Arial" w:eastAsia="Arial" w:hAnsi="Arial"/>
          <w:sz w:val="13"/>
          <w:szCs w:val="13"/>
          <w:color w:val="auto"/>
        </w:rPr>
        <w:t>issued, or granted to an outside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Unless the administrator provides otherwise, our 2018 Plan generally does not allow for the transfer of awards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55"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In the event of certain changes in our capitalization, to prevent diminution or enlargement of the benefits or potential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38"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i w:val="1"/>
          <w:iCs w:val="1"/>
          <w:color w:val="auto"/>
        </w:rPr>
        <w:t>Dissolution or liquidation</w:t>
      </w:r>
      <w:r>
        <w:rPr>
          <w:rFonts w:ascii="Arial" w:cs="Arial" w:eastAsia="Arial" w:hAnsi="Arial"/>
          <w:sz w:val="15"/>
          <w:szCs w:val="15"/>
          <w:color w:val="auto"/>
        </w:rPr>
        <w:t>. In the event of our proposed liquidation or dissolution, the administrator will notify participants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and all awards will terminate immediately prior to the consummation of such proposed transaction.</w:t>
      </w:r>
    </w:p>
    <w:p>
      <w:pPr>
        <w:spacing w:after="0" w:line="146" w:lineRule="exact"/>
        <w:rPr>
          <w:sz w:val="20"/>
          <w:szCs w:val="20"/>
          <w:color w:val="auto"/>
        </w:rPr>
      </w:pPr>
    </w:p>
    <w:p>
      <w:pPr>
        <w:jc w:val="both"/>
        <w:ind w:left="1120" w:right="340" w:firstLine="368"/>
        <w:spacing w:after="0" w:line="290" w:lineRule="auto"/>
        <w:rPr>
          <w:sz w:val="20"/>
          <w:szCs w:val="20"/>
          <w:color w:val="auto"/>
        </w:rPr>
      </w:pPr>
      <w:r>
        <w:rPr>
          <w:rFonts w:ascii="Arial" w:cs="Arial" w:eastAsia="Arial" w:hAnsi="Arial"/>
          <w:sz w:val="14"/>
          <w:szCs w:val="14"/>
          <w:i w:val="1"/>
          <w:iCs w:val="1"/>
          <w:color w:val="auto"/>
        </w:rPr>
        <w:t>Merger or change in control</w:t>
      </w:r>
      <w:r>
        <w:rPr>
          <w:rFonts w:ascii="Arial" w:cs="Arial" w:eastAsia="Arial" w:hAnsi="Arial"/>
          <w:sz w:val="14"/>
          <w:szCs w:val="14"/>
          <w:color w:val="auto"/>
        </w:rPr>
        <w:t>. Our 2018 Plan provides that in the event of a merger or change in control, as defined under our 2018 Plan, each</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3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3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59"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will be subject to any clawback policy of ours, and the administrator also may specify in an award agreement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4"/>
          <w:szCs w:val="14"/>
          <w:i w:val="1"/>
          <w:iCs w:val="1"/>
          <w:color w:val="auto"/>
        </w:rPr>
        <w:t>.</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300"/>
          </w:cols>
          <w:pgMar w:left="240" w:top="407" w:right="135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2018 Plan provided such action does not impair</w:t>
      </w:r>
      <w:r>
        <w:rPr>
          <w:rFonts w:ascii="Arial" w:cs="Arial" w:eastAsia="Arial" w:hAnsi="Arial"/>
          <w:sz w:val="15"/>
          <w:szCs w:val="15"/>
          <w:i w:val="1"/>
          <w:iCs w:val="1"/>
          <w:color w:val="auto"/>
        </w:rPr>
        <w:t xml:space="preserve"> </w:t>
      </w:r>
      <w:r>
        <w:rPr>
          <w:rFonts w:ascii="Arial" w:cs="Arial" w:eastAsia="Arial" w:hAnsi="Arial"/>
          <w:sz w:val="15"/>
          <w:szCs w:val="15"/>
          <w:color w:val="auto"/>
        </w:rPr>
        <w:t>the existing rights of any participant. Our 2018 Plan automatically will terminate in 2028, unless we terminate it sooner.</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Stock Incentive Plan</w:t>
      </w:r>
    </w:p>
    <w:p>
      <w:pPr>
        <w:spacing w:after="0" w:line="98" w:lineRule="exact"/>
        <w:rPr>
          <w:sz w:val="20"/>
          <w:szCs w:val="20"/>
          <w:color w:val="auto"/>
        </w:rPr>
      </w:pPr>
    </w:p>
    <w:p>
      <w:pPr>
        <w:ind w:left="1120" w:firstLine="368"/>
        <w:spacing w:after="0" w:line="292" w:lineRule="auto"/>
        <w:rPr>
          <w:sz w:val="20"/>
          <w:szCs w:val="20"/>
          <w:color w:val="auto"/>
        </w:rPr>
      </w:pPr>
      <w:r>
        <w:rPr>
          <w:rFonts w:ascii="Arial" w:cs="Arial" w:eastAsia="Arial" w:hAnsi="Arial"/>
          <w:sz w:val="13"/>
          <w:szCs w:val="13"/>
          <w:color w:val="auto"/>
        </w:rPr>
        <w:t>In February 2018, our Board of Directors adopted, and in March 2018 our stockholders approved, our 2018 Class C Plan. Our 2018 Class C Plan will be effective on the business day immediately prior to the effective date of our registration statement related to this offering and is not expected to be used immediately. A total of 41,368,326 shares of our Class C common stock will be reserved for issuance pursuant to our 2018 Class C Plan. If and when authorized by our Board of Directors, the number of shares available for issuance under our 2018 Class C Plan will be increased on the first day of each fiscal year following the year of such authorization, in an amount equal to the least of (i) 41,368,326 shares of our Class C common stock, (ii) five percent (5%) of the outstanding shares of all classes of the Company’s common stock on the last day of the immediately preceding fiscal year, or</w:t>
      </w:r>
    </w:p>
    <w:p>
      <w:pPr>
        <w:spacing w:after="0" w:line="1" w:lineRule="exact"/>
        <w:rPr>
          <w:sz w:val="20"/>
          <w:szCs w:val="20"/>
          <w:color w:val="auto"/>
        </w:rPr>
      </w:pPr>
    </w:p>
    <w:p>
      <w:pPr>
        <w:ind w:left="1120" w:right="100" w:hanging="8"/>
        <w:spacing w:after="0" w:line="262" w:lineRule="auto"/>
        <w:tabs>
          <w:tab w:leader="none" w:pos="1383" w:val="left"/>
        </w:tabs>
        <w:numPr>
          <w:ilvl w:val="0"/>
          <w:numId w:val="70"/>
        </w:numPr>
        <w:rPr>
          <w:rFonts w:ascii="Arial" w:cs="Arial" w:eastAsia="Arial" w:hAnsi="Arial"/>
          <w:sz w:val="15"/>
          <w:szCs w:val="15"/>
          <w:color w:val="auto"/>
        </w:rPr>
      </w:pPr>
      <w:r>
        <w:rPr>
          <w:rFonts w:ascii="Arial" w:cs="Arial" w:eastAsia="Arial" w:hAnsi="Arial"/>
          <w:sz w:val="15"/>
          <w:szCs w:val="15"/>
          <w:color w:val="auto"/>
        </w:rPr>
        <w:t>such number of shares of our Class C common stock determined by our Board of Directors. Our 2018 Class C Plan will provide for the same types of grants and will include the same terms and conditions as those described above for our 2018 Plan.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Employee Stock Purchase Plan</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In February 2018, our Board of Directors adopted, and in March 2018 our stockholders approved, our Employee Stock Purchase Plan, or the ESPP. Our ESPP will be effective on the business day immediately prior to the effective date of the registration statement of which this prospectus forms a part. However, no offering period or purchase period under the ESPP will begin unless and until determined by our Board of Directors.</w:t>
      </w:r>
    </w:p>
    <w:p>
      <w:pPr>
        <w:spacing w:after="0" w:line="138" w:lineRule="exact"/>
        <w:rPr>
          <w:sz w:val="20"/>
          <w:szCs w:val="20"/>
          <w:color w:val="auto"/>
        </w:rPr>
      </w:pPr>
    </w:p>
    <w:p>
      <w:pPr>
        <w:jc w:val="both"/>
        <w:ind w:left="1120" w:right="100" w:firstLine="368"/>
        <w:spacing w:after="0" w:line="290"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 shares of our Class A common stock will be available for sale under our ESPP. The number of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our Class A common stock that will be available for sale under our ESPP also includes an annual increase on the first day of each fiscal year beginning for the fiscal year following the fiscal year in which the first offering period enrollment date (if any) occurs, equal to the least of:</w:t>
      </w:r>
    </w:p>
    <w:p>
      <w:pPr>
        <w:spacing w:after="0" w:line="59" w:lineRule="exact"/>
        <w:rPr>
          <w:sz w:val="20"/>
          <w:szCs w:val="20"/>
          <w:color w:val="auto"/>
        </w:rPr>
      </w:pPr>
    </w:p>
    <w:p>
      <w:pPr>
        <w:ind w:left="1840" w:hanging="276"/>
        <w:spacing w:after="0"/>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4,136,832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one and a half percent (1.5%) of the outstanding shares of our capital stock as of the last day of the immediately preceding fiscal year; or</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such other amount as the administrator may determine.</w:t>
      </w:r>
    </w:p>
    <w:p>
      <w:pPr>
        <w:spacing w:after="0" w:line="188" w:lineRule="exact"/>
        <w:rPr>
          <w:sz w:val="20"/>
          <w:szCs w:val="20"/>
          <w:color w:val="auto"/>
        </w:rPr>
      </w:pPr>
    </w:p>
    <w:p>
      <w:pPr>
        <w:ind w:left="1120" w:right="200" w:firstLine="368"/>
        <w:spacing w:after="0" w:line="274"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a committee appointed by our Board of Directors will administer our ESPP, and have full but</w:t>
      </w:r>
      <w:r>
        <w:rPr>
          <w:rFonts w:ascii="Arial" w:cs="Arial" w:eastAsia="Arial" w:hAnsi="Arial"/>
          <w:sz w:val="14"/>
          <w:szCs w:val="14"/>
          <w:i w:val="1"/>
          <w:iCs w:val="1"/>
          <w:color w:val="auto"/>
        </w:rPr>
        <w:t xml:space="preserve"> </w:t>
      </w:r>
      <w:r>
        <w:rPr>
          <w:rFonts w:ascii="Arial" w:cs="Arial" w:eastAsia="Arial" w:hAnsi="Arial"/>
          <w:sz w:val="14"/>
          <w:szCs w:val="14"/>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50" w:lineRule="exact"/>
        <w:rPr>
          <w:sz w:val="20"/>
          <w:szCs w:val="20"/>
          <w:color w:val="auto"/>
        </w:rPr>
      </w:pPr>
    </w:p>
    <w:p>
      <w:pPr>
        <w:jc w:val="both"/>
        <w:ind w:left="1120" w:right="160" w:firstLine="368"/>
        <w:spacing w:after="0" w:line="263"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Generally, all of our employees will be eligible to participate if they are customarily employed by us, or any participating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for at least 20 hours per week and more than five months in any calendar year. The administrator, in its discretion, may, prior to an enrollment date for all options granted on such</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300"/>
          </w:cols>
          <w:pgMar w:left="240" w:top="408"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and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However, an employee may not be granted rights to purchase shares of our Class A common stock under our ESPP if such employee:</w:t>
      </w:r>
    </w:p>
    <w:p>
      <w:pPr>
        <w:spacing w:after="0" w:line="121" w:lineRule="exact"/>
        <w:rPr>
          <w:sz w:val="20"/>
          <w:szCs w:val="20"/>
          <w:color w:val="auto"/>
        </w:rPr>
      </w:pPr>
    </w:p>
    <w:p>
      <w:pPr>
        <w:ind w:left="1840" w:right="20" w:hanging="276"/>
        <w:spacing w:after="0" w:line="275" w:lineRule="auto"/>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possessing 5% or more of the total combined voting power or value of all classes of our capital stock; or</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hold rights to purchase shares of our Class A common stock under all of our employee stock purchase plans that accrue at a rate that exceeds $25,000 worth of shares of our Class A common stock for each calendar year.</w:t>
      </w:r>
    </w:p>
    <w:p>
      <w:pPr>
        <w:spacing w:after="0" w:line="14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i w:val="1"/>
          <w:iCs w:val="1"/>
          <w:color w:val="auto"/>
        </w:rPr>
        <w:t>Offering periods; purchase periods</w:t>
      </w:r>
      <w:r>
        <w:rPr>
          <w:rFonts w:ascii="Arial" w:cs="Arial" w:eastAsia="Arial" w:hAnsi="Arial"/>
          <w:sz w:val="14"/>
          <w:szCs w:val="14"/>
          <w:color w:val="auto"/>
        </w:rPr>
        <w:t>. Our ESPP includes a component that allows us to make offerings intended to qualify under Section 423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47" w:lineRule="exact"/>
        <w:rPr>
          <w:sz w:val="20"/>
          <w:szCs w:val="20"/>
          <w:color w:val="auto"/>
        </w:rPr>
      </w:pPr>
    </w:p>
    <w:p>
      <w:pPr>
        <w:ind w:left="1120" w:right="400" w:firstLine="368"/>
        <w:spacing w:after="0" w:line="263" w:lineRule="auto"/>
        <w:rPr>
          <w:sz w:val="20"/>
          <w:szCs w:val="20"/>
          <w:color w:val="auto"/>
        </w:rPr>
      </w:pPr>
      <w:r>
        <w:rPr>
          <w:rFonts w:ascii="Arial" w:cs="Arial" w:eastAsia="Arial" w:hAnsi="Arial"/>
          <w:sz w:val="15"/>
          <w:szCs w:val="15"/>
          <w:i w:val="1"/>
          <w:iCs w:val="1"/>
          <w:color w:val="auto"/>
        </w:rPr>
        <w:t>Contributions</w:t>
      </w:r>
      <w:r>
        <w:rPr>
          <w:rFonts w:ascii="Arial" w:cs="Arial" w:eastAsia="Arial" w:hAnsi="Arial"/>
          <w:sz w:val="15"/>
          <w:szCs w:val="15"/>
          <w:color w:val="auto"/>
        </w:rPr>
        <w:t>. Our ESPP permits participants to purchase shares of our Class A common stock through contributions (in the form of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or otherwise to the extent permitted by the administrator) of up to 15% of their eligible compensation. A participant may purchase a maximum of 2,500 shares of our Class A common stock during a purchase period.</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i w:val="1"/>
          <w:iCs w:val="1"/>
          <w:color w:val="auto"/>
        </w:rPr>
        <w:t>Exercise of purchase right</w:t>
      </w:r>
      <w:r>
        <w:rPr>
          <w:rFonts w:ascii="Arial" w:cs="Arial" w:eastAsia="Arial" w:hAnsi="Arial"/>
          <w:sz w:val="15"/>
          <w:szCs w:val="15"/>
          <w:color w:val="auto"/>
        </w:rPr>
        <w:t>. If our Board of Directors authorizes an offering and purchase period under the ESPP, amounts contributed and</w:t>
      </w:r>
      <w:r>
        <w:rPr>
          <w:rFonts w:ascii="Arial" w:cs="Arial" w:eastAsia="Arial" w:hAnsi="Arial"/>
          <w:sz w:val="15"/>
          <w:szCs w:val="15"/>
          <w:i w:val="1"/>
          <w:iCs w:val="1"/>
          <w:color w:val="auto"/>
        </w:rPr>
        <w:t xml:space="preserve"> </w:t>
      </w:r>
      <w:r>
        <w:rPr>
          <w:rFonts w:ascii="Arial" w:cs="Arial" w:eastAsia="Arial" w:hAnsi="Arial"/>
          <w:sz w:val="15"/>
          <w:szCs w:val="15"/>
          <w:color w:val="auto"/>
        </w:rPr>
        <w:t>accumulated by the participant during any offering period will be used to purchase shares of our Class A common stock at the end of each purchase period established by our Board of Directors. The purchase price of the shares will be 85%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64"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i w:val="1"/>
          <w:iCs w:val="1"/>
          <w:color w:val="auto"/>
        </w:rPr>
        <w:t>Non-transferability</w:t>
      </w:r>
      <w:r>
        <w:rPr>
          <w:rFonts w:ascii="Arial" w:cs="Arial" w:eastAsia="Arial" w:hAnsi="Arial"/>
          <w:sz w:val="15"/>
          <w:szCs w:val="15"/>
          <w:color w:val="auto"/>
        </w:rPr>
        <w:t>. A participant may not transfer rights granted under our ESPP. If our compensation committee permits the transfer of rights, it</w:t>
      </w:r>
      <w:r>
        <w:rPr>
          <w:rFonts w:ascii="Arial" w:cs="Arial" w:eastAsia="Arial" w:hAnsi="Arial"/>
          <w:sz w:val="15"/>
          <w:szCs w:val="15"/>
          <w:i w:val="1"/>
          <w:iCs w:val="1"/>
          <w:color w:val="auto"/>
        </w:rPr>
        <w:t xml:space="preserve"> </w:t>
      </w:r>
      <w:r>
        <w:rPr>
          <w:rFonts w:ascii="Arial" w:cs="Arial" w:eastAsia="Arial" w:hAnsi="Arial"/>
          <w:sz w:val="15"/>
          <w:szCs w:val="15"/>
          <w:color w:val="auto"/>
        </w:rPr>
        <w:t>may only be done by will, the laws of descent and distribution, or as otherwise provided under our ESPP.</w:t>
      </w:r>
    </w:p>
    <w:p>
      <w:pPr>
        <w:spacing w:after="0" w:line="146"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i w:val="1"/>
          <w:iCs w:val="1"/>
          <w:color w:val="auto"/>
        </w:rPr>
        <w:t>Merger or change in control</w:t>
      </w:r>
      <w:r>
        <w:rPr>
          <w:rFonts w:ascii="Arial" w:cs="Arial" w:eastAsia="Arial" w:hAnsi="Arial"/>
          <w:sz w:val="13"/>
          <w:szCs w:val="13"/>
          <w:color w:val="auto"/>
        </w:rPr>
        <w:t>. Our ESPP provides that in the event of a merger or change in control, as defined under our ESPP, a successor</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7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300"/>
          </w:cols>
          <w:pgMar w:left="240" w:top="407" w:right="135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ESPP, except that, subject to certain exceptions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Employee Stock Purchase Plan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In February 2018, our Board of Directors adopted, and in March 2018 our stockholders approved, our 2018 Class C ESPP. Our 2018 Class C ESPP will be effective on the business day immediately prior to the effective date of our registration statement related to this offering. No offering period or purchase period under the ESPP will begin unless and until determined by our Board of Directors. A total of 4,136,832 shares of our Class C common stock will be reserved for sale pursuant to our 2018 Class C ESPP. The number of shares available for sale under our 2018 Class C ESPP will be increased on the first day of each fiscal year beginning for the fiscal year following the commencement of the first offering period under our 2018 Class C ESPP, in an amount equal to the least of (i) 4,136,832 shares of our Class C common stock, (ii) one and a half percent (1.5%) of the outstanding shares of our Class C common stock on the last day of the immediately preceding fiscal year or (iii) such number of shares of our Class C common stock determined by our Board of Directors. Our 2018 Class C ESPP will include the same terms and conditions as those described above for our ESPP. Our 2018 Class C ESPP will automatically terminate in 2038, unless we terminate it sooner.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2017 Equity Incentive Plan</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55"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Our 2017 Plan will be terminated immediately prior to the effectiveness of our 2018 Plan, and accordingly, no shares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for issuance under the 2017 Plan following its termination. Our 2017 Plan will continue to govern outstanding awards granted thereunder. As of December 31, 2017, 8,979,801 shares of our Class A common stock were reserved for future issuance under our 2017 Plan and RSUs covering 16,707,823 shares of our Class A common stock remained outstanding under our 2017 Plan.</w:t>
      </w:r>
    </w:p>
    <w:p>
      <w:pPr>
        <w:spacing w:after="0" w:line="143"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may administer our 2017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i w:val="1"/>
          <w:iCs w:val="1"/>
          <w:color w:val="auto"/>
        </w:rPr>
        <w:t>Options</w:t>
      </w:r>
      <w:r>
        <w:rPr>
          <w:rFonts w:ascii="Arial" w:cs="Arial" w:eastAsia="Arial" w:hAnsi="Arial"/>
          <w:sz w:val="13"/>
          <w:szCs w:val="13"/>
          <w:color w:val="auto"/>
        </w:rPr>
        <w:t>. Stock options may be granted under our 2017 Plan. The exercise price per share of all options must equal at least the 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per 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320"/>
          </w:cols>
          <w:pgMar w:left="240" w:top="408" w:right="133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4"/>
          <w:szCs w:val="14"/>
          <w:color w:val="auto"/>
        </w:rPr>
        <w:t>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4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awards may be granted under our 2017 Plan. Restricted stock awards are offers by us to sell to an eligible person</w:t>
      </w:r>
      <w:r>
        <w:rPr>
          <w:rFonts w:ascii="Arial" w:cs="Arial" w:eastAsia="Arial" w:hAnsi="Arial"/>
          <w:sz w:val="15"/>
          <w:szCs w:val="15"/>
          <w:i w:val="1"/>
          <w:iCs w:val="1"/>
          <w:color w:val="auto"/>
        </w:rPr>
        <w:t xml:space="preserve"> </w:t>
      </w:r>
      <w:r>
        <w:rPr>
          <w:rFonts w:ascii="Arial" w:cs="Arial" w:eastAsia="Arial" w:hAnsi="Arial"/>
          <w:sz w:val="15"/>
          <w:szCs w:val="15"/>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58" w:lineRule="exact"/>
        <w:rPr>
          <w:sz w:val="20"/>
          <w:szCs w:val="20"/>
          <w:color w:val="auto"/>
        </w:rPr>
      </w:pPr>
    </w:p>
    <w:p>
      <w:pPr>
        <w:jc w:val="both"/>
        <w:ind w:left="1120" w:right="140" w:firstLine="368"/>
        <w:spacing w:after="0" w:line="257"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2017 Plan. RSUs are awards covering a number of shares that may be settled in cash, or by issue of those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at a date in the future. No purchase price shall apply to an RSU settled in shares. The administrator may permit an RSU holder to defer payment under an RSU to a date or dates 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59"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may be granted under our 2017 Plan. Stock appreciation rights allow the participant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in the fair market value of Class A common stock between the exercise date and the date of grant. Subject to the provisions of our 2017 Plan, the administrator determines 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64"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i w:val="1"/>
          <w:iCs w:val="1"/>
          <w:color w:val="auto"/>
        </w:rPr>
        <w:t>Transferability or assignability of awards</w:t>
      </w:r>
      <w:r>
        <w:rPr>
          <w:rFonts w:ascii="Arial" w:cs="Arial" w:eastAsia="Arial" w:hAnsi="Arial"/>
          <w:sz w:val="15"/>
          <w:szCs w:val="15"/>
          <w:color w:val="auto"/>
        </w:rPr>
        <w:t>. Our 2017 Plan generally does not allow for the transfer or assignment of awards, other than by will or</w:t>
      </w:r>
      <w:r>
        <w:rPr>
          <w:rFonts w:ascii="Arial" w:cs="Arial" w:eastAsia="Arial" w:hAnsi="Arial"/>
          <w:sz w:val="15"/>
          <w:szCs w:val="15"/>
          <w:i w:val="1"/>
          <w:iCs w:val="1"/>
          <w:color w:val="auto"/>
        </w:rPr>
        <w:t xml:space="preserve"> </w:t>
      </w:r>
      <w:r>
        <w:rPr>
          <w:rFonts w:ascii="Arial" w:cs="Arial" w:eastAsia="Arial" w:hAnsi="Arial"/>
          <w:sz w:val="15"/>
          <w:szCs w:val="15"/>
          <w:color w:val="auto"/>
        </w:rPr>
        <w:t>by the 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59"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 xml:space="preserve">Certain adjustments. </w:t>
      </w:r>
      <w:r>
        <w:rPr>
          <w:rFonts w:ascii="Arial" w:cs="Arial" w:eastAsia="Arial" w:hAnsi="Arial"/>
          <w:sz w:val="15"/>
          <w:szCs w:val="15"/>
          <w:color w:val="auto"/>
        </w:rPr>
        <w:t>In the event of certain changes in our capitalization, the administrator will proportionally adjust the number of shares that</w:t>
      </w:r>
      <w:r>
        <w:rPr>
          <w:rFonts w:ascii="Arial" w:cs="Arial" w:eastAsia="Arial" w:hAnsi="Arial"/>
          <w:sz w:val="15"/>
          <w:szCs w:val="15"/>
          <w:i w:val="1"/>
          <w:iCs w:val="1"/>
          <w:color w:val="auto"/>
        </w:rPr>
        <w:t xml:space="preserve"> </w:t>
      </w:r>
      <w:r>
        <w:rPr>
          <w:rFonts w:ascii="Arial" w:cs="Arial" w:eastAsia="Arial" w:hAnsi="Arial"/>
          <w:sz w:val="15"/>
          <w:szCs w:val="15"/>
          <w:color w:val="auto"/>
        </w:rPr>
        <w:t>may be delivered under our 2017 Plan and/or the number and price of shares covered by each outstanding award subject to any required action by our Board of Directors or stockholders.</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i w:val="1"/>
          <w:iCs w:val="1"/>
          <w:color w:val="auto"/>
        </w:rPr>
        <w:t xml:space="preserve">Dissolution or liquidation. </w:t>
      </w:r>
      <w:r>
        <w:rPr>
          <w:rFonts w:ascii="Arial" w:cs="Arial" w:eastAsia="Arial" w:hAnsi="Arial"/>
          <w:sz w:val="15"/>
          <w:szCs w:val="15"/>
          <w:color w:val="auto"/>
        </w:rPr>
        <w:t>In the event of our proposed liquidation or dissolution, our Board of Directors may terminate any and all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awards followed by the payment of creditors and the distribution of any remaining funds to the our stockholders.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320"/>
          </w:cols>
          <w:pgMar w:left="240" w:top="408" w:right="133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i w:val="1"/>
          <w:iCs w:val="1"/>
          <w:color w:val="auto"/>
        </w:rPr>
        <w:t>Acquisition or other combination</w:t>
      </w:r>
      <w:r>
        <w:rPr>
          <w:rFonts w:ascii="Arial" w:cs="Arial" w:eastAsia="Arial" w:hAnsi="Arial"/>
          <w:sz w:val="14"/>
          <w:szCs w:val="14"/>
          <w:color w:val="auto"/>
        </w:rPr>
        <w:t>. If we are subject to an acquisition, consolidation, or merger, or similar conversion event, outstanding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under 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Our Board of Directors may terminate or amend our 2017 Plan at any time, provided that such amendment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impair 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2008 Equity Incentive Plan, As Amended</w:t>
      </w:r>
    </w:p>
    <w:p>
      <w:pPr>
        <w:spacing w:after="0" w:line="98" w:lineRule="exact"/>
        <w:rPr>
          <w:sz w:val="20"/>
          <w:szCs w:val="20"/>
          <w:color w:val="auto"/>
        </w:rPr>
      </w:pPr>
    </w:p>
    <w:p>
      <w:pPr>
        <w:ind w:left="1120" w:right="60" w:firstLine="368"/>
        <w:spacing w:after="0" w:line="292" w:lineRule="auto"/>
        <w:rPr>
          <w:sz w:val="20"/>
          <w:szCs w:val="20"/>
          <w:color w:val="auto"/>
        </w:rPr>
      </w:pPr>
      <w:r>
        <w:rPr>
          <w:rFonts w:ascii="Arial" w:cs="Arial" w:eastAsia="Arial" w:hAnsi="Arial"/>
          <w:sz w:val="13"/>
          <w:szCs w:val="13"/>
          <w:color w:val="auto"/>
        </w:rPr>
        <w:t>Our Board of Directors and stockholders adopted our 2008 Plan in January 2008. Our 2008 Plan was most recently amended in November 2016. Our 2008 Plan was terminated in connection with our adoption of our 2017 Plan. As of December 31, 2017, options to purchase 4,959,492 shares of our Class B common stock remained outstanding under our 2008 Plan at a weighted-average exercise price of approximately $10.52 per share and RSUs covering 38,219,737 shares of our Class B common stock remained outstanding under our 2008 Plan. Awards granted under the 2008 Plan generally are subject to terms similar to those described above with respect to options and RSUs granted under the 2017 Plan. Our 2008 Plan provides that if there is</w:t>
      </w:r>
    </w:p>
    <w:p>
      <w:pPr>
        <w:spacing w:after="0" w:line="2" w:lineRule="exact"/>
        <w:rPr>
          <w:sz w:val="20"/>
          <w:szCs w:val="20"/>
          <w:color w:val="auto"/>
        </w:rPr>
      </w:pPr>
    </w:p>
    <w:p>
      <w:pPr>
        <w:ind w:left="1120" w:hanging="8"/>
        <w:spacing w:after="0" w:line="271" w:lineRule="auto"/>
        <w:tabs>
          <w:tab w:leader="none" w:pos="1299" w:val="left"/>
        </w:tabs>
        <w:numPr>
          <w:ilvl w:val="0"/>
          <w:numId w:val="73"/>
        </w:numPr>
        <w:rPr>
          <w:rFonts w:ascii="Arial" w:cs="Arial" w:eastAsia="Arial" w:hAnsi="Arial"/>
          <w:sz w:val="14"/>
          <w:szCs w:val="14"/>
          <w:color w:val="auto"/>
        </w:rPr>
      </w:pPr>
      <w:r>
        <w:rPr>
          <w:rFonts w:ascii="Arial" w:cs="Arial" w:eastAsia="Arial" w:hAnsi="Arial"/>
          <w:sz w:val="14"/>
          <w:szCs w:val="14"/>
          <w:color w:val="auto"/>
        </w:rPr>
        <w:t>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 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246"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Cash Bonus Plan</w:t>
      </w:r>
    </w:p>
    <w:p>
      <w:pPr>
        <w:spacing w:after="0" w:line="98" w:lineRule="exact"/>
        <w:rPr>
          <w:sz w:val="20"/>
          <w:szCs w:val="20"/>
          <w:color w:val="auto"/>
        </w:rPr>
      </w:pPr>
    </w:p>
    <w:p>
      <w:pPr>
        <w:ind w:left="1120" w:right="700" w:firstLine="368"/>
        <w:spacing w:after="0" w:line="312" w:lineRule="auto"/>
        <w:rPr>
          <w:sz w:val="20"/>
          <w:szCs w:val="20"/>
          <w:color w:val="auto"/>
        </w:rPr>
      </w:pPr>
      <w:r>
        <w:rPr>
          <w:rFonts w:ascii="Arial" w:cs="Arial" w:eastAsia="Arial" w:hAnsi="Arial"/>
          <w:sz w:val="14"/>
          <w:szCs w:val="14"/>
          <w:color w:val="auto"/>
        </w:rPr>
        <w:t>Our Board of Directors has adopted a cash bonus plan, or our Cash Bonus Plan, that allows us to financially incentivize and reward our employees, including our executive officers, based upon our performance and their individual contributions to our success.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Cash Bonus Plan is administered by our Compensation Committee. Our Compensation Committee has the discretionary authority to interpret and administer our Cash Bonus Plan, including all terms defined therein, and to adopt rules and regulations to implement our Cash Bonus Plan, as it deems necessary. Our Compensation Committee has delegated to our Chief Financial Officer and our Vice President of People the day-to-day implementation and interpretation of our Cash Bonus Plan, including the approval of individual payouts under our Cash Bonus Plan to employees other than our executive management team. However, approval of our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320"/>
          </w:cols>
          <w:pgMar w:left="240" w:top="407" w:right="133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Compensation Committee is required for any material amendments to our Cash Bonus Plan, approval of the aggregate payout under our Cash Bonus Plan, and approval of individual payouts under the Plan to the executive management team.</w:t>
      </w:r>
    </w:p>
    <w:p>
      <w:pPr>
        <w:spacing w:after="0" w:line="146"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Unless otherwise determined by our Compensation Committee, all of our employees, including our named executive officers, who (i) are employed by us before November 1 of the applicable calendar year and (ii) not covered by any other performance bonus, commission, or incentive plan, are eligible to participate in our Cash Bonus Plan. Participation in our Cash Bonus Plan is effective on the later of January 1 or the applicable subsequent calendar year or the day (prior to November 1) that the eligible employee commences as a full-time/part-time regular employee of ours.</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Our Cash Bonus Plan features annual performance periods. For each performance period, our Compensation Committee, in its sole discretion, will establish a bonus pool, which may be established before, during or after the applicable performance period. Our Compensation Committee may, in its sole discretion and at any time, increase, reduce, or eliminate the amount allocated to the bonus pool. Actual awards will be paid from the bonus pool subject to the terms and conditions set forth in our Cash Bonus Plan.</w:t>
      </w:r>
    </w:p>
    <w:p>
      <w:pPr>
        <w:spacing w:after="0" w:line="158"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Our Compensation Committee will, in its sole discretion, determine the performance goals applicable to any award. The goals may be based on any such factors our Compensation Committee determines relevant, and may be on an individual, divisional, business unit, or company-wide basis. Performance goals may be measured over the period of time determined by our Compensation Committee in its sole discretion. A performance period may be divided into one or more shorter periods if, for example, but not by way of limitation, our Compensation Committee desires to measure some performance criteria over 12 months and other criteria over fewer months. The performance goals may differ from eligible employee to eligible employee and from award to award. Failure to meet the goals will result in a failure to earn the award, except as provided in our Cash Bonus Plan. As determined by our Compensation Committee, the performance goals may be based on GAAP or non-GAAP results and any actual results may be adjusted by our Compensation Committee for one-time items, unbudgeted or unexpected items, acquisition-related activities, or changes in applicable accounting rules when determining whether the performance goals have been met. Our Compensation Committee retains the sole discretion to make or not make any such equitable adjustments.</w:t>
      </w:r>
    </w:p>
    <w:p>
      <w:pPr>
        <w:spacing w:after="0" w:line="154"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An eligible employee’s bonus target is the percentage of his or her “eligible earnings” to be paid out at 100% performance achievement, determined by his or her position and communicated at the time of hire or as amended in writing. The bonus may be weighted based on individual performance to measurable objectives and company performance. The bonus can provide for payout above target for performance in excess of the individual performance factors and/or company performance factors. “Eligible earnings” means base salary as of December 31 of the applicable performance period, prorated for hire date and leaves of absence (proration based on the number of days in the performance period, as permitted by applicable law) that occur in the performance period. Eligible earnings exclude Company payments that are in addition to base salary, including, but not limited to, overtime, payments for moving or relocation allowances, or other wages (including but not limited to bonuses or commissions).</w:t>
      </w:r>
    </w:p>
    <w:p>
      <w:pPr>
        <w:spacing w:after="0" w:line="148"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Bonuses are earned on the date of payment and not sooner, either in whole or in part. Bonuses will be paid in cash as soon as practicable after we determine our financial results for the performance period, which generally occurs in the fiscal quarter immediately following the end of the performance period. Achieved bonuses, if any, will be paid before March 15 of such succeeding calendar year. Unless otherwise determined by the plan administrator, an eligible employee must be employed by us through the date the bonus is paid.</w:t>
      </w:r>
    </w:p>
    <w:p>
      <w:pPr>
        <w:spacing w:after="0" w:line="15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reserve the right, in our sole discretion, to modify or terminate the Cash Bonus Plan in total or in part, at any time. Any such change must be in writing and approved by the compensation committee. However, no modification or termination shall apply retroactively as to cause a forfeiture of an earned bonus.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320"/>
          </w:cols>
          <w:pgMar w:left="240" w:top="407" w:right="133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401(k) plan</w:t>
      </w:r>
    </w:p>
    <w:p>
      <w:pPr>
        <w:spacing w:after="0" w:line="98" w:lineRule="exact"/>
        <w:rPr>
          <w:sz w:val="20"/>
          <w:szCs w:val="20"/>
          <w:color w:val="auto"/>
        </w:rPr>
      </w:pPr>
    </w:p>
    <w:p>
      <w:pPr>
        <w:ind w:left="1120" w:right="59" w:firstLine="368"/>
        <w:spacing w:after="0" w:line="257" w:lineRule="auto"/>
        <w:rPr>
          <w:sz w:val="20"/>
          <w:szCs w:val="20"/>
          <w:color w:val="auto"/>
        </w:rPr>
      </w:pPr>
      <w:r>
        <w:rPr>
          <w:rFonts w:ascii="Arial" w:cs="Arial" w:eastAsia="Arial" w:hAnsi="Arial"/>
          <w:sz w:val="15"/>
          <w:szCs w:val="15"/>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19"/>
          </w:cols>
          <w:pgMar w:left="240" w:top="407" w:right="1440"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CERTAIN RELATIONSHIPS, RELATED PARTY TRANSACTIONS, AND OTHER TRANSACTIONS</w:t>
      </w:r>
    </w:p>
    <w:p>
      <w:pPr>
        <w:spacing w:after="0" w:line="19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76" w:lineRule="exact"/>
        <w:rPr>
          <w:sz w:val="20"/>
          <w:szCs w:val="20"/>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109" w:lineRule="exact"/>
        <w:rPr>
          <w:rFonts w:ascii="Arial" w:cs="Arial" w:eastAsia="Arial" w:hAnsi="Arial"/>
          <w:sz w:val="15"/>
          <w:szCs w:val="15"/>
          <w:color w:val="auto"/>
        </w:rPr>
      </w:pPr>
    </w:p>
    <w:p>
      <w:pPr>
        <w:ind w:left="1840" w:right="40" w:hanging="276"/>
        <w:spacing w:after="0" w:line="312" w:lineRule="auto"/>
        <w:tabs>
          <w:tab w:leader="none" w:pos="18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Investors’ Rights Agreement</w:t>
      </w:r>
    </w:p>
    <w:p>
      <w:pPr>
        <w:spacing w:after="0" w:line="102" w:lineRule="exact"/>
        <w:rPr>
          <w:sz w:val="20"/>
          <w:szCs w:val="20"/>
          <w:color w:val="auto"/>
        </w:rPr>
      </w:pPr>
    </w:p>
    <w:p>
      <w:pPr>
        <w:jc w:val="both"/>
        <w:ind w:left="1120" w:right="260" w:firstLine="368"/>
        <w:spacing w:after="0" w:line="283" w:lineRule="auto"/>
        <w:rPr>
          <w:sz w:val="20"/>
          <w:szCs w:val="20"/>
          <w:color w:val="auto"/>
        </w:rPr>
      </w:pPr>
      <w:r>
        <w:rPr>
          <w:rFonts w:ascii="Arial" w:cs="Arial" w:eastAsia="Arial" w:hAnsi="Arial"/>
          <w:sz w:val="14"/>
          <w:szCs w:val="14"/>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be covered by a registration statement that we are otherwise filing. R. Bryan Schreier, a member of our Board of Directors, is affiliated with Sequoia Capital. See the section titled “Description of Capital Stock—Registration Rights” for additional information regarding these registration rights.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of First Refusal</w:t>
      </w:r>
    </w:p>
    <w:p>
      <w:pPr>
        <w:spacing w:after="0" w:line="102" w:lineRule="exact"/>
        <w:rPr>
          <w:sz w:val="20"/>
          <w:szCs w:val="20"/>
          <w:color w:val="auto"/>
        </w:rPr>
      </w:pPr>
    </w:p>
    <w:p>
      <w:pPr>
        <w:ind w:left="1120" w:right="40" w:firstLine="368"/>
        <w:spacing w:after="0" w:line="290" w:lineRule="auto"/>
        <w:rPr>
          <w:sz w:val="20"/>
          <w:szCs w:val="20"/>
          <w:color w:val="auto"/>
        </w:rPr>
      </w:pPr>
      <w:r>
        <w:rPr>
          <w:rFonts w:ascii="Arial" w:cs="Arial" w:eastAsia="Arial" w:hAnsi="Arial"/>
          <w:sz w:val="14"/>
          <w:szCs w:val="14"/>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Voting and Drag-Along Agreement</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are party to our Amended and Restated Voting and Drag-Along Agreement, or Voting Agreement, dated as of April 21, 2016, under which certain holders of our capital stock, including entities affiliated with each of Sequoia Capital, Accel, and T. Rowe Price, have agreed to vote their shares of our capital stock on certain matters, including with respect to the election of directors. R. Bryan Schreier, a member of our Board of Directors, is affiliated with Sequoia Capital. Immediately prior to the completion of this offering, the Voting Agreement will terminate and none of our stockholders will have any special rights regarding the election or designation of members of our Board of Directors.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Commercial Arrangement</w:t>
      </w:r>
    </w:p>
    <w:p>
      <w:pPr>
        <w:spacing w:after="0" w:line="10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previously had a commercial relationship with Hewlett-Packard Company, of which Ms. Whitman, a member of our Board of Directors, served as the Chief Executive Officer from September 2011 to November 2015. During 2015, we made payments of $37.3 million for capital leases and commercial products and services provided by the Hewlett-Packard Company.</w:t>
      </w:r>
    </w:p>
    <w:p>
      <w:pPr>
        <w:spacing w:after="0" w:line="155"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also have a commercial relationship with HPE, of which Ms. Whitman served as Chief Executive Officer from November 2015 to January 2018. These commercial relationships include infrastructure equipment under capital leases, the purchase of commercial products and other services, and a multi-year subscription agreement for access to the Dropbox platform. During 2016, we received payments of $1.0 million for services rendered to HPE. During 2015, 2016, and 2017, we made payments of $10.9 million, $79.7 million, and $81.7 million, respectively, for capital leases and commercial products and services provided by HPE.</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300"/>
          </w:cols>
          <w:pgMar w:left="240" w:top="408" w:right="135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Employment Arrangement</w:t>
      </w:r>
    </w:p>
    <w:p>
      <w:pPr>
        <w:spacing w:after="0" w:line="102"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Sheila Vashee, who is the wife of Ajay Vashee, our Chief Financial Officer, was employed by us in a non-executive capacity. Her total compensation received in 2015, 2016, and 2017, which is comprised of a base salary and bonus, as applicable, was $234,228, $249,064, and $349,888, respectively, and was in line with similar roles at the Company. Additionally, we granted Ms. Vashee equity awards covering 46,652 shares of our Class B common stock during this time.</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Dropbox Charitable Foundation</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33"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During the year ended December 31, 2017, we incurred total expense of $11.3 million, which included $9.4 million of expense for a non-cash charitable contribution, whereby we donated Class B common shares to initially fund the Foundation, and cash contributions of $1.9 million to the Foundation.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and Director Compensation</w:t>
      </w:r>
    </w:p>
    <w:p>
      <w:pPr>
        <w:spacing w:after="0" w:line="102"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43" w:lineRule="exact"/>
        <w:rPr>
          <w:sz w:val="20"/>
          <w:szCs w:val="20"/>
          <w:color w:val="auto"/>
        </w:rPr>
      </w:pPr>
    </w:p>
    <w:p>
      <w:pPr>
        <w:jc w:val="both"/>
        <w:ind w:left="1120" w:right="60" w:firstLine="368"/>
        <w:spacing w:after="0" w:line="275" w:lineRule="auto"/>
        <w:rPr>
          <w:sz w:val="20"/>
          <w:szCs w:val="20"/>
          <w:color w:val="auto"/>
        </w:rPr>
      </w:pPr>
      <w:r>
        <w:rPr>
          <w:rFonts w:ascii="Arial" w:cs="Arial" w:eastAsia="Arial" w:hAnsi="Arial"/>
          <w:sz w:val="15"/>
          <w:szCs w:val="15"/>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02"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9" w:lineRule="exact"/>
        <w:rPr>
          <w:sz w:val="20"/>
          <w:szCs w:val="20"/>
          <w:color w:val="auto"/>
        </w:rPr>
      </w:pPr>
    </w:p>
    <w:p>
      <w:pPr>
        <w:ind w:left="1840" w:hanging="276"/>
        <w:spacing w:after="0"/>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09" w:lineRule="exact"/>
        <w:rPr>
          <w:rFonts w:ascii="Arial" w:cs="Arial" w:eastAsia="Arial" w:hAnsi="Arial"/>
          <w:sz w:val="15"/>
          <w:szCs w:val="15"/>
          <w:color w:val="auto"/>
        </w:rPr>
      </w:pPr>
    </w:p>
    <w:p>
      <w:pPr>
        <w:ind w:left="1840" w:right="600" w:hanging="276"/>
        <w:spacing w:after="0" w:line="275" w:lineRule="auto"/>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300"/>
          </w:cols>
          <w:pgMar w:left="240" w:top="408" w:right="135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8" w:lineRule="exact"/>
        <w:rPr>
          <w:sz w:val="20"/>
          <w:szCs w:val="20"/>
          <w:color w:val="auto"/>
        </w:rPr>
      </w:pPr>
    </w:p>
    <w:p>
      <w:pPr>
        <w:ind w:left="1120" w:right="80" w:firstLine="368"/>
        <w:spacing w:after="0" w:line="254"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0"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8"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146"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underwriting agreement will provide for indemnification by the underwriters of us and our officers and directors for certain liabilities arising under the Securities Act or otherwise.</w:t>
      </w:r>
    </w:p>
    <w:p>
      <w:pPr>
        <w:spacing w:after="0" w:line="146" w:lineRule="exact"/>
        <w:rPr>
          <w:sz w:val="20"/>
          <w:szCs w:val="20"/>
          <w:color w:val="auto"/>
        </w:rPr>
      </w:pPr>
    </w:p>
    <w:p>
      <w:pPr>
        <w:ind w:left="1120" w:right="560" w:firstLine="368"/>
        <w:spacing w:after="0" w:line="275"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300"/>
          </w:cols>
          <w:pgMar w:left="240" w:top="408" w:right="135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opinion of the SEC, such indemnification is against public policy as expressed in the Securities Act and is therefore unenforceable.</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60"/>
          </w:cols>
          <w:pgMar w:left="240" w:top="407" w:right="139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2" w:lineRule="exact"/>
        <w:rPr>
          <w:sz w:val="20"/>
          <w:szCs w:val="20"/>
          <w:color w:val="auto"/>
        </w:rPr>
      </w:pPr>
    </w:p>
    <w:p>
      <w:pPr>
        <w:ind w:left="1120" w:right="320" w:firstLine="368"/>
        <w:spacing w:after="0" w:line="322"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capital stock as of January 31, 2018, and as adjusted to reflect the sale of our common stock offered by us and the selling stockholders in this offering and the concurrent private placement assuming no exercise of the underwriters’ option to purchase additional shares of our common stock from us and the selling stockholders, for:</w:t>
      </w:r>
    </w:p>
    <w:p>
      <w:pPr>
        <w:spacing w:after="0" w:line="41" w:lineRule="exact"/>
        <w:rPr>
          <w:sz w:val="20"/>
          <w:szCs w:val="20"/>
          <w:color w:val="auto"/>
        </w:rPr>
      </w:pPr>
    </w:p>
    <w:p>
      <w:pPr>
        <w:ind w:left="1840" w:hanging="276"/>
        <w:spacing w:after="0"/>
        <w:tabs>
          <w:tab w:leader="none" w:pos="18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person known by us to be the beneficial owner of more than 5% of the outstanding shares of each of our Class A common stock and Class B common stock;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all selling stockholders.</w:t>
      </w:r>
    </w:p>
    <w:p>
      <w:pPr>
        <w:spacing w:after="0" w:line="18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based our calculation of the percentage of beneficial ownership prior to this offering and the concurrent private placement on 26,989,114 shares of our Class A common stock, 348,933,885 shares of our Class B common stock, and no shares of our Class C common Stock outstanding as of January 31, 2018, and reflected:</w:t>
      </w:r>
    </w:p>
    <w:p>
      <w:pPr>
        <w:spacing w:after="0" w:line="76" w:lineRule="exact"/>
        <w:rPr>
          <w:sz w:val="20"/>
          <w:szCs w:val="20"/>
          <w:color w:val="auto"/>
        </w:rPr>
      </w:pPr>
    </w:p>
    <w:p>
      <w:pPr>
        <w:ind w:left="1840" w:right="220" w:hanging="276"/>
        <w:spacing w:after="0" w:line="259" w:lineRule="auto"/>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 pursuant to the terms of our amended and restated certificate of incorporation;</w:t>
      </w:r>
    </w:p>
    <w:p>
      <w:pPr>
        <w:spacing w:after="0" w:line="78" w:lineRule="exact"/>
        <w:rPr>
          <w:rFonts w:ascii="Arial" w:cs="Arial" w:eastAsia="Arial" w:hAnsi="Arial"/>
          <w:sz w:val="15"/>
          <w:szCs w:val="15"/>
          <w:color w:val="auto"/>
        </w:rPr>
      </w:pPr>
    </w:p>
    <w:p>
      <w:pPr>
        <w:ind w:left="1840" w:right="60" w:hanging="276"/>
        <w:spacing w:after="0" w:line="259" w:lineRule="auto"/>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16,010,519 shares of our Class B common stock subject to RSUs, for which the service condition was satisfied as of January 31, 2018, and for which we expect the Performance Vesting Condition to be satisfied upon the effectiveness of our registration statement related to this offering (after repurchasing 10,236,235 shares of our Class B common stock subject to RSUs to satisfy tax withholding obligations at an assumed tax rate of 39%); and</w:t>
      </w:r>
    </w:p>
    <w:p>
      <w:pPr>
        <w:spacing w:after="0" w:line="78" w:lineRule="exact"/>
        <w:rPr>
          <w:rFonts w:ascii="Arial" w:cs="Arial" w:eastAsia="Arial" w:hAnsi="Arial"/>
          <w:sz w:val="15"/>
          <w:szCs w:val="15"/>
          <w:color w:val="auto"/>
        </w:rPr>
      </w:pPr>
    </w:p>
    <w:p>
      <w:pPr>
        <w:ind w:left="1840" w:right="140" w:hanging="276"/>
        <w:spacing w:after="0" w:line="275" w:lineRule="auto"/>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our Co-Founder Grants, and vest upon the satisfaction of the service condition and achievement of certain stock price goals.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based our calculation of the percentage of beneficial ownership after this offering and the concurrent private placement on</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31,584,314 shares of our Class A common stock issued by us in our initial public offering and the concurrent private placement and 67,751,019 shares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of Class A common stock and 339,756,294 shares of Class B common stock outstanding immediately after the completion of this offering and the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concurrent private placement, assuming that the underwriters will not exercise their option to purchase up to an additional 5,400,000 shares of our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Class A common stock from us in full. We have deemed shares of our common stock subject to stock options that are currently exercisable or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exercisable within 60 days of January 31, 2018, or issuable pursuant to RSUs which are subject to vesting and settlement conditions expected to occur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within 60 days of January 31, 2018, to be outstanding and to be beneficially owned by the person holding the stock option or RSU for the purpose of</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computing the percentage ownership of that person. We did not deem these shares outstanding, however, for the purpose of computing the percentage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ownership of any other person.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60"/>
          </w:cols>
          <w:pgMar w:left="240" w:top="407" w:right="139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40" w:firstLine="368"/>
        <w:spacing w:after="0" w:line="275" w:lineRule="auto"/>
        <w:rPr>
          <w:sz w:val="20"/>
          <w:szCs w:val="20"/>
          <w:color w:val="auto"/>
        </w:rPr>
      </w:pPr>
      <w:r>
        <w:rPr>
          <w:rFonts w:ascii="Arial" w:cs="Arial" w:eastAsia="Arial" w:hAnsi="Arial"/>
          <w:sz w:val="15"/>
          <w:szCs w:val="15"/>
          <w:color w:val="auto"/>
        </w:rPr>
        <w:t>Unless otherwise indicated, the address of each beneficial owner listed in the table below is c/o Dropbox, Inc., 333 Brannan Street, San Francisco, California 94107.</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 of total</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6"/>
              </w:rPr>
              <w:t>voting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power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2"/>
              </w:rPr>
              <w:t>after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1"/>
              </w:rPr>
              <w:t>offering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and the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 of total</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concurrent</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center"/>
              <w:ind w:right="160"/>
              <w:spacing w:after="0" w:line="102" w:lineRule="exact"/>
              <w:rPr>
                <w:sz w:val="20"/>
                <w:szCs w:val="20"/>
                <w:color w:val="auto"/>
              </w:rPr>
            </w:pPr>
            <w:r>
              <w:rPr>
                <w:rFonts w:ascii="Arial" w:cs="Arial" w:eastAsia="Arial" w:hAnsi="Arial"/>
                <w:sz w:val="10"/>
                <w:szCs w:val="10"/>
                <w:b w:val="1"/>
                <w:bCs w:val="1"/>
                <w:color w:val="auto"/>
                <w:w w:val="91"/>
              </w:rPr>
              <w:t>private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6"/>
              </w:rPr>
              <w:t>voting</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93"/>
              </w:rPr>
              <w:t>% of total</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placement</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5"/>
              </w:rPr>
              <w:t>% of t</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8"/>
              </w:rPr>
              <w:t>power</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660" w:type="dxa"/>
            <w:vAlign w:val="bottom"/>
            <w:gridSpan w:val="3"/>
          </w:tcPr>
          <w:p>
            <w:pPr>
              <w:jc w:val="center"/>
              <w:ind w:right="80"/>
              <w:spacing w:after="0" w:line="113" w:lineRule="exact"/>
              <w:rPr>
                <w:sz w:val="20"/>
                <w:szCs w:val="20"/>
                <w:color w:val="auto"/>
              </w:rPr>
            </w:pPr>
            <w:r>
              <w:rPr>
                <w:rFonts w:ascii="Arial" w:cs="Arial" w:eastAsia="Arial" w:hAnsi="Arial"/>
                <w:sz w:val="10"/>
                <w:szCs w:val="10"/>
                <w:b w:val="1"/>
                <w:bCs w:val="1"/>
                <w:color w:val="auto"/>
                <w:w w:val="87"/>
              </w:rPr>
              <w:t>outstanding</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3"/>
              </w:rPr>
              <w:t>(assuming</w:t>
            </w:r>
          </w:p>
        </w:tc>
        <w:tc>
          <w:tcPr>
            <w:tcW w:w="194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32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w w:val="71"/>
              </w:rPr>
              <w:t>outstan</w:t>
            </w: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before</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(assuming</w:t>
            </w:r>
          </w:p>
        </w:tc>
        <w:tc>
          <w:tcPr>
            <w:tcW w:w="660" w:type="dxa"/>
            <w:vAlign w:val="bottom"/>
            <w:gridSpan w:val="3"/>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74"/>
              </w:rPr>
              <w:t>(assum</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Shares beneficially owned prior to this</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94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offering</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of option</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82"/>
              </w:rPr>
              <w:t>exerci</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4"/>
              </w:rPr>
              <w:t>placement (assuming no exercise of</w:t>
            </w: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0" w:type="dxa"/>
            <w:vAlign w:val="bottom"/>
            <w:gridSpan w:val="6"/>
            <w:vMerge w:val="restart"/>
          </w:tcPr>
          <w:p>
            <w:pPr>
              <w:jc w:val="center"/>
              <w:ind w:left="168"/>
              <w:spacing w:after="0" w:line="113" w:lineRule="exact"/>
              <w:rPr>
                <w:sz w:val="20"/>
                <w:szCs w:val="20"/>
                <w:color w:val="auto"/>
              </w:rPr>
            </w:pPr>
            <w:r>
              <w:rPr>
                <w:rFonts w:ascii="Arial" w:cs="Arial" w:eastAsia="Arial" w:hAnsi="Arial"/>
                <w:sz w:val="10"/>
                <w:szCs w:val="10"/>
                <w:b w:val="1"/>
                <w:bCs w:val="1"/>
                <w:color w:val="auto"/>
                <w:w w:val="85"/>
              </w:rPr>
              <w:t>placement (assuming exercise of</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9"/>
              </w:rPr>
              <w:t>and the</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of option to</w:t>
            </w:r>
          </w:p>
        </w:tc>
        <w:tc>
          <w:tcPr>
            <w:tcW w:w="40" w:type="dxa"/>
            <w:vAlign w:val="bottom"/>
          </w:tcPr>
          <w:p>
            <w:pPr>
              <w:spacing w:after="0"/>
              <w:rPr>
                <w:sz w:val="3"/>
                <w:szCs w:val="3"/>
                <w:color w:val="auto"/>
              </w:rPr>
            </w:pPr>
          </w:p>
        </w:tc>
        <w:tc>
          <w:tcPr>
            <w:tcW w:w="62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to</w:t>
            </w:r>
          </w:p>
        </w:tc>
        <w:tc>
          <w:tcPr>
            <w:tcW w:w="1600" w:type="dxa"/>
            <w:vAlign w:val="bottom"/>
            <w:gridSpan w:val="6"/>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81"/>
              </w:rPr>
              <w:t>optio</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restart"/>
          </w:tcPr>
          <w:p>
            <w:pPr>
              <w:jc w:val="center"/>
              <w:ind w:right="360"/>
              <w:spacing w:after="0"/>
              <w:rPr>
                <w:sz w:val="20"/>
                <w:szCs w:val="20"/>
                <w:color w:val="auto"/>
              </w:rPr>
            </w:pPr>
            <w:r>
              <w:rPr>
                <w:rFonts w:ascii="Arial" w:cs="Arial" w:eastAsia="Arial" w:hAnsi="Arial"/>
                <w:sz w:val="10"/>
                <w:szCs w:val="10"/>
                <w:b w:val="1"/>
                <w:bCs w:val="1"/>
                <w:color w:val="auto"/>
                <w:w w:val="84"/>
              </w:rPr>
              <w:t>placement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94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7"/>
              </w:rPr>
              <w:t>concurrent</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5"/>
              </w:rPr>
              <w:t>purchase</w:t>
            </w:r>
          </w:p>
        </w:tc>
        <w:tc>
          <w:tcPr>
            <w:tcW w:w="40" w:type="dxa"/>
            <w:vAlign w:val="bottom"/>
          </w:tcPr>
          <w:p>
            <w:pPr>
              <w:spacing w:after="0"/>
              <w:rPr>
                <w:sz w:val="4"/>
                <w:szCs w:val="4"/>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purchase</w:t>
            </w:r>
          </w:p>
        </w:tc>
        <w:tc>
          <w:tcPr>
            <w:tcW w:w="194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86"/>
              </w:rPr>
              <w:t>purch</w:t>
            </w:r>
          </w:p>
        </w:tc>
        <w:tc>
          <w:tcPr>
            <w:tcW w:w="0" w:type="dxa"/>
            <w:vAlign w:val="bottom"/>
          </w:tcPr>
          <w:p>
            <w:pPr>
              <w:spacing w:after="0"/>
              <w:rPr>
                <w:sz w:val="1"/>
                <w:szCs w:val="1"/>
                <w:color w:val="auto"/>
              </w:rPr>
            </w:pPr>
          </w:p>
        </w:tc>
      </w:tr>
      <w:tr>
        <w:trPr>
          <w:trHeight w:val="3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right"/>
              <w:ind w:right="160"/>
              <w:spacing w:after="0" w:line="113" w:lineRule="exact"/>
              <w:rPr>
                <w:sz w:val="20"/>
                <w:szCs w:val="20"/>
                <w:color w:val="auto"/>
              </w:rPr>
            </w:pPr>
            <w:r>
              <w:rPr>
                <w:rFonts w:ascii="Arial" w:cs="Arial" w:eastAsia="Arial" w:hAnsi="Arial"/>
                <w:sz w:val="10"/>
                <w:szCs w:val="10"/>
                <w:b w:val="1"/>
                <w:bCs w:val="1"/>
                <w:color w:val="auto"/>
                <w:w w:val="97"/>
              </w:rPr>
              <w:t>% of total</w:t>
            </w: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1"/>
              </w:rPr>
              <w:t>private</w:t>
            </w:r>
          </w:p>
        </w:tc>
        <w:tc>
          <w:tcPr>
            <w:tcW w:w="5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w w:val="98"/>
              </w:rPr>
              <w:t># of shares</w:t>
            </w: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8"/>
              </w:rPr>
              <w:t>additional</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additional</w:t>
            </w:r>
          </w:p>
        </w:tc>
        <w:tc>
          <w:tcPr>
            <w:tcW w:w="5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Class A</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additi</w:t>
            </w:r>
          </w:p>
        </w:tc>
        <w:tc>
          <w:tcPr>
            <w:tcW w:w="0" w:type="dxa"/>
            <w:vAlign w:val="bottom"/>
          </w:tcPr>
          <w:p>
            <w:pPr>
              <w:spacing w:after="0"/>
              <w:rPr>
                <w:sz w:val="1"/>
                <w:szCs w:val="1"/>
                <w:color w:val="auto"/>
              </w:rPr>
            </w:pPr>
          </w:p>
        </w:tc>
      </w:tr>
      <w:tr>
        <w:trPr>
          <w:trHeight w:val="133"/>
        </w:trPr>
        <w:tc>
          <w:tcPr>
            <w:tcW w:w="1100" w:type="dxa"/>
            <w:vAlign w:val="bottom"/>
            <w:gridSpan w:val="2"/>
          </w:tcPr>
          <w:p>
            <w:pPr>
              <w:spacing w:after="0"/>
              <w:rPr>
                <w:sz w:val="20"/>
                <w:szCs w:val="20"/>
                <w:color w:val="auto"/>
              </w:rPr>
            </w:pPr>
            <w:r>
              <w:rPr>
                <w:rFonts w:ascii="Arial" w:cs="Arial" w:eastAsia="Arial" w:hAnsi="Arial"/>
                <w:sz w:val="10"/>
                <w:szCs w:val="10"/>
                <w:b w:val="1"/>
                <w:bCs w:val="1"/>
                <w:color w:val="auto"/>
                <w:w w:val="89"/>
              </w:rPr>
              <w:t>Name of beneficial owner</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outstanding</w:t>
            </w:r>
          </w:p>
        </w:tc>
        <w:tc>
          <w:tcPr>
            <w:tcW w:w="6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7"/>
              </w:rPr>
              <w:t>placement#</w:t>
            </w: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w w:val="99"/>
              </w:rPr>
              <w:t>being sold</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shares)</w:t>
            </w:r>
          </w:p>
        </w:tc>
        <w:tc>
          <w:tcPr>
            <w:tcW w:w="4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shares)#</w:t>
            </w:r>
          </w:p>
        </w:tc>
        <w:tc>
          <w:tcPr>
            <w:tcW w:w="58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ind w:left="80"/>
              <w:spacing w:after="0"/>
              <w:rPr>
                <w:sz w:val="20"/>
                <w:szCs w:val="20"/>
                <w:color w:val="auto"/>
              </w:rPr>
            </w:pPr>
            <w:r>
              <w:rPr>
                <w:rFonts w:ascii="Arial" w:cs="Arial" w:eastAsia="Arial" w:hAnsi="Arial"/>
                <w:sz w:val="10"/>
                <w:szCs w:val="10"/>
                <w:b w:val="1"/>
                <w:bCs w:val="1"/>
                <w:color w:val="auto"/>
                <w:w w:val="84"/>
              </w:rPr>
              <w:t>shar</w:t>
            </w:r>
          </w:p>
        </w:tc>
        <w:tc>
          <w:tcPr>
            <w:tcW w:w="0" w:type="dxa"/>
            <w:vAlign w:val="bottom"/>
          </w:tcPr>
          <w:p>
            <w:pPr>
              <w:spacing w:after="0"/>
              <w:rPr>
                <w:sz w:val="1"/>
                <w:szCs w:val="1"/>
                <w:color w:val="auto"/>
              </w:rPr>
            </w:pPr>
          </w:p>
        </w:tc>
      </w:tr>
      <w:tr>
        <w:trPr>
          <w:trHeight w:val="75"/>
        </w:trPr>
        <w:tc>
          <w:tcPr>
            <w:tcW w:w="1040" w:type="dxa"/>
            <w:vAlign w:val="bottom"/>
            <w:tcBorders>
              <w:top w:val="single" w:sz="8" w:color="auto"/>
            </w:tcBorders>
            <w:shd w:val="clear" w:color="auto" w:fill="CCEEFF"/>
          </w:tcPr>
          <w:p>
            <w:pPr>
              <w:spacing w:after="0" w:line="75" w:lineRule="exact"/>
              <w:rPr>
                <w:sz w:val="20"/>
                <w:szCs w:val="20"/>
                <w:color w:val="auto"/>
              </w:rPr>
            </w:pPr>
            <w:r>
              <w:rPr>
                <w:rFonts w:ascii="Arial" w:cs="Arial" w:eastAsia="Arial" w:hAnsi="Arial"/>
                <w:sz w:val="8"/>
                <w:szCs w:val="8"/>
                <w:b w:val="1"/>
                <w:bCs w:val="1"/>
                <w:color w:val="auto"/>
              </w:rPr>
              <w:t>Named executive</w:t>
            </w: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b w:val="1"/>
                <w:bCs w:val="1"/>
                <w:color w:val="auto"/>
              </w:rPr>
              <w:t>officers and</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1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directors: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Andrew W. Houston</w:t>
            </w:r>
            <w:r>
              <w:rPr>
                <w:rFonts w:ascii="Arial" w:cs="Arial" w:eastAsia="Arial" w:hAnsi="Arial"/>
                <w:sz w:val="8"/>
                <w:szCs w:val="8"/>
                <w:color w:val="auto"/>
              </w:rPr>
              <w:t>(1)</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38.3%</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84"/>
              </w:rPr>
              <w:t>101,691,667</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29.1%</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29.8%</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29.2%</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15.3%</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99,358,334</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w w:val="96"/>
              </w:rPr>
              <w:t>29.2%</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26.9%</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29.0%</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89"/>
              </w:rPr>
              <w:t>14.1%</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99,358,334</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29.2%</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Arash Ferdowsi</w:t>
            </w:r>
            <w:r>
              <w:rPr>
                <w:rFonts w:ascii="Arial" w:cs="Arial" w:eastAsia="Arial" w:hAnsi="Arial"/>
                <w:sz w:val="8"/>
                <w:szCs w:val="8"/>
                <w:color w:val="auto"/>
              </w:rPr>
              <w:t>(2)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16.3%</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41,363,881</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11.9%</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12.2%</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11.9%</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6.5%</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39,030,548</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11.5%</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10.7%</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11.4%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6.0%</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39,030,548</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11.5%</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Quentin J. Clark</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Donald W. Blair</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Paul E. Jacobs</w:t>
            </w:r>
            <w:r>
              <w:rPr>
                <w:rFonts w:ascii="Arial" w:cs="Arial" w:eastAsia="Arial" w:hAnsi="Arial"/>
                <w:sz w:val="8"/>
                <w:szCs w:val="8"/>
                <w:color w:val="auto"/>
              </w:rPr>
              <w:t>(3)</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Robert J. Mylod, Jr.</w:t>
            </w:r>
            <w:r>
              <w:rPr>
                <w:rFonts w:ascii="Arial" w:cs="Arial" w:eastAsia="Arial" w:hAnsi="Arial"/>
                <w:sz w:val="8"/>
                <w:szCs w:val="8"/>
                <w:color w:val="auto"/>
              </w:rPr>
              <w:t>(4)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Condoleezza Rice</w:t>
            </w:r>
            <w:r>
              <w:rPr>
                <w:rFonts w:ascii="Arial" w:cs="Arial" w:eastAsia="Arial" w:hAnsi="Arial"/>
                <w:sz w:val="8"/>
                <w:szCs w:val="8"/>
                <w:color w:val="auto"/>
              </w:rPr>
              <w:t>(5)</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 Bryan Schreier</w:t>
            </w:r>
            <w:r>
              <w:rPr>
                <w:rFonts w:ascii="Arial" w:cs="Arial" w:eastAsia="Arial" w:hAnsi="Arial"/>
                <w:sz w:val="8"/>
                <w:szCs w:val="8"/>
                <w:color w:val="auto"/>
              </w:rPr>
              <w:t>(6)</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w w:val="94"/>
              </w:rPr>
              <w:t>Margaret C. Whitman</w:t>
            </w:r>
            <w:r>
              <w:rPr>
                <w:rFonts w:ascii="Arial" w:cs="Arial" w:eastAsia="Arial" w:hAnsi="Arial"/>
                <w:sz w:val="8"/>
                <w:szCs w:val="8"/>
                <w:color w:val="auto"/>
                <w:w w:val="94"/>
              </w:rPr>
              <w:t>(7)</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All executive officers</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and directors as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w w:val="95"/>
              </w:rPr>
              <w:t>group (12 persons)</w:t>
            </w:r>
            <w:r>
              <w:rPr>
                <w:rFonts w:ascii="Arial" w:cs="Arial" w:eastAsia="Arial" w:hAnsi="Arial"/>
                <w:sz w:val="8"/>
                <w:szCs w:val="8"/>
                <w:color w:val="auto"/>
                <w:w w:val="95"/>
              </w:rPr>
              <w:t>(8)</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55.1%</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4"/>
              </w:rPr>
              <w:t>146,632,275</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42.0%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43.0%</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42.1%</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4,666,666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21.9%</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4"/>
              </w:rPr>
              <w:t>141,965,609</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41.8%</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38.5%</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41.4%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89"/>
              </w:rPr>
              <w:t>20.3%</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8"/>
              </w:rPr>
              <w:t>141,965,609</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41.8%</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Greater than 5%</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stockholders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Sequoia Capital</w:t>
            </w:r>
            <w:r>
              <w:rPr>
                <w:rFonts w:ascii="Arial" w:cs="Arial" w:eastAsia="Arial" w:hAnsi="Arial"/>
                <w:sz w:val="8"/>
                <w:szCs w:val="8"/>
                <w:color w:val="auto"/>
              </w:rPr>
              <w:t>(9)</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23.2%</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24.8%</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25.7%</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21.4%</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25.2%</w:t>
            </w: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25.7%</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Accel</w:t>
            </w:r>
            <w:r>
              <w:rPr>
                <w:rFonts w:ascii="Arial" w:cs="Arial" w:eastAsia="Arial" w:hAnsi="Arial"/>
                <w:sz w:val="8"/>
                <w:szCs w:val="8"/>
                <w:color w:val="auto"/>
              </w:rPr>
              <w:t>(10)</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4"/>
              </w:rPr>
              <w:t>18,752,565</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5.4%</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5.0%</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5.3%</w:t>
            </w: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5.5%</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4.6%</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5.4%</w:t>
            </w: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5.5%</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advised by</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T. Rowe Price</w:t>
            </w:r>
            <w:r>
              <w:rPr>
                <w:rFonts w:ascii="Arial" w:cs="Arial" w:eastAsia="Arial" w:hAnsi="Arial"/>
                <w:sz w:val="8"/>
                <w:szCs w:val="8"/>
                <w:color w:val="auto"/>
              </w:rPr>
              <w:t>(11)</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22.2%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3.5%</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8.9%</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2.1%</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3.2%</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Green Bay Advisors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or Green Bay</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w w:val="95"/>
              </w:rPr>
              <w:t>Generations Fund</w:t>
            </w:r>
            <w:r>
              <w:rPr>
                <w:rFonts w:ascii="Arial" w:cs="Arial" w:eastAsia="Arial" w:hAnsi="Arial"/>
                <w:sz w:val="8"/>
                <w:szCs w:val="8"/>
                <w:color w:val="auto"/>
                <w:w w:val="95"/>
              </w:rPr>
              <w:t>(12)</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8.2%</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3.3%</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3.0%</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w w:val="97"/>
              </w:rPr>
              <w:t>Selling stockholders: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Hadi Partovi</w:t>
            </w:r>
            <w:r>
              <w:rPr>
                <w:rFonts w:ascii="Arial" w:cs="Arial" w:eastAsia="Arial" w:hAnsi="Arial"/>
                <w:sz w:val="8"/>
                <w:szCs w:val="8"/>
                <w:color w:val="auto"/>
              </w:rPr>
              <w:t>(13)</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3,520,333</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1.0%</w:t>
            </w: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1.0%</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w w:val="89"/>
              </w:rPr>
              <w:t>3,520,333</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2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4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Sujay Jaswa</w:t>
            </w: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2,148,289</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433,333</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Aditya Agarwal</w:t>
            </w:r>
            <w:r>
              <w:rPr>
                <w:rFonts w:ascii="Arial" w:cs="Arial" w:eastAsia="Arial" w:hAnsi="Arial"/>
                <w:sz w:val="8"/>
                <w:szCs w:val="8"/>
                <w:color w:val="auto"/>
              </w:rPr>
              <w:t>(14)</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5,900,842</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1.6%</w:t>
            </w: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1.7%</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rPr>
              <w:t>275,740</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60" w:type="dxa"/>
            <w:vAlign w:val="bottom"/>
          </w:tcPr>
          <w:p>
            <w:pPr>
              <w:spacing w:after="0"/>
              <w:rPr>
                <w:sz w:val="9"/>
                <w:szCs w:val="9"/>
                <w:color w:val="auto"/>
              </w:rPr>
            </w:pPr>
          </w:p>
        </w:tc>
        <w:tc>
          <w:tcPr>
            <w:tcW w:w="34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1.4%</w:t>
            </w:r>
          </w:p>
        </w:tc>
        <w:tc>
          <w:tcPr>
            <w:tcW w:w="66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1.6%</w:t>
            </w: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8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J. Rothschild</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Investments 1</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Limited</w:t>
            </w:r>
            <w:r>
              <w:rPr>
                <w:rFonts w:ascii="Arial" w:cs="Arial" w:eastAsia="Arial" w:hAnsi="Arial"/>
                <w:sz w:val="8"/>
                <w:szCs w:val="8"/>
                <w:color w:val="auto"/>
              </w:rPr>
              <w:t>(15)</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2,573,920</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40,519</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00" w:type="dxa"/>
            <w:vAlign w:val="bottom"/>
            <w:gridSpan w:val="2"/>
          </w:tcPr>
          <w:p>
            <w:pPr>
              <w:spacing w:after="0"/>
              <w:rPr>
                <w:sz w:val="20"/>
                <w:szCs w:val="20"/>
                <w:color w:val="auto"/>
              </w:rPr>
            </w:pPr>
            <w:r>
              <w:rPr>
                <w:rFonts w:ascii="Arial" w:cs="Arial" w:eastAsia="Arial" w:hAnsi="Arial"/>
                <w:sz w:val="11"/>
                <w:szCs w:val="11"/>
                <w:color w:val="auto"/>
              </w:rPr>
              <w:t>Rian Hunter</w:t>
            </w: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2,320,608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241,000</w:t>
            </w: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59690</wp:posOffset>
            </wp:positionV>
            <wp:extent cx="58039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08" w:lineRule="exact"/>
        <w:rPr>
          <w:sz w:val="20"/>
          <w:szCs w:val="20"/>
          <w:color w:val="auto"/>
        </w:rPr>
      </w:pPr>
    </w:p>
    <w:p>
      <w:pPr>
        <w:ind w:left="1380" w:right="1240" w:hanging="268"/>
        <w:spacing w:after="0" w:line="225" w:lineRule="auto"/>
        <w:tabs>
          <w:tab w:leader="none" w:pos="1380" w:val="left"/>
        </w:tabs>
        <w:numPr>
          <w:ilvl w:val="0"/>
          <w:numId w:val="78"/>
        </w:numPr>
        <w:rPr>
          <w:rFonts w:ascii="Arial" w:cs="Arial" w:eastAsia="Arial" w:hAnsi="Arial"/>
          <w:sz w:val="8"/>
          <w:szCs w:val="8"/>
          <w:color w:val="auto"/>
        </w:rPr>
      </w:pPr>
      <w:r>
        <w:rPr>
          <w:rFonts w:ascii="Arial" w:cs="Arial" w:eastAsia="Arial" w:hAnsi="Arial"/>
          <w:sz w:val="13"/>
          <w:szCs w:val="13"/>
          <w:color w:val="auto"/>
        </w:rPr>
        <w:t>The Class B common stock is convertible at any time by the holder into shares of Class A common stock on a share-for-share basis, such that each holder of Class B common stock beneficially owns an equivalent number of Class A common stock.</w:t>
      </w:r>
    </w:p>
    <w:p>
      <w:pPr>
        <w:jc w:val="both"/>
        <w:ind w:left="1380" w:right="1400" w:hanging="268"/>
        <w:spacing w:after="0" w:line="304" w:lineRule="auto"/>
        <w:tabs>
          <w:tab w:leader="none" w:pos="1380" w:val="left"/>
        </w:tabs>
        <w:numPr>
          <w:ilvl w:val="0"/>
          <w:numId w:val="79"/>
        </w:numPr>
        <w:rPr>
          <w:rFonts w:ascii="Arial" w:cs="Arial" w:eastAsia="Arial" w:hAnsi="Arial"/>
          <w:sz w:val="9"/>
          <w:szCs w:val="9"/>
          <w:color w:val="auto"/>
        </w:rPr>
      </w:pPr>
      <w:r>
        <w:rPr>
          <w:rFonts w:ascii="Arial" w:cs="Arial" w:eastAsia="Arial" w:hAnsi="Arial"/>
          <w:sz w:val="11"/>
          <w:szCs w:val="11"/>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w:t>
      </w:r>
    </w:p>
    <w:p>
      <w:pPr>
        <w:spacing w:after="0" w:line="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520"/>
          </w:cols>
          <w:pgMar w:left="240" w:top="408" w:right="13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200"/>
        <w:spacing w:after="0" w:line="225" w:lineRule="auto"/>
        <w:rPr>
          <w:sz w:val="20"/>
          <w:szCs w:val="20"/>
          <w:color w:val="auto"/>
        </w:rPr>
      </w:pPr>
      <w:r>
        <w:rPr>
          <w:rFonts w:ascii="Arial" w:cs="Arial" w:eastAsia="Arial" w:hAnsi="Arial"/>
          <w:sz w:val="13"/>
          <w:szCs w:val="13"/>
          <w:color w:val="auto"/>
        </w:rPr>
        <w:t>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1380" w:hanging="268"/>
        <w:spacing w:after="0" w:line="217" w:lineRule="auto"/>
        <w:tabs>
          <w:tab w:leader="none" w:pos="1380" w:val="left"/>
        </w:tabs>
        <w:numPr>
          <w:ilvl w:val="0"/>
          <w:numId w:val="80"/>
        </w:numPr>
        <w:rPr>
          <w:rFonts w:ascii="Arial" w:cs="Arial" w:eastAsia="Arial" w:hAnsi="Arial"/>
          <w:sz w:val="11"/>
          <w:szCs w:val="11"/>
          <w:color w:val="auto"/>
        </w:rPr>
      </w:pPr>
      <w:r>
        <w:rPr>
          <w:rFonts w:ascii="Arial" w:cs="Arial" w:eastAsia="Arial" w:hAnsi="Arial"/>
          <w:sz w:val="13"/>
          <w:szCs w:val="13"/>
          <w:color w:val="auto"/>
        </w:rPr>
        <w:t>Represents beneficial ownership of less than one percent (1%) of the outstanding shares of our common stock.</w:t>
      </w:r>
    </w:p>
    <w:p>
      <w:pPr>
        <w:spacing w:after="0" w:line="1" w:lineRule="exact"/>
        <w:rPr>
          <w:sz w:val="20"/>
          <w:szCs w:val="20"/>
          <w:color w:val="auto"/>
        </w:rPr>
      </w:pPr>
    </w:p>
    <w:p>
      <w:pPr>
        <w:ind w:left="1380" w:right="10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Consists of (i) 8,781,548 shares of Class B common stock held by the Houston Remainder Trust dated 12/30/2010, for which Mr. Houston serves as trustee, (ii) 75,481,406 shares of Class B common stock held by the Andrew W. Houston Revocable Trust dated 9/7/2011, for which Mr. Houston serves as trustee, (iii) 500,500 shares of Class B common stock held by the Houston 2012 Irrevocable Children’s Trust dated 4/12/2012, for which Mr. Houston serves as trustee, (iv) 10,333,333 shares of Class A common stock underlying RSAs, and (v) 16,928,213 shares of Class B common stock subject to the Co-Founder Voting Agreements, in which Mr. Houston has voting power over the shares.</w:t>
      </w:r>
    </w:p>
    <w:p>
      <w:pPr>
        <w:ind w:left="1380" w:right="6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Consists of (i) 2,900,802 shares of Class B common stock held by the Arash Ferdowsi Remainder Trust dated 3/21/2011, for which Mr. Ferdowsi serves as trustee, (ii) 31,369,916 shares of Class B common stock held by the Arash Ferdowsi Revocable Trust dated 4/20/2012, for which Mr. Ferdowsi serves as trustee, (iii) 4,400,000 shares of Class A common stock underlying RSAs, and (iv) 7,093,163 shares of Class B common stock subject to the Co-Founder Voting Agreements, in which Mr. Ferdowsi has voting power over the shares.</w:t>
      </w:r>
    </w:p>
    <w:p>
      <w:pPr>
        <w:jc w:val="both"/>
        <w:ind w:left="1380" w:right="20" w:hanging="268"/>
        <w:spacing w:after="0" w:line="256" w:lineRule="auto"/>
        <w:tabs>
          <w:tab w:leader="none" w:pos="1380" w:val="left"/>
        </w:tabs>
        <w:numPr>
          <w:ilvl w:val="0"/>
          <w:numId w:val="81"/>
        </w:numPr>
        <w:rPr>
          <w:rFonts w:ascii="Arial" w:cs="Arial" w:eastAsia="Arial" w:hAnsi="Arial"/>
          <w:sz w:val="9"/>
          <w:szCs w:val="9"/>
          <w:color w:val="auto"/>
        </w:rPr>
      </w:pPr>
      <w:r>
        <w:rPr>
          <w:rFonts w:ascii="Arial" w:cs="Arial" w:eastAsia="Arial" w:hAnsi="Arial"/>
          <w:sz w:val="11"/>
          <w:szCs w:val="11"/>
          <w:color w:val="auto"/>
        </w:rPr>
        <w:t>Consists of (i) 172,711 shares of Class B common stock held by the Paul E. Jacobs Trust dated November 7, 2014, for which Mr. Jacobs serves as trustee, (ii) 26,666 shares of Class B common stock held by Mr. Jacobs, and (iii) 26,667 shares of Class B common stock that will be issued upon the vesting of RSUs within 60 days of January 31, 2018.</w:t>
      </w:r>
    </w:p>
    <w:p>
      <w:pPr>
        <w:ind w:left="138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Consists of (i) 122,698 shares of Class B common stock held by Annox Capital, LLC, or Annox, which will convert into an equivalent number of shares of Class A common stock in connection with the Capital Stock Conversion and (ii) consists of 24,433 shares of Class B common stock that will be issued upon the vesting of RSUs within 60 days of January 31, 2018. Mr. Mylod, a member of our Board of Directors, is the managing member of Annox and has sole voting and investment control over the shares held by Annox.</w:t>
      </w:r>
    </w:p>
    <w:p>
      <w:pPr>
        <w:ind w:left="138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Consists of 24,433 shares of Class B common stock that will be issued upon the vesting of RSUs within 60 days of January 31, 2018.</w:t>
      </w:r>
    </w:p>
    <w:p>
      <w:pPr>
        <w:ind w:left="1380" w:right="6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Excludes shares listed in footnote 9 below, which are held by entities affiliated with Sequoia Capital. Mr. Schreier, one of our directors, is a non-managing member of SC XII LLC.</w:t>
      </w:r>
    </w:p>
    <w:p>
      <w:pPr>
        <w:ind w:left="138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Margaret Whitman was elected to the Board of Directors in September 2017.</w:t>
      </w:r>
    </w:p>
    <w:p>
      <w:pPr>
        <w:ind w:left="1380" w:right="20" w:hanging="268"/>
        <w:spacing w:after="0" w:line="217" w:lineRule="auto"/>
        <w:tabs>
          <w:tab w:leader="none" w:pos="13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Consists of (i) 121,366,947 shares of Class B common stock beneficially owned by our executive officers and directors, (ii) 90,884 shares of Class B common stock subject to options that are immediately exercisable within 60 days of January 31, 2018, and (iii) 1,123,609 shares of Class B common stock that will be net issued upon the vesting of RSUs within 60 days of January 31, 2018.</w:t>
      </w:r>
    </w:p>
    <w:p>
      <w:pPr>
        <w:ind w:left="1380" w:right="240" w:hanging="268"/>
        <w:spacing w:after="0" w:line="235" w:lineRule="auto"/>
        <w:tabs>
          <w:tab w:leader="none" w:pos="1380" w:val="left"/>
        </w:tabs>
        <w:numPr>
          <w:ilvl w:val="0"/>
          <w:numId w:val="81"/>
        </w:numPr>
        <w:rPr>
          <w:rFonts w:ascii="Arial" w:cs="Arial" w:eastAsia="Arial" w:hAnsi="Arial"/>
          <w:sz w:val="10"/>
          <w:szCs w:val="10"/>
          <w:color w:val="auto"/>
        </w:rPr>
      </w:pPr>
      <w:r>
        <w:rPr>
          <w:rFonts w:ascii="Arial" w:cs="Arial" w:eastAsia="Arial" w:hAnsi="Arial"/>
          <w:sz w:val="12"/>
          <w:szCs w:val="12"/>
          <w:color w:val="auto"/>
        </w:rPr>
        <w:t>Consists of (i) 76,179,144 shares of Class B common stock held by Sequoia Capital XII, L.P., or SC XII, (ii) 8,141,812 shares of Class B common stock held by Sequoia Capital XII Principals Fund, LLC, or SC XII PF, and (iii) 2,850,494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1" w:lineRule="exact"/>
        <w:rPr>
          <w:rFonts w:ascii="Arial" w:cs="Arial" w:eastAsia="Arial" w:hAnsi="Arial"/>
          <w:sz w:val="10"/>
          <w:szCs w:val="10"/>
          <w:color w:val="auto"/>
        </w:rPr>
      </w:pPr>
    </w:p>
    <w:p>
      <w:pPr>
        <w:ind w:left="1380" w:right="20" w:hanging="268"/>
        <w:spacing w:after="0" w:line="235" w:lineRule="auto"/>
        <w:tabs>
          <w:tab w:leader="none" w:pos="1380" w:val="left"/>
        </w:tabs>
        <w:numPr>
          <w:ilvl w:val="0"/>
          <w:numId w:val="81"/>
        </w:numPr>
        <w:rPr>
          <w:rFonts w:ascii="Arial" w:cs="Arial" w:eastAsia="Arial" w:hAnsi="Arial"/>
          <w:sz w:val="10"/>
          <w:szCs w:val="10"/>
          <w:color w:val="auto"/>
        </w:rPr>
      </w:pPr>
      <w:r>
        <w:rPr>
          <w:rFonts w:ascii="Arial" w:cs="Arial" w:eastAsia="Arial" w:hAnsi="Arial"/>
          <w:sz w:val="12"/>
          <w:szCs w:val="12"/>
          <w:color w:val="auto"/>
        </w:rPr>
        <w:t>Consists of (i) 1,635,668 shares of Class B common stock held by Accel Investors 2008 L.L.C., or AI 2008, (ii) 14,772 shares of Class B common stock held by Accel Investors 2010 L.L.C., or AI 2010, (iii) 10,497 shares of Class B common stock held by Accel Investors 2013 L.L.C., or AI 2013, (iv) 98,854 shares of Class B common stock held by Accel XI L.P., or Accel XI, (v) 7,425 shares of Class B common stock held by Accel XI Strategic Partners L.P., or Accel XI Strategic, (vi) 15,788,974 shares of Class B common stock held by Accel X L.P., or Accel X, and (vii) 1,196,375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Efrusy,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2" w:lineRule="exact"/>
        <w:rPr>
          <w:rFonts w:ascii="Arial" w:cs="Arial" w:eastAsia="Arial" w:hAnsi="Arial"/>
          <w:sz w:val="10"/>
          <w:szCs w:val="10"/>
          <w:color w:val="auto"/>
        </w:rPr>
      </w:pPr>
    </w:p>
    <w:p>
      <w:pPr>
        <w:ind w:left="1380" w:right="20" w:hanging="268"/>
        <w:spacing w:after="0" w:line="239" w:lineRule="auto"/>
        <w:tabs>
          <w:tab w:leader="none" w:pos="1380" w:val="left"/>
        </w:tabs>
        <w:numPr>
          <w:ilvl w:val="0"/>
          <w:numId w:val="81"/>
        </w:numPr>
        <w:rPr>
          <w:rFonts w:ascii="Arial" w:cs="Arial" w:eastAsia="Arial" w:hAnsi="Arial"/>
          <w:sz w:val="10"/>
          <w:szCs w:val="10"/>
          <w:color w:val="auto"/>
        </w:rPr>
      </w:pPr>
      <w:r>
        <w:rPr>
          <w:rFonts w:ascii="Arial" w:cs="Arial" w:eastAsia="Arial" w:hAnsi="Arial"/>
          <w:sz w:val="12"/>
          <w:szCs w:val="12"/>
          <w:color w:val="auto"/>
        </w:rPr>
        <w:t>Consists of (i) 6,002,953 shares of Class A common stock held of record by 63 funds and accounts advised or sub-advised by T. Rowe Price Associates, Inc., or TRPA; and (ii) 7,064,283 shares of Class B common stock held of record by 62 funds and accounts advised or sub-advised by TRPA. TRPA serves as investment adviser with power to direct investments and/or sole power to vote the securities owned by these funds and accounts. The T. Rowe Price Proxy Committee develops the firm’s positions on all major proxy voting issues, creates guidelines, and oversees the voting process. Once the Proxy Committee establishes its recommendations, they are distributed to the firm’s portfolio managers as voting guidelines. Ultimately, the portfolio managers for each account decide how to vote on the proxy proposals of companies in their portfolios. More information on the T. Rowe Price proxy voting guidelines is available on its website at troweprice.com. The T. Rowe Price portfolio managers of the funds and accounts that hold our securities are collectively listed as follows: Joseph B. Fath,</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320"/>
          </w:cols>
          <w:pgMar w:left="240" w:top="408" w:right="133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20"/>
        <w:spacing w:after="0" w:line="238" w:lineRule="auto"/>
        <w:rPr>
          <w:sz w:val="20"/>
          <w:szCs w:val="20"/>
          <w:color w:val="auto"/>
        </w:rPr>
      </w:pPr>
      <w:r>
        <w:rPr>
          <w:rFonts w:ascii="Arial" w:cs="Arial" w:eastAsia="Arial" w:hAnsi="Arial"/>
          <w:sz w:val="12"/>
          <w:szCs w:val="12"/>
          <w:color w:val="auto"/>
        </w:rPr>
        <w:t>Taymour R. Tamaddon, Paul D. Greene, Donald J. Peters, Henry M. Ellenbogen, Brian W. H. Berghuis, Kennard W. Allen, Joshua K. Spencer, and Justin White. For purposes of reporting requirements of the Securities Exchange Act of 1934, TRPA may be deemed to be the beneficial owner of all the shares listed above. T. Rowe Price Associates, Inc. is the wholly owned subsidiary of T. Rowe Price Group, Inc., which is a publicly traded financial services holding company. The address for T. Rowe Price Associates, Inc. is 100 East Pratt Street, Baltimore, Maryland 21202. T. Rowe Price Investment Services, Inc., or TRPIS, a registered broker-dealer, is a subsidiary of T. Rowe Price Associates, Inc. TRPIS was formed primarily for the limited purpose of acting as the principal underwriter of shares of the funds in the T. Rowe Price fund family. TRPIS does not engage in underwriting or market-making activities involving individual securities.</w:t>
      </w:r>
    </w:p>
    <w:p>
      <w:pPr>
        <w:spacing w:after="0" w:line="1" w:lineRule="exact"/>
        <w:rPr>
          <w:sz w:val="20"/>
          <w:szCs w:val="20"/>
          <w:color w:val="auto"/>
        </w:rPr>
      </w:pPr>
    </w:p>
    <w:p>
      <w:pPr>
        <w:ind w:left="1380" w:hanging="268"/>
        <w:spacing w:after="0" w:line="256" w:lineRule="auto"/>
        <w:tabs>
          <w:tab w:leader="none" w:pos="1380" w:val="left"/>
        </w:tabs>
        <w:numPr>
          <w:ilvl w:val="0"/>
          <w:numId w:val="82"/>
        </w:numPr>
        <w:rPr>
          <w:rFonts w:ascii="Arial" w:cs="Arial" w:eastAsia="Arial" w:hAnsi="Arial"/>
          <w:sz w:val="9"/>
          <w:szCs w:val="9"/>
          <w:color w:val="auto"/>
        </w:rPr>
      </w:pPr>
      <w:r>
        <w:rPr>
          <w:rFonts w:ascii="Arial" w:cs="Arial" w:eastAsia="Arial" w:hAnsi="Arial"/>
          <w:sz w:val="11"/>
          <w:szCs w:val="11"/>
          <w:color w:val="auto"/>
        </w:rPr>
        <w:t>Consists of (i) 1,073,999 shares of Class A common stock held by Green Bay - DX, LLC, (ii) 443,507 shares of Class A common stock held by Green Bay - DX II, LLC, (iii) 698,036 shares of Class A common stock held by Cloudy Sky, LLC, and (iv) 558,428 shares of Class B common stock held by D5X, LLC. Green Bay Generations Fund, LLC , or GBGF, is the investment adviser to Green Bay - DX, LLC, Green Bay - DX II, LLC and Cloudy Sky, LLC. Its address is 915 Broadway, Suite 1206, New York, New York 10010. Green Bay Advisors, LLC is the investment adviser to D5X, LLC, and its address is 480 Pacific Avenue, Suite 200, San Francisco, California 94133.</w:t>
      </w:r>
    </w:p>
    <w:p>
      <w:pPr>
        <w:spacing w:after="0" w:line="1" w:lineRule="exact"/>
        <w:rPr>
          <w:rFonts w:ascii="Arial" w:cs="Arial" w:eastAsia="Arial" w:hAnsi="Arial"/>
          <w:sz w:val="9"/>
          <w:szCs w:val="9"/>
          <w:color w:val="auto"/>
        </w:rPr>
      </w:pPr>
    </w:p>
    <w:p>
      <w:pPr>
        <w:ind w:left="1380" w:right="80" w:hanging="268"/>
        <w:spacing w:after="0" w:line="217" w:lineRule="auto"/>
        <w:tabs>
          <w:tab w:leader="none" w:pos="1380" w:val="left"/>
        </w:tabs>
        <w:numPr>
          <w:ilvl w:val="0"/>
          <w:numId w:val="82"/>
        </w:numPr>
        <w:rPr>
          <w:rFonts w:ascii="Arial" w:cs="Arial" w:eastAsia="Arial" w:hAnsi="Arial"/>
          <w:sz w:val="11"/>
          <w:szCs w:val="11"/>
          <w:color w:val="auto"/>
        </w:rPr>
      </w:pPr>
      <w:r>
        <w:rPr>
          <w:rFonts w:ascii="Arial" w:cs="Arial" w:eastAsia="Arial" w:hAnsi="Arial"/>
          <w:sz w:val="13"/>
          <w:szCs w:val="13"/>
          <w:color w:val="auto"/>
        </w:rPr>
        <w:t>Consists of (i) 293,672 shares of Class B common stock held by Mr. Partovi in his individual capacity and (ii) 3,226,661 shares of Class B common stock beneficially owned by Mr. Partovi through various trusts and related entities.</w:t>
      </w:r>
    </w:p>
    <w:p>
      <w:pPr>
        <w:ind w:left="1380" w:right="380" w:hanging="268"/>
        <w:spacing w:after="0" w:line="217" w:lineRule="auto"/>
        <w:tabs>
          <w:tab w:leader="none" w:pos="1380" w:val="left"/>
        </w:tabs>
        <w:numPr>
          <w:ilvl w:val="0"/>
          <w:numId w:val="82"/>
        </w:numPr>
        <w:rPr>
          <w:rFonts w:ascii="Arial" w:cs="Arial" w:eastAsia="Arial" w:hAnsi="Arial"/>
          <w:sz w:val="11"/>
          <w:szCs w:val="11"/>
          <w:color w:val="auto"/>
        </w:rPr>
      </w:pPr>
      <w:r>
        <w:rPr>
          <w:rFonts w:ascii="Arial" w:cs="Arial" w:eastAsia="Arial" w:hAnsi="Arial"/>
          <w:sz w:val="13"/>
          <w:szCs w:val="13"/>
          <w:color w:val="auto"/>
        </w:rPr>
        <w:t>Consists of (i) 634,353 shares of Class B common stock held by Mr. Agarwal in his individual capacity and (ii) 5,266,489 shares of Class B common stock beneficially owned by Mr. Agarwal through various trusts and related entities.</w:t>
      </w:r>
    </w:p>
    <w:p>
      <w:pPr>
        <w:ind w:left="1380" w:right="60" w:hanging="268"/>
        <w:spacing w:after="0" w:line="226" w:lineRule="auto"/>
        <w:tabs>
          <w:tab w:leader="none" w:pos="1380" w:val="left"/>
        </w:tabs>
        <w:numPr>
          <w:ilvl w:val="0"/>
          <w:numId w:val="82"/>
        </w:numPr>
        <w:rPr>
          <w:rFonts w:ascii="Arial" w:cs="Arial" w:eastAsia="Arial" w:hAnsi="Arial"/>
          <w:sz w:val="11"/>
          <w:szCs w:val="11"/>
          <w:color w:val="auto"/>
        </w:rPr>
      </w:pPr>
      <w:r>
        <w:rPr>
          <w:rFonts w:ascii="Arial" w:cs="Arial" w:eastAsia="Arial" w:hAnsi="Arial"/>
          <w:sz w:val="13"/>
          <w:szCs w:val="13"/>
          <w:color w:val="auto"/>
        </w:rPr>
        <w:t>Consists of 2,573,920 shares of Class B common stock held by J. Rothschild Investments 1 Limited. Anthony D. Holt, Emmalene Holden, and Kelvin J. Whelan are directors of J. Rothschild Investments 1 Limited and share voting and investment powers over the shares. The address for this entity is Newport House, 15 The Grange, St. Peter Port, Guernsey.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320"/>
          </w:cols>
          <w:pgMar w:left="240" w:top="408" w:right="13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DESCRIPTION OF CAPITAL STOCK</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General</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The following description summarizes certain important terms of our capital stock, as they are expected to be in effect immediately prior to the completion of this offering and the concurrent private placement.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pacing w:after="0" w:line="14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Immediately following the completion of this offering, our authorized capital stock will consist of 3,915,000,000 shares of capital stock, $0.00001 par value per share, of which:</w:t>
      </w:r>
    </w:p>
    <w:p>
      <w:pPr>
        <w:spacing w:after="0" w:line="67" w:lineRule="exact"/>
        <w:rPr>
          <w:sz w:val="20"/>
          <w:szCs w:val="20"/>
          <w:color w:val="auto"/>
        </w:rPr>
      </w:pPr>
    </w:p>
    <w:p>
      <w:pPr>
        <w:ind w:left="1840" w:hanging="276"/>
        <w:spacing w:after="0"/>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2,400,000,000 shares are designated as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475,000,000 shares are designated as Class B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800,000,000 shares are designated as Class C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240,000,000 shares are designated as preferred stock.</w:t>
      </w:r>
    </w:p>
    <w:p>
      <w:pPr>
        <w:spacing w:after="0" w:line="18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color w:val="auto"/>
        </w:rPr>
        <w:t>Assuming the conversion of all outstanding shares of our convertible preferred stock into shares of our Class B common stock, which will occur immediately prior to the completion of this offering, as of December 31, 2017, there were 11,817,248 shares of our Class A common stock outstanding (including the Capital Stock Conversions), held by 1,310 stockholders of record, 348,501,449 shares of our Class B common stock outstanding (including the Capital Stock Conversions and the RSU Settlement), held by 2,658 stockholders of record, and no shares of our Class C common stock outstanding. Pursuant to our amended and restated certificate of incorporation, our Board of Directors will have the authority, without stockholder approval except as required by the listing standards of Nasdaq, to issue additional shares of our Class A common stock and Class C common stock. Until the final conversion of all outstanding shares of Class B common stock pursuant to the terms of the amended and restated certificate of incorporation, or the Final Conversion Date, any issuance of additional shares of Class B common stock, other than shares issued pursuant to the exercise or conversion of options or warrants or the settlement of RSUs, in each case, outstanding as of the date the shares of Class A common stock are listed for issuance on Nasdaq, requires the approval of the holders of a majority of the outstanding shares of Class B common stock.</w:t>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Common Stock</w:t>
      </w:r>
    </w:p>
    <w:p>
      <w:pPr>
        <w:spacing w:after="0" w:line="102"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Dividend Rights</w:t>
      </w:r>
    </w:p>
    <w:p>
      <w:pPr>
        <w:spacing w:after="0" w:line="102" w:lineRule="exact"/>
        <w:rPr>
          <w:sz w:val="20"/>
          <w:szCs w:val="20"/>
          <w:color w:val="auto"/>
        </w:rPr>
      </w:pPr>
    </w:p>
    <w:p>
      <w:pPr>
        <w:ind w:left="1120" w:right="120" w:firstLine="368"/>
        <w:spacing w:after="0" w:line="290"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300"/>
          </w:cols>
          <w:pgMar w:left="240" w:top="408" w:right="135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Rights</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 majority of the Class B common stock is required to increase the number of authorized shares of our Class B common stock. In addition, Delaware law could require either holders of our Class A common stock, our Class B common stock, or our Class C common stock to vote separately as a single class in the following circumstances:</w:t>
      </w:r>
    </w:p>
    <w:p>
      <w:pPr>
        <w:spacing w:after="0" w:line="82" w:lineRule="exact"/>
        <w:rPr>
          <w:sz w:val="20"/>
          <w:szCs w:val="20"/>
          <w:color w:val="auto"/>
        </w:rPr>
      </w:pPr>
    </w:p>
    <w:p>
      <w:pPr>
        <w:ind w:left="1840" w:right="180" w:hanging="276"/>
        <w:spacing w:after="0" w:line="275" w:lineRule="auto"/>
        <w:tabs>
          <w:tab w:leader="none" w:pos="18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Until the Final Conversion Date, our Class B common stock will have the right to vote as a separate class to:</w:t>
      </w:r>
    </w:p>
    <w:p>
      <w:pPr>
        <w:spacing w:after="0" w:line="109" w:lineRule="exact"/>
        <w:rPr>
          <w:sz w:val="20"/>
          <w:szCs w:val="20"/>
          <w:color w:val="auto"/>
        </w:rPr>
      </w:pPr>
    </w:p>
    <w:p>
      <w:pPr>
        <w:ind w:left="1840" w:right="120" w:hanging="276"/>
        <w:spacing w:after="0" w:line="263" w:lineRule="auto"/>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amend or modify any provision of the amended and restated certificate of incorporation inconsistent with, or otherwise alter, any provision of amended and restated certificate of incorporation to modify the voting, conversion or other rights, powers, preferences, privileges or restrictions of the Class B common stock;</w:t>
      </w:r>
    </w:p>
    <w:p>
      <w:pPr>
        <w:spacing w:after="0" w:line="75" w:lineRule="exact"/>
        <w:rPr>
          <w:rFonts w:ascii="Arial" w:cs="Arial" w:eastAsia="Arial" w:hAnsi="Arial"/>
          <w:sz w:val="15"/>
          <w:szCs w:val="15"/>
          <w:color w:val="auto"/>
        </w:rPr>
      </w:pPr>
    </w:p>
    <w:p>
      <w:pPr>
        <w:jc w:val="both"/>
        <w:ind w:left="1840" w:hanging="276"/>
        <w:spacing w:after="0" w:line="322" w:lineRule="auto"/>
        <w:tabs>
          <w:tab w:leader="none" w:pos="1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41" w:lineRule="exact"/>
        <w:rPr>
          <w:rFonts w:ascii="Arial" w:cs="Arial" w:eastAsia="Arial" w:hAnsi="Arial"/>
          <w:sz w:val="13"/>
          <w:szCs w:val="13"/>
          <w:color w:val="auto"/>
        </w:rPr>
      </w:pPr>
    </w:p>
    <w:p>
      <w:pPr>
        <w:ind w:left="1840" w:right="140" w:hanging="276"/>
        <w:spacing w:after="0" w:line="263" w:lineRule="auto"/>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issue any shares of Class B common stock (other than shares of Class B Common Stock originally issued after the date of this offering pursuant to the exercise or conversion of options or warrants or settlement of RSUs that, in each case, are outstanding as of the date of this offering);</w:t>
      </w:r>
    </w:p>
    <w:p>
      <w:pPr>
        <w:spacing w:after="0" w:line="75"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authorize, or issue any shares of, any class or series of capital stock of the Corporation having the right to more than (1) vote for each share thereof;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consummate a Liquidation Event (as defined in the amended and restated certificate of incorporation).</w:t>
      </w:r>
    </w:p>
    <w:p>
      <w:pPr>
        <w:spacing w:after="0" w:line="18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amended and restated certificate of incorporation and amended and restated bylaws that will be in effect at the closing of our initial public offering will provide that from and after the Voting Threshold Date, we will have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Until the Voting Threshold Date, our directors will be elected annually for one-year terms. Stockholders do not have the ability to cumulate votes for the election of directors.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 Preemptive or Similar Rights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300"/>
          </w:cols>
          <w:pgMar w:left="240" w:top="407" w:right="135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10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B Common Stock</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certain transfers described in our amended and restated certificate of incorporation, including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and permitted transferees of such natural person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and permanent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w:t>
      </w:r>
    </w:p>
    <w:p>
      <w:pPr>
        <w:spacing w:after="0" w:line="154"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Each share of Class B common stock will convert automatically into one share of Class A common stock upon (i) the date specified by affirmative vote of the holders of two-thirds of the then outstanding shares of Class B common stock, (ii) the date on which the outstanding shares of Class B common stock represent less than five percent of the aggregate number of shares of the then outstanding Class A common stock and Class B common stock, or (iii) nine months after the death or total disability of the last to die or become disabled of our co-founders, or such later date not to exceed a total period of 18 months after such death or disability as may be approved by a majority of our independent directors.</w:t>
      </w:r>
    </w:p>
    <w:p>
      <w:pPr>
        <w:spacing w:after="0" w:line="147"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Additionally, pursuant to transfer agreements with certain of our stockholders, 2,609,951 shares of our Class B common stock will automatically convert into an equivalent number of shares of Class A common stock immediately prior to the completion of this offering.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C Common Stock</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Shares of Class C common stock will convert automatically into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Fully Paid and Non-Assessable</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In connection with this offering, our legal counsel will opine that the shares of our Class A common stock to be issued in this offering will be fully paid and non-assessable.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320"/>
          </w:cols>
          <w:pgMar w:left="240" w:top="408" w:right="133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Preferred Stock</w:t>
      </w:r>
    </w:p>
    <w:p>
      <w:pPr>
        <w:spacing w:after="0" w:line="102"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RSAs</w:t>
      </w:r>
    </w:p>
    <w:p>
      <w:pPr>
        <w:spacing w:after="0" w:line="102"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As of December 31, 2017, we had outstanding 14,733,333 shares of our Class A common stock subject to RSAs, which were granted pursuant to the Co-Founder Grants. The Co-Founder Grants vest upon the satisfaction of the service condition and achievement of certain stock price goals. These Co-Founder Grants provide the holders with certain stockholder rights, such as the right to vote the shares immediately upon grant and prior to their vesting. See “Executive Compensation—Co-Founder Restricted Stock Awards” for additional information.</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Options</w:t>
      </w:r>
    </w:p>
    <w:p>
      <w:pPr>
        <w:spacing w:after="0" w:line="102" w:lineRule="exact"/>
        <w:rPr>
          <w:sz w:val="20"/>
          <w:szCs w:val="20"/>
          <w:color w:val="auto"/>
        </w:rPr>
      </w:pPr>
    </w:p>
    <w:p>
      <w:pPr>
        <w:ind w:left="1120" w:right="520" w:firstLine="368"/>
        <w:spacing w:after="0" w:line="275" w:lineRule="auto"/>
        <w:rPr>
          <w:sz w:val="20"/>
          <w:szCs w:val="20"/>
          <w:color w:val="auto"/>
        </w:rPr>
      </w:pPr>
      <w:r>
        <w:rPr>
          <w:rFonts w:ascii="Arial" w:cs="Arial" w:eastAsia="Arial" w:hAnsi="Arial"/>
          <w:sz w:val="15"/>
          <w:szCs w:val="15"/>
          <w:color w:val="auto"/>
        </w:rPr>
        <w:t>As of December 31, 2017, we had outstanding options to purchase an aggregate of 4,959,492 shares of our Class B common stock, with a weighted-average exercise price of $10.52 per share, under our equity compensation plans.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RSUs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As of December 31, 2017, we had outstanding 38,219,737 shares of our Class B common stock subject to RSUs under our 2008 Plan and 16,707,823 shares of our Class A common stock subject to RSUs under our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w:t>
      </w:r>
    </w:p>
    <w:p>
      <w:pPr>
        <w:spacing w:after="0" w:line="1" w:lineRule="exact"/>
        <w:rPr>
          <w:sz w:val="20"/>
          <w:szCs w:val="20"/>
          <w:color w:val="auto"/>
        </w:rPr>
      </w:pPr>
    </w:p>
    <w:p>
      <w:pPr>
        <w:ind w:left="1120" w:hanging="8"/>
        <w:spacing w:after="0" w:line="253" w:lineRule="auto"/>
        <w:tabs>
          <w:tab w:leader="none" w:pos="1324" w:val="left"/>
        </w:tabs>
        <w:numPr>
          <w:ilvl w:val="0"/>
          <w:numId w:val="86"/>
        </w:numPr>
        <w:rPr>
          <w:rFonts w:ascii="Arial" w:cs="Arial" w:eastAsia="Arial" w:hAnsi="Arial"/>
          <w:sz w:val="15"/>
          <w:szCs w:val="15"/>
          <w:color w:val="auto"/>
        </w:rPr>
      </w:pPr>
      <w:r>
        <w:rPr>
          <w:rFonts w:ascii="Arial" w:cs="Arial" w:eastAsia="Arial" w:hAnsi="Arial"/>
          <w:sz w:val="15"/>
          <w:szCs w:val="15"/>
          <w:color w:val="auto"/>
        </w:rPr>
        <w:t>six months after our initial public offering or (b) 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80"/>
          </w:cols>
          <w:pgMar w:left="240" w:top="407" w:right="137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7" w:lineRule="auto"/>
        <w:rPr>
          <w:sz w:val="20"/>
          <w:szCs w:val="20"/>
          <w:color w:val="auto"/>
        </w:rPr>
      </w:pPr>
      <w:r>
        <w:rPr>
          <w:rFonts w:ascii="Arial" w:cs="Arial" w:eastAsia="Arial" w:hAnsi="Arial"/>
          <w:sz w:val="14"/>
          <w:szCs w:val="14"/>
          <w:color w:val="auto"/>
        </w:rPr>
        <w:t>on the first of those New Quarterly Dates. For one-tier RSUs, this amendment was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has approved the acceleration of the Performance Vesting Condition associated with the two-tier RSUs to occur upon the effectiveness of the registration statement of which this prospectus forms a part. All other significant terms of the two-tier RSUs will remain unchanged.</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Agreements</w:t>
      </w:r>
    </w:p>
    <w:p>
      <w:pPr>
        <w:spacing w:after="0" w:line="102"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Mr. Houston and Mr. Ferdowsi have entered into voting agreements with certain of our stockholders, which voting agreements will remain in effect after the completion of this offering. These voting agreements cover an aggregate of 6.9% of the voting power of our outstanding capital stock after our initial public offering and the concurrent private placement. We are not a party to these voting agreements. Under these voting agreements, the proxyholder, either Mr. Houston or Mr. Ferdowsi, has the authority (and irrevocable proxy) to direct the vote and vote these shares at his discretion on all matters to be voted upon by stockholders.</w:t>
      </w:r>
    </w:p>
    <w:p>
      <w:pPr>
        <w:spacing w:after="0" w:line="159"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color w:val="auto"/>
        </w:rPr>
        <w:t>Shares subject to the voting agreements will no longer be subject to the provisions of the voting agreement if an investor sells, transfers, assigns, pledges, or otherwise disposes of or encumbers the shares subject to the voting agreements after the completion of our initial public offering, except for permitted transfers under the amended and restated certificate of incorporation. The voting agreements will terminate on our dissolution, the express written consent of the proxyholder, the date on which the Final Conversion Date occurs as a result of the death or disability of both Mr. Houston and Mr. Ferdowsi or the date on which the stockholder and any of such stockholder’s permitted transferees ceases to own any of the shares subject to the applicable voting agreement.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After the completion of this offering and the concurrent private placement,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 completion of this offering and the concurrent private placement,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Demand Registration Rights</w:t>
      </w:r>
    </w:p>
    <w:p>
      <w:pPr>
        <w:spacing w:after="0" w:line="102"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5,020,525 shares of our Class A common stock will be entitled to certain demand registration rights. At any time beginning six months after the effective date of this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80"/>
          </w:cols>
          <w:pgMar w:left="240" w:top="408" w:right="137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offering, the holders of at least 40% of these shares then outstanding can request that we register the offer and sale of their shares, or such request must</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cover securities in which the anticipated aggregate public offering price, before payment of underwriting discounts and commissions, is at least</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$10,000,000. We are obligated to effect only two such registrations. If we determine that it would be seriously detrimental to us and our stockholders to</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effect such a demand registration, we have the right to defer such registration, not more than once in any 12-month period, for a period of up to 120</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days.</w:t>
      </w: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Piggyback Registration Rights</w:t>
      </w:r>
    </w:p>
    <w:p>
      <w:pPr>
        <w:spacing w:after="0" w:line="10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After the completion of this offering and the concurrent private placement, if we propose to register the offer and sale of our Class A common stock under the Securities Act, in connection with the public offering of such Class A common stock, the holders of up to 144,907,822 shares of our Class B common stock and 5,020,525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4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S-3 Registration Rights</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5,020,525 shares of our Class A common stock will be entitled to certain Form S-3 registration 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Anti-Takeover Provisions</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Delaware Law</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240" w:top="408" w:right="143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“interested stockholder” for a period of three years after the date of the transaction in which the person became an interested stockholder, unless:</w:t>
      </w:r>
    </w:p>
    <w:p>
      <w:pPr>
        <w:spacing w:after="0" w:line="121" w:lineRule="exact"/>
        <w:rPr>
          <w:sz w:val="20"/>
          <w:szCs w:val="20"/>
          <w:color w:val="auto"/>
        </w:rPr>
      </w:pPr>
    </w:p>
    <w:p>
      <w:pPr>
        <w:ind w:left="1840" w:hanging="276"/>
        <w:spacing w:after="0"/>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transaction was approved by the board of directors prior to the time that the stockholder became an interested stockholder;</w:t>
      </w:r>
    </w:p>
    <w:p>
      <w:pPr>
        <w:spacing w:after="0" w:line="109" w:lineRule="exact"/>
        <w:rPr>
          <w:rFonts w:ascii="Arial" w:cs="Arial" w:eastAsia="Arial" w:hAnsi="Arial"/>
          <w:sz w:val="15"/>
          <w:szCs w:val="15"/>
          <w:color w:val="auto"/>
        </w:rPr>
      </w:pPr>
    </w:p>
    <w:p>
      <w:pPr>
        <w:ind w:left="1840" w:right="40" w:hanging="276"/>
        <w:spacing w:after="0" w:line="283" w:lineRule="auto"/>
        <w:tabs>
          <w:tab w:leader="none" w:pos="18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4"/>
          <w:szCs w:val="14"/>
          <w:color w:val="auto"/>
        </w:rPr>
      </w:pPr>
    </w:p>
    <w:p>
      <w:pPr>
        <w:ind w:left="1840" w:right="220" w:hanging="276"/>
        <w:spacing w:after="0" w:line="263" w:lineRule="auto"/>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55"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102" w:lineRule="exact"/>
        <w:rPr>
          <w:sz w:val="20"/>
          <w:szCs w:val="20"/>
          <w:color w:val="auto"/>
        </w:rPr>
      </w:pPr>
    </w:p>
    <w:p>
      <w:pPr>
        <w:ind w:left="1120" w:right="160" w:firstLine="368"/>
        <w:spacing w:after="0" w:line="312" w:lineRule="auto"/>
        <w:rPr>
          <w:sz w:val="20"/>
          <w:szCs w:val="20"/>
          <w:color w:val="auto"/>
        </w:rPr>
      </w:pPr>
      <w:r>
        <w:rPr>
          <w:rFonts w:ascii="Arial" w:cs="Arial" w:eastAsia="Arial" w:hAnsi="Arial"/>
          <w:sz w:val="14"/>
          <w:szCs w:val="14"/>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b w:val="1"/>
          <w:bCs w:val="1"/>
          <w:i w:val="1"/>
          <w:iCs w:val="1"/>
          <w:color w:val="auto"/>
        </w:rPr>
        <w:t>Multi-class stock</w:t>
      </w:r>
      <w:r>
        <w:rPr>
          <w:rFonts w:ascii="Arial" w:cs="Arial" w:eastAsia="Arial" w:hAnsi="Arial"/>
          <w:sz w:val="15"/>
          <w:szCs w:val="15"/>
          <w:color w:val="auto"/>
        </w:rPr>
        <w:t>. As described above in “—Common Stock—Voting Rights,” our amended and restated certificate of incorporation provides for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5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b w:val="1"/>
          <w:bCs w:val="1"/>
          <w:i w:val="1"/>
          <w:iCs w:val="1"/>
          <w:color w:val="auto"/>
        </w:rPr>
        <w:t xml:space="preserve">Separate Class B Vote for Certain Transactions. </w:t>
      </w:r>
      <w:r>
        <w:rPr>
          <w:rFonts w:ascii="Arial" w:cs="Arial" w:eastAsia="Arial" w:hAnsi="Arial"/>
          <w:sz w:val="15"/>
          <w:szCs w:val="15"/>
          <w:color w:val="auto"/>
        </w:rPr>
        <w:t>Until the Final Conversion Date, our Class B common stock will have the right to vote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separate class on amendments to our amended and restated certificate of incorporation that affect the rights of our Class B common stock, certain reclassifications and changes in voting rights of our Class A common stock or Class C common stock, issuances of Class B common stock other than pursuant to existing rights and equity awards, authorization of stock with more than one (1) vote per share and liquidation events. See the section titled “Description of Capital Stock—Voting Rights.”</w:t>
      </w:r>
    </w:p>
    <w:p>
      <w:pPr>
        <w:spacing w:after="0" w:line="159"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b w:val="1"/>
          <w:bCs w:val="1"/>
          <w:i w:val="1"/>
          <w:iCs w:val="1"/>
          <w:color w:val="auto"/>
        </w:rPr>
        <w:t>Board of Directors vacancies</w:t>
      </w:r>
      <w:r>
        <w:rPr>
          <w:rFonts w:ascii="Arial" w:cs="Arial" w:eastAsia="Arial" w:hAnsi="Arial"/>
          <w:sz w:val="13"/>
          <w:szCs w:val="13"/>
          <w:color w:val="auto"/>
        </w:rPr>
        <w:t>. Our amended and restated certificate of incorporation and amended and restated bylaws will authorize only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33"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b w:val="1"/>
          <w:bCs w:val="1"/>
          <w:i w:val="1"/>
          <w:iCs w:val="1"/>
          <w:color w:val="auto"/>
        </w:rPr>
        <w:t>Classified Board of Directors</w:t>
      </w:r>
      <w:r>
        <w:rPr>
          <w:rFonts w:ascii="Arial" w:cs="Arial" w:eastAsia="Arial" w:hAnsi="Arial"/>
          <w:sz w:val="13"/>
          <w:szCs w:val="13"/>
          <w:color w:val="auto"/>
        </w:rPr>
        <w:t>. Our amended and restated certificate of incorporation and amended and restated bylaws will provide that, from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after the time that the Class B common stock no longer represents a majority of the combined voting power of our Class A common stock and Class B common stock, or the Voting Threshold Date, our Board of Directors will be classified into three classes of directors. A third party may be</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320"/>
          </w:cols>
          <w:pgMar w:left="240" w:top="408" w:right="133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23"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b w:val="1"/>
          <w:bCs w:val="1"/>
          <w:i w:val="1"/>
          <w:iCs w:val="1"/>
          <w:color w:val="auto"/>
        </w:rPr>
        <w:t>Stockholder action; special meeting of stockholders</w:t>
      </w:r>
      <w:r>
        <w:rPr>
          <w:rFonts w:ascii="Arial" w:cs="Arial" w:eastAsia="Arial" w:hAnsi="Arial"/>
          <w:sz w:val="14"/>
          <w:szCs w:val="14"/>
          <w:color w:val="auto"/>
        </w:rPr>
        <w:t>. Our amended and restated certificate of incorporation will provide that until the Voting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Threshold Date, our stockholders may only take action by written consent if such action is first recommended or approved by the Board of Directors. Following the Voting Threshold Date,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bylaws will further provide that special meetings of our stockholders may be called only by a majority of our Board of Directors, the Chairman of our Board of Directors, our Chief Executive Officer or, until the Final Conversion Date, holders of 30% of the combined voting power of our Class A common stock and Class B common stock,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r>
        <w:rPr>
          <w:rFonts w:ascii="Arial" w:cs="Arial" w:eastAsia="Arial" w:hAnsi="Arial"/>
          <w:sz w:val="15"/>
          <w:szCs w:val="15"/>
          <w:color w:val="auto"/>
        </w:rPr>
        <w:t>. Our amended and restated bylaws will provide advance notice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61"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b w:val="1"/>
          <w:bCs w:val="1"/>
          <w:i w:val="1"/>
          <w:iCs w:val="1"/>
          <w:color w:val="auto"/>
        </w:rPr>
        <w:t>No cumulative voting</w:t>
      </w:r>
      <w:r>
        <w:rPr>
          <w:rFonts w:ascii="Arial" w:cs="Arial" w:eastAsia="Arial" w:hAnsi="Arial"/>
          <w:sz w:val="15"/>
          <w:szCs w:val="15"/>
          <w:color w:val="auto"/>
        </w:rPr>
        <w:t>. The Delaware General Corporation Law provides that stockholders are not entitled to cumulate votes in the election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unless a corporation’s certificate of incorporation provides otherwise. Our amended and restated certificate of incorporation does not provide for cumulative voting.</w:t>
      </w:r>
    </w:p>
    <w:p>
      <w:pPr>
        <w:spacing w:after="0" w:line="155"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b w:val="1"/>
          <w:bCs w:val="1"/>
          <w:i w:val="1"/>
          <w:iCs w:val="1"/>
          <w:color w:val="auto"/>
        </w:rPr>
        <w:t>Amendment of charter and bylaws provisions</w:t>
      </w:r>
      <w:r>
        <w:rPr>
          <w:rFonts w:ascii="Arial" w:cs="Arial" w:eastAsia="Arial" w:hAnsi="Arial"/>
          <w:sz w:val="14"/>
          <w:szCs w:val="14"/>
          <w:color w:val="auto"/>
        </w:rPr>
        <w:t>. Prior to the Final Conversion Date, any amendment of our amended and restated certificate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incorporation will require approval by holders of at least two-thirds of the voting power of our then outstanding capital stock. From and after the Final Conversion Date, certain amendments to our amended and restated certificate of incorporation will require the approval of two-thirds of the outstanding voting power of our common stock. Our amended and restated bylaws will provide that approval of stockholders holding two-thirds of our outstanding voting power voting as a single class is required for stockholders to amend or adopt any provision of our bylaws.</w:t>
      </w:r>
    </w:p>
    <w:p>
      <w:pPr>
        <w:spacing w:after="0" w:line="147"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b w:val="1"/>
          <w:bCs w:val="1"/>
          <w:i w:val="1"/>
          <w:iCs w:val="1"/>
          <w:color w:val="auto"/>
        </w:rPr>
        <w:t>Issuance of undesignated preferred stock</w:t>
      </w:r>
      <w:r>
        <w:rPr>
          <w:rFonts w:ascii="Arial" w:cs="Arial" w:eastAsia="Arial" w:hAnsi="Arial"/>
          <w:sz w:val="14"/>
          <w:szCs w:val="14"/>
          <w:color w:val="auto"/>
        </w:rPr>
        <w:t>. Our Board of Directors will have the authority, without further action by our stockholders, to issue up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240,000,000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Exclusive Forum</w:t>
      </w:r>
    </w:p>
    <w:p>
      <w:pPr>
        <w:spacing w:after="0" w:line="102"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320"/>
          </w:cols>
          <w:pgMar w:left="240" w:top="407" w:right="133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4" w:lineRule="auto"/>
        <w:rPr>
          <w:sz w:val="20"/>
          <w:szCs w:val="20"/>
          <w:color w:val="auto"/>
        </w:rPr>
      </w:pPr>
      <w:r>
        <w:rPr>
          <w:rFonts w:ascii="Arial" w:cs="Arial" w:eastAsia="Arial" w:hAnsi="Arial"/>
          <w:sz w:val="15"/>
          <w:szCs w:val="15"/>
          <w:color w:val="auto"/>
        </w:rPr>
        <w:t>Corporation Law or our certificate of incorporation or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will also provide that the federal district courts of the United States will be the exclusive forum for resolving any complaint asserting a cause of action arising under the Securities Act.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Transfer Agent and Registrar</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Upon completion of this offering, the transfer agent and registrar for our common stock will be Computershare Trust Company, N.A. The transfer agent and registrar’s address is 144 Fernwood Avenue, Edison, NJ 08837.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02"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Listing</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Class A common stock on Nasdaq under the symbol “DBX”.</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40"/>
          </w:cols>
          <w:pgMar w:left="240" w:top="407" w:right="141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SHARES ELIGIBLE FOR FUTURE SALE</w:t>
      </w:r>
    </w:p>
    <w:p>
      <w:pPr>
        <w:spacing w:after="0" w:line="192"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4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Following the completion of this offering and the concurrent private placement, based on the number of shares of our capital stock outstanding as of December 31, 2017, we will have a total of 52,579,153 shares of our Class A common stock outstanding, 339,323,858 shares of our Class B common stock outstanding, and no shares of Class C common stock outstanding. Of these outstanding shares, all 36,000,000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7"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54" w:lineRule="exact"/>
        <w:rPr>
          <w:sz w:val="20"/>
          <w:szCs w:val="20"/>
          <w:color w:val="auto"/>
        </w:rPr>
      </w:pPr>
    </w:p>
    <w:p>
      <w:pPr>
        <w:ind w:left="1840" w:right="420" w:hanging="276"/>
        <w:spacing w:after="0" w:line="275"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beginning on the date of this prospectus, all 36,000,000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right="100" w:hanging="276"/>
        <w:spacing w:after="0" w:line="263"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and market standoff agreements described below) 355,903,011 additional shares will become eligible for sale in the public market, of which 258,718,600 shares will be held by affiliates and subject to the volume and other restrictions of Rule 144, as described below.</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w:t>
      </w:r>
    </w:p>
    <w:p>
      <w:pPr>
        <w:spacing w:after="0" w:line="4" w:lineRule="exact"/>
        <w:rPr>
          <w:sz w:val="20"/>
          <w:szCs w:val="20"/>
          <w:color w:val="auto"/>
        </w:rPr>
      </w:pPr>
    </w:p>
    <w:p>
      <w:pPr>
        <w:jc w:val="both"/>
        <w:ind w:left="1120" w:right="40" w:hanging="8"/>
        <w:spacing w:after="0" w:line="253" w:lineRule="auto"/>
        <w:tabs>
          <w:tab w:leader="none" w:pos="1275"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80"/>
          </w:cols>
          <w:pgMar w:left="240" w:top="408" w:right="137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144</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61"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76" w:lineRule="exact"/>
        <w:rPr>
          <w:sz w:val="20"/>
          <w:szCs w:val="20"/>
          <w:color w:val="auto"/>
        </w:rPr>
      </w:pPr>
    </w:p>
    <w:p>
      <w:pPr>
        <w:ind w:left="1840" w:right="620" w:hanging="276"/>
        <w:spacing w:after="0" w:line="312" w:lineRule="auto"/>
        <w:tabs>
          <w:tab w:leader="none" w:pos="18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1% of the number of shares of our Class A common stock then outstanding, which will equal 673,124 shares immediately after the completion of this offering and the concurrent private placement, including the Co-Founder Grants; or</w:t>
      </w:r>
    </w:p>
    <w:p>
      <w:pPr>
        <w:spacing w:after="0" w:line="43" w:lineRule="exact"/>
        <w:rPr>
          <w:rFonts w:ascii="Arial" w:cs="Arial" w:eastAsia="Arial" w:hAnsi="Arial"/>
          <w:sz w:val="14"/>
          <w:szCs w:val="14"/>
          <w:color w:val="auto"/>
        </w:rPr>
      </w:pPr>
    </w:p>
    <w:p>
      <w:pPr>
        <w:ind w:left="1840" w:right="200" w:hanging="276"/>
        <w:spacing w:after="0" w:line="275" w:lineRule="auto"/>
        <w:tabs>
          <w:tab w:leader="none" w:pos="18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average weekly trading volume of our Class A common stock during the four calendar weeks preceding the filing of a notice on Form 144 with respect to that sale.</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701</w:t>
      </w:r>
    </w:p>
    <w:p>
      <w:pPr>
        <w:spacing w:after="0" w:line="10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Pursuant to our IRA, after the completion of this offering and the concurrent private placement, the holders of up to 144,907,822 shares of our Class B common stock and 5,020,525 shares of our Class A common stock,</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300"/>
          </w:cols>
          <w:pgMar w:left="240" w:top="408" w:right="135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7" w:lineRule="auto"/>
        <w:rPr>
          <w:sz w:val="20"/>
          <w:szCs w:val="20"/>
          <w:color w:val="auto"/>
        </w:rPr>
      </w:pPr>
      <w:r>
        <w:rPr>
          <w:rFonts w:ascii="Arial" w:cs="Arial" w:eastAsia="Arial" w:hAnsi="Arial"/>
          <w:sz w:val="15"/>
          <w:szCs w:val="15"/>
          <w:color w:val="auto"/>
        </w:rPr>
        <w:t>or certain transferees, will be entitled to certain rights with respect to the registration of the offer and sale of those shares, as converted into an equivalent number of shares of our Class A common stock upon such offer and sale, under the Securities Act. See the section titled “Description of Capital Stock— 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Statement</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300"/>
          </w:cols>
          <w:pgMar w:left="240" w:top="408"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2"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79" w:lineRule="exact"/>
        <w:rPr>
          <w:sz w:val="20"/>
          <w:szCs w:val="20"/>
          <w:color w:val="auto"/>
        </w:rPr>
      </w:pPr>
    </w:p>
    <w:p>
      <w:pPr>
        <w:ind w:left="1840" w:right="70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109"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or corporations that accumulate earnings to avoid U.S. federal income tax;</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U.S. expatriates or certain former citizens or long-term residents of the United States;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partnerships or entities classified as partnerships for U.S. federal income tax purposes or other pass-through entities (and investors therein);</w:t>
      </w:r>
    </w:p>
    <w:p>
      <w:pPr>
        <w:spacing w:after="0" w:line="132" w:lineRule="exact"/>
        <w:rPr>
          <w:rFonts w:ascii="Arial" w:cs="Arial" w:eastAsia="Arial" w:hAnsi="Arial"/>
          <w:sz w:val="13"/>
          <w:szCs w:val="13"/>
          <w:color w:val="auto"/>
        </w:rPr>
      </w:pPr>
    </w:p>
    <w:p>
      <w:pPr>
        <w:ind w:left="1840" w:right="42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who hold our Class A common stock as a position in a hedging transaction, “straddle,” “conversion transaction,” or other risk reduction transaction or integrated investment;</w:t>
      </w:r>
    </w:p>
    <w:p>
      <w:pPr>
        <w:spacing w:after="0" w:line="67" w:lineRule="exact"/>
        <w:rPr>
          <w:rFonts w:ascii="Arial" w:cs="Arial" w:eastAsia="Arial" w:hAnsi="Arial"/>
          <w:sz w:val="15"/>
          <w:szCs w:val="15"/>
          <w:color w:val="auto"/>
        </w:rPr>
      </w:pPr>
    </w:p>
    <w:p>
      <w:pPr>
        <w:ind w:left="1840" w:right="88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who do not hold our Class A common stock as a capital asset within the meaning of Section 1221 of the Code;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109" w:lineRule="exact"/>
        <w:rPr>
          <w:rFonts w:ascii="Arial" w:cs="Arial" w:eastAsia="Arial" w:hAnsi="Arial"/>
          <w:sz w:val="15"/>
          <w:szCs w:val="15"/>
          <w:color w:val="auto"/>
        </w:rPr>
      </w:pPr>
    </w:p>
    <w:p>
      <w:pPr>
        <w:ind w:left="1840" w:right="30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that own, or are deemed to own, more than five percent of our Class A common stock (except to the extent specifically set forth below);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persons that own, or are deemed to own, our Class B common stock.</w:t>
      </w:r>
    </w:p>
    <w:p>
      <w:pPr>
        <w:spacing w:after="0" w:line="18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300"/>
          </w:cols>
          <w:pgMar w:left="24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1120" w:right="80" w:firstLine="368"/>
        <w:spacing w:after="0" w:line="293" w:lineRule="auto"/>
        <w:rPr>
          <w:sz w:val="20"/>
          <w:szCs w:val="20"/>
          <w:color w:val="auto"/>
        </w:rPr>
      </w:pPr>
      <w:r>
        <w:rPr>
          <w:rFonts w:ascii="Arial" w:cs="Arial" w:eastAsia="Arial" w:hAnsi="Arial"/>
          <w:sz w:val="14"/>
          <w:szCs w:val="14"/>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Non-U.S. Holder Defined</w:t>
      </w:r>
    </w:p>
    <w:p>
      <w:pPr>
        <w:spacing w:after="0" w:line="102" w:lineRule="exact"/>
        <w:rPr>
          <w:sz w:val="20"/>
          <w:szCs w:val="20"/>
          <w:color w:val="auto"/>
        </w:rPr>
      </w:pPr>
    </w:p>
    <w:p>
      <w:pPr>
        <w:ind w:left="1120" w:right="660" w:firstLine="368"/>
        <w:spacing w:after="0" w:line="312" w:lineRule="auto"/>
        <w:rPr>
          <w:sz w:val="20"/>
          <w:szCs w:val="20"/>
          <w:color w:val="auto"/>
        </w:rPr>
      </w:pPr>
      <w:r>
        <w:rPr>
          <w:rFonts w:ascii="Arial" w:cs="Arial" w:eastAsia="Arial" w:hAnsi="Arial"/>
          <w:sz w:val="14"/>
          <w:szCs w:val="14"/>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44" w:lineRule="exact"/>
        <w:rPr>
          <w:sz w:val="20"/>
          <w:szCs w:val="20"/>
          <w:color w:val="auto"/>
        </w:rPr>
      </w:pPr>
    </w:p>
    <w:p>
      <w:pPr>
        <w:ind w:left="1840" w:hanging="276"/>
        <w:spacing w:after="0"/>
        <w:tabs>
          <w:tab w:leader="none" w:pos="1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109"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109" w:lineRule="exact"/>
        <w:rPr>
          <w:rFonts w:ascii="Arial" w:cs="Arial" w:eastAsia="Arial" w:hAnsi="Arial"/>
          <w:sz w:val="15"/>
          <w:szCs w:val="15"/>
          <w:color w:val="auto"/>
        </w:rPr>
      </w:pPr>
    </w:p>
    <w:p>
      <w:pPr>
        <w:jc w:val="both"/>
        <w:ind w:left="1840" w:right="120" w:hanging="276"/>
        <w:spacing w:after="0" w:line="263" w:lineRule="auto"/>
        <w:tabs>
          <w:tab w:leader="none" w:pos="1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Distributions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4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300"/>
          </w:cols>
          <w:pgMar w:left="240" w:top="408" w:right="135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Gain on Disposition of Our Class A Common Stock</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67" w:lineRule="exact"/>
        <w:rPr>
          <w:sz w:val="20"/>
          <w:szCs w:val="20"/>
          <w:color w:val="auto"/>
        </w:rPr>
      </w:pPr>
    </w:p>
    <w:p>
      <w:pPr>
        <w:ind w:left="1840" w:right="120" w:hanging="276"/>
        <w:spacing w:after="0" w:line="275"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67"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67" w:lineRule="exact"/>
        <w:rPr>
          <w:rFonts w:ascii="Arial" w:cs="Arial" w:eastAsia="Arial" w:hAnsi="Arial"/>
          <w:sz w:val="15"/>
          <w:szCs w:val="15"/>
          <w:color w:val="auto"/>
        </w:rPr>
      </w:pPr>
    </w:p>
    <w:p>
      <w:pPr>
        <w:ind w:left="1840" w:right="40" w:hanging="276"/>
        <w:spacing w:after="0" w:line="257"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59"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10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300"/>
          </w:cols>
          <w:pgMar w:left="240" w:top="408"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Federal Estate Tax</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55" w:lineRule="exact"/>
        <w:rPr>
          <w:sz w:val="20"/>
          <w:szCs w:val="20"/>
          <w:color w:val="auto"/>
        </w:rPr>
      </w:pPr>
    </w:p>
    <w:p>
      <w:pPr>
        <w:jc w:val="both"/>
        <w:ind w:left="1120" w:right="40" w:firstLine="368"/>
        <w:spacing w:after="0" w:line="283" w:lineRule="auto"/>
        <w:rPr>
          <w:sz w:val="20"/>
          <w:szCs w:val="20"/>
          <w:color w:val="auto"/>
        </w:rPr>
      </w:pPr>
      <w:r>
        <w:rPr>
          <w:rFonts w:ascii="Arial" w:cs="Arial" w:eastAsia="Arial" w:hAnsi="Arial"/>
          <w:sz w:val="14"/>
          <w:szCs w:val="14"/>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FATCA</w:t>
      </w:r>
    </w:p>
    <w:p>
      <w:pPr>
        <w:spacing w:after="0" w:line="102" w:lineRule="exact"/>
        <w:rPr>
          <w:sz w:val="20"/>
          <w:szCs w:val="20"/>
          <w:color w:val="auto"/>
        </w:rPr>
      </w:pPr>
    </w:p>
    <w:p>
      <w:pPr>
        <w:ind w:left="1120" w:firstLine="368"/>
        <w:spacing w:after="0" w:line="294" w:lineRule="auto"/>
        <w:rPr>
          <w:sz w:val="20"/>
          <w:szCs w:val="20"/>
          <w:color w:val="auto"/>
        </w:rPr>
      </w:pPr>
      <w:r>
        <w:rPr>
          <w:rFonts w:ascii="Arial" w:cs="Arial" w:eastAsia="Arial" w:hAnsi="Arial"/>
          <w:sz w:val="13"/>
          <w:szCs w:val="13"/>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39" w:lineRule="exact"/>
        <w:rPr>
          <w:sz w:val="20"/>
          <w:szCs w:val="20"/>
          <w:color w:val="auto"/>
        </w:rPr>
      </w:pPr>
    </w:p>
    <w:p>
      <w:pPr>
        <w:ind w:left="1120" w:right="280" w:firstLine="368"/>
        <w:spacing w:after="0" w:line="26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300"/>
          </w:cols>
          <w:pgMar w:left="240" w:top="408" w:right="135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UNDERWRITING (CONFLICTS OF INTEREST)</w:t>
      </w:r>
    </w:p>
    <w:p>
      <w:pPr>
        <w:spacing w:after="0" w:line="192"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72" w:lineRule="exact"/>
        <w:rPr>
          <w:sz w:val="20"/>
          <w:szCs w:val="20"/>
          <w:color w:val="auto"/>
        </w:rPr>
      </w:pPr>
    </w:p>
    <w:tbl>
      <w:tblPr>
        <w:tblLayout w:type="fixed"/>
        <w:tblInd w:w="2220" w:type="dxa"/>
        <w:tblCellMar>
          <w:top w:w="0" w:type="dxa"/>
          <w:left w:w="0" w:type="dxa"/>
          <w:bottom w:w="0" w:type="dxa"/>
          <w:right w:w="0" w:type="dxa"/>
        </w:tblCellMar>
      </w:tblPr>
      <w:tr>
        <w:trPr>
          <w:trHeight w:val="160"/>
        </w:trPr>
        <w:tc>
          <w:tcPr>
            <w:tcW w:w="6080" w:type="dxa"/>
            <w:vAlign w:val="bottom"/>
            <w:gridSpan w:val="2"/>
          </w:tcPr>
          <w:p>
            <w:pPr>
              <w:spacing w:after="0"/>
              <w:rPr>
                <w:sz w:val="20"/>
                <w:szCs w:val="20"/>
                <w:color w:val="auto"/>
              </w:rPr>
            </w:pPr>
            <w:r>
              <w:rPr>
                <w:rFonts w:ascii="Arial" w:cs="Arial" w:eastAsia="Arial" w:hAnsi="Arial"/>
                <w:sz w:val="12"/>
                <w:szCs w:val="12"/>
                <w:color w:val="auto"/>
              </w:rPr>
              <w:t>Underwriters</w:t>
            </w:r>
          </w:p>
        </w:tc>
        <w:tc>
          <w:tcPr>
            <w:tcW w:w="920" w:type="dxa"/>
            <w:vAlign w:val="bottom"/>
            <w:gridSpan w:val="2"/>
          </w:tcPr>
          <w:p>
            <w:pPr>
              <w:spacing w:after="0"/>
              <w:rPr>
                <w:sz w:val="20"/>
                <w:szCs w:val="20"/>
                <w:color w:val="auto"/>
              </w:rPr>
            </w:pPr>
            <w:r>
              <w:rPr>
                <w:rFonts w:ascii="Arial" w:cs="Arial" w:eastAsia="Arial" w:hAnsi="Arial"/>
                <w:sz w:val="12"/>
                <w:szCs w:val="12"/>
                <w:color w:val="auto"/>
                <w:w w:val="94"/>
              </w:rPr>
              <w:t>Number of shares</w:t>
            </w:r>
          </w:p>
        </w:tc>
      </w:tr>
      <w:tr>
        <w:trPr>
          <w:trHeight w:val="152"/>
        </w:trPr>
        <w:tc>
          <w:tcPr>
            <w:tcW w:w="64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5"/>
                <w:szCs w:val="15"/>
                <w:color w:val="auto"/>
              </w:rPr>
              <w:t>Goldman</w:t>
            </w:r>
          </w:p>
        </w:tc>
        <w:tc>
          <w:tcPr>
            <w:tcW w:w="544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5"/>
                <w:szCs w:val="15"/>
                <w:color w:val="auto"/>
              </w:rPr>
              <w:t>Sachs &amp; Co. LLC</w:t>
            </w:r>
          </w:p>
        </w:tc>
        <w:tc>
          <w:tcPr>
            <w:tcW w:w="8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color w:val="auto"/>
              </w:rPr>
              <w:t>10,620,000</w:t>
            </w:r>
          </w:p>
        </w:tc>
        <w:tc>
          <w:tcPr>
            <w:tcW w:w="60" w:type="dxa"/>
            <w:vAlign w:val="bottom"/>
            <w:tcBorders>
              <w:top w:val="single" w:sz="8" w:color="CCEEFF"/>
            </w:tcBorders>
            <w:shd w:val="clear" w:color="auto" w:fill="CCEEFF"/>
          </w:tcPr>
          <w:p>
            <w:pPr>
              <w:spacing w:after="0"/>
              <w:rPr>
                <w:sz w:val="13"/>
                <w:szCs w:val="13"/>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J.P. Morgan Securities LLC</w:t>
            </w:r>
          </w:p>
        </w:tc>
        <w:tc>
          <w:tcPr>
            <w:tcW w:w="860" w:type="dxa"/>
            <w:vAlign w:val="bottom"/>
          </w:tcPr>
          <w:p>
            <w:pPr>
              <w:jc w:val="right"/>
              <w:spacing w:after="0"/>
              <w:rPr>
                <w:sz w:val="20"/>
                <w:szCs w:val="20"/>
                <w:color w:val="auto"/>
              </w:rPr>
            </w:pPr>
            <w:r>
              <w:rPr>
                <w:rFonts w:ascii="Arial" w:cs="Arial" w:eastAsia="Arial" w:hAnsi="Arial"/>
                <w:sz w:val="15"/>
                <w:szCs w:val="15"/>
                <w:color w:val="auto"/>
              </w:rPr>
              <w:t>9,720,000</w:t>
            </w: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Securities Inc.</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3,510,000</w:t>
            </w: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Allen &amp; Company LLC</w:t>
            </w:r>
          </w:p>
        </w:tc>
        <w:tc>
          <w:tcPr>
            <w:tcW w:w="860" w:type="dxa"/>
            <w:vAlign w:val="bottom"/>
          </w:tcPr>
          <w:p>
            <w:pPr>
              <w:jc w:val="right"/>
              <w:spacing w:after="0"/>
              <w:rPr>
                <w:sz w:val="20"/>
                <w:szCs w:val="20"/>
                <w:color w:val="auto"/>
              </w:rPr>
            </w:pPr>
            <w:r>
              <w:rPr>
                <w:rFonts w:ascii="Arial" w:cs="Arial" w:eastAsia="Arial" w:hAnsi="Arial"/>
                <w:sz w:val="15"/>
                <w:szCs w:val="15"/>
                <w:color w:val="auto"/>
              </w:rPr>
              <w:t>3,510,000</w:t>
            </w:r>
          </w:p>
        </w:tc>
        <w:tc>
          <w:tcPr>
            <w:tcW w:w="60" w:type="dxa"/>
            <w:vAlign w:val="bottom"/>
          </w:tcPr>
          <w:p>
            <w:pPr>
              <w:spacing w:after="0"/>
              <w:rPr>
                <w:sz w:val="15"/>
                <w:szCs w:val="15"/>
                <w:color w:val="auto"/>
              </w:rPr>
            </w:pPr>
          </w:p>
        </w:tc>
      </w:tr>
      <w:tr>
        <w:trPr>
          <w:trHeight w:val="170"/>
        </w:trPr>
        <w:tc>
          <w:tcPr>
            <w:tcW w:w="60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Merrill Lynch, Pierce, Fenner &amp; Smith</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2"/>
        </w:trPr>
        <w:tc>
          <w:tcPr>
            <w:tcW w:w="640" w:type="dxa"/>
            <w:vAlign w:val="bottom"/>
            <w:shd w:val="clear" w:color="auto" w:fill="CCEEFF"/>
          </w:tcPr>
          <w:p>
            <w:pPr>
              <w:spacing w:after="0"/>
              <w:rPr>
                <w:sz w:val="17"/>
                <w:szCs w:val="17"/>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Incorporated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2,520,000</w:t>
            </w:r>
          </w:p>
        </w:tc>
        <w:tc>
          <w:tcPr>
            <w:tcW w:w="60" w:type="dxa"/>
            <w:vAlign w:val="bottom"/>
            <w:shd w:val="clear" w:color="auto" w:fill="CCEEFF"/>
          </w:tcPr>
          <w:p>
            <w:pPr>
              <w:spacing w:after="0"/>
              <w:rPr>
                <w:sz w:val="17"/>
                <w:szCs w:val="17"/>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RBC Capital Markets, LLC</w:t>
            </w:r>
          </w:p>
        </w:tc>
        <w:tc>
          <w:tcPr>
            <w:tcW w:w="860" w:type="dxa"/>
            <w:vAlign w:val="bottom"/>
          </w:tcPr>
          <w:p>
            <w:pPr>
              <w:jc w:val="right"/>
              <w:spacing w:after="0"/>
              <w:rPr>
                <w:sz w:val="20"/>
                <w:szCs w:val="20"/>
                <w:color w:val="auto"/>
              </w:rPr>
            </w:pPr>
            <w:r>
              <w:rPr>
                <w:rFonts w:ascii="Arial" w:cs="Arial" w:eastAsia="Arial" w:hAnsi="Arial"/>
                <w:sz w:val="15"/>
                <w:szCs w:val="15"/>
                <w:color w:val="auto"/>
              </w:rPr>
              <w:t>2,160,000</w:t>
            </w: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Jefferies LLC</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1,440,000</w:t>
            </w: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Macquarie Capital (USA) Inc.</w:t>
            </w:r>
          </w:p>
        </w:tc>
        <w:tc>
          <w:tcPr>
            <w:tcW w:w="860" w:type="dxa"/>
            <w:vAlign w:val="bottom"/>
          </w:tcPr>
          <w:p>
            <w:pPr>
              <w:jc w:val="right"/>
              <w:spacing w:after="0"/>
              <w:rPr>
                <w:sz w:val="20"/>
                <w:szCs w:val="20"/>
                <w:color w:val="auto"/>
              </w:rPr>
            </w:pPr>
            <w:r>
              <w:rPr>
                <w:rFonts w:ascii="Arial" w:cs="Arial" w:eastAsia="Arial" w:hAnsi="Arial"/>
                <w:sz w:val="15"/>
                <w:szCs w:val="15"/>
                <w:color w:val="auto"/>
              </w:rPr>
              <w:t>1,188,000</w:t>
            </w: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Canaccord Genuity LLC</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324,000</w:t>
            </w: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JMP Securities LLC</w:t>
            </w:r>
          </w:p>
        </w:tc>
        <w:tc>
          <w:tcPr>
            <w:tcW w:w="860" w:type="dxa"/>
            <w:vAlign w:val="bottom"/>
          </w:tcPr>
          <w:p>
            <w:pPr>
              <w:jc w:val="right"/>
              <w:spacing w:after="0"/>
              <w:rPr>
                <w:sz w:val="20"/>
                <w:szCs w:val="20"/>
                <w:color w:val="auto"/>
              </w:rPr>
            </w:pPr>
            <w:r>
              <w:rPr>
                <w:rFonts w:ascii="Arial" w:cs="Arial" w:eastAsia="Arial" w:hAnsi="Arial"/>
                <w:sz w:val="15"/>
                <w:szCs w:val="15"/>
                <w:color w:val="auto"/>
              </w:rPr>
              <w:t>324,000</w:t>
            </w: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KeyBanc Capital Markets Inc.</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324,000</w:t>
            </w:r>
          </w:p>
        </w:tc>
        <w:tc>
          <w:tcPr>
            <w:tcW w:w="60" w:type="dxa"/>
            <w:vAlign w:val="bottom"/>
            <w:shd w:val="clear" w:color="auto" w:fill="CCEEFF"/>
          </w:tcPr>
          <w:p>
            <w:pPr>
              <w:spacing w:after="0"/>
              <w:rPr>
                <w:sz w:val="15"/>
                <w:szCs w:val="15"/>
                <w:color w:val="auto"/>
              </w:rPr>
            </w:pPr>
          </w:p>
        </w:tc>
      </w:tr>
      <w:tr>
        <w:trPr>
          <w:trHeight w:val="183"/>
        </w:trPr>
        <w:tc>
          <w:tcPr>
            <w:tcW w:w="6080" w:type="dxa"/>
            <w:vAlign w:val="bottom"/>
            <w:gridSpan w:val="2"/>
          </w:tcPr>
          <w:p>
            <w:pPr>
              <w:spacing w:after="0"/>
              <w:rPr>
                <w:sz w:val="20"/>
                <w:szCs w:val="20"/>
                <w:color w:val="auto"/>
              </w:rPr>
            </w:pPr>
            <w:r>
              <w:rPr>
                <w:rFonts w:ascii="Arial" w:cs="Arial" w:eastAsia="Arial" w:hAnsi="Arial"/>
                <w:sz w:val="15"/>
                <w:szCs w:val="15"/>
                <w:color w:val="auto"/>
              </w:rPr>
              <w:t>Piper Jaffray &amp; Co.</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360,000</w:t>
            </w: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36,000,000</w:t>
            </w:r>
          </w:p>
        </w:tc>
        <w:tc>
          <w:tcPr>
            <w:tcW w:w="60" w:type="dxa"/>
            <w:vAlign w:val="bottom"/>
            <w:shd w:val="clear" w:color="auto" w:fill="CCEEFF"/>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The underwriters are committed to take and pay for all of the shares being offered, if any are taken, other than the shares covered by the option described below, unless and until this option is exercised.</w:t>
      </w:r>
    </w:p>
    <w:p>
      <w:pPr>
        <w:spacing w:after="0" w:line="146"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The underwriters have an option to buy up to an additional 5,400,000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8"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5,400,000 additional shares.</w:t>
      </w:r>
    </w:p>
    <w:p>
      <w:pPr>
        <w:spacing w:after="0" w:line="191" w:lineRule="exact"/>
        <w:rPr>
          <w:sz w:val="20"/>
          <w:szCs w:val="20"/>
          <w:color w:val="auto"/>
        </w:rPr>
      </w:pPr>
    </w:p>
    <w:p>
      <w:pPr>
        <w:ind w:left="5400"/>
        <w:spacing w:after="0"/>
        <w:rPr>
          <w:sz w:val="20"/>
          <w:szCs w:val="20"/>
          <w:color w:val="auto"/>
        </w:rPr>
      </w:pPr>
      <w:r>
        <w:rPr>
          <w:rFonts w:ascii="Arial" w:cs="Arial" w:eastAsia="Arial" w:hAnsi="Arial"/>
          <w:sz w:val="15"/>
          <w:szCs w:val="15"/>
          <w:u w:val="single" w:color="auto"/>
          <w:color w:val="auto"/>
        </w:rPr>
        <w:t>Paid by us</w:t>
      </w:r>
    </w:p>
    <w:p>
      <w:pPr>
        <w:spacing w:after="0" w:line="206" w:lineRule="exact"/>
        <w:rPr>
          <w:sz w:val="20"/>
          <w:szCs w:val="20"/>
          <w:color w:val="auto"/>
        </w:rPr>
      </w:pPr>
    </w:p>
    <w:tbl>
      <w:tblPr>
        <w:tblLayout w:type="fixed"/>
        <w:tblInd w:w="2220" w:type="dxa"/>
        <w:tblCellMar>
          <w:top w:w="0" w:type="dxa"/>
          <w:left w:w="0" w:type="dxa"/>
          <w:bottom w:w="0" w:type="dxa"/>
          <w:right w:w="0" w:type="dxa"/>
        </w:tblCellMar>
      </w:tblPr>
      <w:tr>
        <w:trPr>
          <w:trHeight w:val="140"/>
        </w:trPr>
        <w:tc>
          <w:tcPr>
            <w:tcW w:w="2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2"/>
                <w:szCs w:val="12"/>
                <w:color w:val="auto"/>
              </w:rPr>
              <w:t>No exercise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color w:val="auto"/>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0.9345</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0.9345</w:t>
            </w:r>
          </w:p>
        </w:tc>
        <w:tc>
          <w:tcPr>
            <w:tcW w:w="6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140" w:type="dxa"/>
            <w:vAlign w:val="bottom"/>
            <w:gridSpan w:val="5"/>
          </w:tcPr>
          <w:p>
            <w:pPr>
              <w:jc w:val="right"/>
              <w:spacing w:after="0"/>
              <w:rPr>
                <w:sz w:val="20"/>
                <w:szCs w:val="20"/>
                <w:color w:val="auto"/>
              </w:rPr>
            </w:pPr>
            <w:r>
              <w:rPr>
                <w:rFonts w:ascii="Arial" w:cs="Arial" w:eastAsia="Arial" w:hAnsi="Arial"/>
                <w:sz w:val="15"/>
                <w:szCs w:val="15"/>
                <w:color w:val="auto"/>
              </w:rPr>
              <w:t>$ 25,065,541</w:t>
            </w:r>
          </w:p>
        </w:tc>
        <w:tc>
          <w:tcPr>
            <w:tcW w:w="8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5"/>
                <w:szCs w:val="15"/>
                <w:color w:val="auto"/>
              </w:rPr>
              <w:t>$ 30,111,841</w:t>
            </w:r>
          </w:p>
        </w:tc>
        <w:tc>
          <w:tcPr>
            <w:tcW w:w="60" w:type="dxa"/>
            <w:vAlign w:val="bottom"/>
          </w:tcPr>
          <w:p>
            <w:pPr>
              <w:spacing w:after="0"/>
              <w:rPr>
                <w:sz w:val="16"/>
                <w:szCs w:val="16"/>
                <w:color w:val="auto"/>
              </w:rPr>
            </w:pPr>
          </w:p>
        </w:tc>
      </w:tr>
      <w:tr>
        <w:trPr>
          <w:trHeight w:val="408"/>
        </w:trPr>
        <w:tc>
          <w:tcPr>
            <w:tcW w:w="2540" w:type="dxa"/>
            <w:vAlign w:val="bottom"/>
          </w:tcPr>
          <w:p>
            <w:pPr>
              <w:spacing w:after="0"/>
              <w:rPr>
                <w:sz w:val="24"/>
                <w:szCs w:val="24"/>
                <w:color w:val="auto"/>
              </w:rPr>
            </w:pPr>
          </w:p>
        </w:tc>
        <w:tc>
          <w:tcPr>
            <w:tcW w:w="2560" w:type="dxa"/>
            <w:vAlign w:val="bottom"/>
            <w:gridSpan w:val="4"/>
          </w:tcPr>
          <w:p>
            <w:pPr>
              <w:jc w:val="right"/>
              <w:ind w:right="592"/>
              <w:spacing w:after="0"/>
              <w:rPr>
                <w:sz w:val="20"/>
                <w:szCs w:val="20"/>
                <w:color w:val="auto"/>
              </w:rPr>
            </w:pPr>
            <w:r>
              <w:rPr>
                <w:rFonts w:ascii="Arial" w:cs="Arial" w:eastAsia="Arial" w:hAnsi="Arial"/>
                <w:sz w:val="15"/>
                <w:szCs w:val="15"/>
                <w:color w:val="auto"/>
                <w:w w:val="90"/>
              </w:rPr>
              <w:t>Paid by the selling stockholders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1"/>
        </w:trPr>
        <w:tc>
          <w:tcPr>
            <w:tcW w:w="2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88"/>
              </w:rPr>
              <w:t>No exercise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2"/>
                <w:szCs w:val="12"/>
                <w:color w:val="auto"/>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0.9345</w:t>
            </w:r>
          </w:p>
        </w:tc>
        <w:tc>
          <w:tcPr>
            <w:tcW w:w="46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0.9345</w:t>
            </w:r>
          </w:p>
        </w:tc>
        <w:tc>
          <w:tcPr>
            <w:tcW w:w="6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220" w:type="dxa"/>
            <w:vAlign w:val="bottom"/>
            <w:gridSpan w:val="6"/>
          </w:tcPr>
          <w:p>
            <w:pPr>
              <w:jc w:val="right"/>
              <w:ind w:right="20"/>
              <w:spacing w:after="0"/>
              <w:rPr>
                <w:sz w:val="20"/>
                <w:szCs w:val="20"/>
                <w:color w:val="auto"/>
              </w:rPr>
            </w:pPr>
            <w:r>
              <w:rPr>
                <w:rFonts w:ascii="Arial" w:cs="Arial" w:eastAsia="Arial" w:hAnsi="Arial"/>
                <w:sz w:val="15"/>
                <w:szCs w:val="15"/>
                <w:color w:val="auto"/>
              </w:rPr>
              <w:t>$ 8,576,459</w:t>
            </w:r>
          </w:p>
        </w:tc>
        <w:tc>
          <w:tcPr>
            <w:tcW w:w="1180" w:type="dxa"/>
            <w:vAlign w:val="bottom"/>
            <w:gridSpan w:val="4"/>
          </w:tcPr>
          <w:p>
            <w:pPr>
              <w:jc w:val="right"/>
              <w:spacing w:after="0"/>
              <w:rPr>
                <w:sz w:val="20"/>
                <w:szCs w:val="20"/>
                <w:color w:val="auto"/>
              </w:rPr>
            </w:pPr>
            <w:r>
              <w:rPr>
                <w:rFonts w:ascii="Arial" w:cs="Arial" w:eastAsia="Arial" w:hAnsi="Arial"/>
                <w:sz w:val="15"/>
                <w:szCs w:val="15"/>
                <w:color w:val="auto"/>
              </w:rPr>
              <w:t>$ 8,576,459</w:t>
            </w:r>
          </w:p>
        </w:tc>
        <w:tc>
          <w:tcPr>
            <w:tcW w:w="60" w:type="dxa"/>
            <w:vAlign w:val="bottom"/>
          </w:tcPr>
          <w:p>
            <w:pPr>
              <w:spacing w:after="0"/>
              <w:rPr>
                <w:sz w:val="16"/>
                <w:szCs w:val="16"/>
                <w:color w:val="auto"/>
              </w:rPr>
            </w:pPr>
          </w:p>
        </w:tc>
      </w:tr>
    </w:tbl>
    <w:p>
      <w:pPr>
        <w:spacing w:after="0" w:line="160"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$0.5607 per share from the initial public offering price. After the initial offering of the shares,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80"/>
          </w:cols>
          <w:pgMar w:left="240" w:top="408" w:right="137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6" w:lineRule="exact"/>
        <w:rPr>
          <w:sz w:val="20"/>
          <w:szCs w:val="20"/>
          <w:color w:val="auto"/>
        </w:rPr>
      </w:pPr>
    </w:p>
    <w:p>
      <w:pPr>
        <w:ind w:left="1120" w:firstLine="368"/>
        <w:spacing w:after="0" w:line="293"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326"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Class A common stock on the Nasdaq Global Select Market under the symbol “DBX”.</w:t>
      </w:r>
    </w:p>
    <w:p>
      <w:pPr>
        <w:spacing w:after="0" w:line="188"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80"/>
          </w:cols>
          <w:pgMar w:left="240" w:top="407" w:right="137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40"/>
        <w:spacing w:after="0" w:line="263" w:lineRule="auto"/>
        <w:rPr>
          <w:sz w:val="20"/>
          <w:szCs w:val="20"/>
          <w:color w:val="auto"/>
        </w:rPr>
      </w:pPr>
      <w:r>
        <w:rPr>
          <w:rFonts w:ascii="Arial" w:cs="Arial" w:eastAsia="Arial" w:hAnsi="Arial"/>
          <w:sz w:val="15"/>
          <w:szCs w:val="15"/>
          <w:color w:val="auto"/>
        </w:rPr>
        <w:t>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5"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5"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7"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underwriters do not expect sales to discretionary accounts to exceed five percent of the total number of shares of Class A common stock offered.</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and the selling stockholders estimate that our share of the total expenses of the offering, excluding underwriting discounts and commissions, will be approximately $7.0 million. The underwriters have agreed to reimburse us, or will pay and not seek reimbursement from us, for certain expenses incurred by us in connection with this offering.</w:t>
      </w:r>
    </w:p>
    <w:p>
      <w:pPr>
        <w:spacing w:after="0" w:line="155"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w:t>
      </w:r>
    </w:p>
    <w:p>
      <w:pPr>
        <w:spacing w:after="0" w:line="155" w:lineRule="exact"/>
        <w:rPr>
          <w:sz w:val="20"/>
          <w:szCs w:val="20"/>
          <w:color w:val="auto"/>
        </w:rPr>
      </w:pPr>
    </w:p>
    <w:p>
      <w:pPr>
        <w:ind w:left="1120" w:right="120" w:firstLine="368"/>
        <w:spacing w:after="0" w:line="274"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J.P. Morgan Securities LLC, Deutsche Bank Securities Inc., Merrill Lynch, Pierce, Fenner &amp; Smith Incorporated, RBC Capital Markets, LLC, and Macquarie Capital (USA) Inc.,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Operations—Liquidity and Capital Resources.”</w:t>
      </w:r>
    </w:p>
    <w:p>
      <w:pPr>
        <w:spacing w:after="0" w:line="15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In September 2011, affiliates of Goldman Sachs &amp; Co. LLC, one of the underwriters, purchased an aggregate of 1,837,199 shares of our Series B Preferred Stock, all of which shares will automatically convert into an aggregate of 1,837,199 shares of Class B common stock in connection with this offering. In November 2011, Allen &amp; Company LLC, one of the underwriters, and certain of its affiliates and employees purchased an aggregate of 184,180 shares of our Series B preferred stock, which shares will automatically convert into an aggregate of 184,180 shares of Class B common stock in connection with this offering.</w:t>
      </w:r>
    </w:p>
    <w:p>
      <w:pPr>
        <w:spacing w:after="0" w:line="159" w:lineRule="exact"/>
        <w:rPr>
          <w:sz w:val="20"/>
          <w:szCs w:val="20"/>
          <w:color w:val="auto"/>
        </w:rPr>
      </w:pPr>
    </w:p>
    <w:p>
      <w:pPr>
        <w:ind w:left="1120" w:right="100" w:firstLine="368"/>
        <w:spacing w:after="0" w:line="322" w:lineRule="auto"/>
        <w:rPr>
          <w:sz w:val="20"/>
          <w:szCs w:val="20"/>
          <w:color w:val="auto"/>
        </w:rPr>
      </w:pPr>
      <w:r>
        <w:rPr>
          <w:rFonts w:ascii="Arial" w:cs="Arial" w:eastAsia="Arial" w:hAnsi="Arial"/>
          <w:sz w:val="13"/>
          <w:szCs w:val="13"/>
          <w:color w:val="auto"/>
        </w:rPr>
        <w:t>Pursuant to the concurrent private placement, Salesforce Ventures LLC will purchase from us in a private placement 4,761,905 shares of Class A common stock. Goldman Sachs &amp; Co. LLC, J.P. Morgan Securities LLC, Deutsche Bank Securities Inc., Merrill Lynch, Pierce, Fenner &amp; Smith Incorporated, Allen &amp; Company LLC, RBC Capital Markets, LLC, Jefferies LLC, and Canaccord Genuity LLC, or certain of their respective affiliates</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300"/>
          </w:cols>
          <w:pgMar w:left="240" w:top="408" w:right="135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beneficially own shares of salesforce.com, inc. As a result of this ownership, these underwriters would be deemed to beneficially own 173,810 shares of our Class A common stock. These shares of Class A common stock would be deemed underwriting compensation pursuant to FINRA Rule 5110, but meet an exception to the lock-up restriction pursuant to FINRA Rule 5110(g)(2)(A)(iii).</w:t>
      </w:r>
    </w:p>
    <w:p>
      <w:pPr>
        <w:spacing w:after="0" w:line="155" w:lineRule="exact"/>
        <w:rPr>
          <w:sz w:val="20"/>
          <w:szCs w:val="20"/>
          <w:color w:val="auto"/>
        </w:rPr>
      </w:pPr>
    </w:p>
    <w:p>
      <w:pPr>
        <w:ind w:left="1120" w:right="180" w:firstLine="368"/>
        <w:spacing w:after="0" w:line="354" w:lineRule="auto"/>
        <w:rPr>
          <w:sz w:val="20"/>
          <w:szCs w:val="20"/>
          <w:color w:val="auto"/>
        </w:rPr>
      </w:pPr>
      <w:r>
        <w:rPr>
          <w:rFonts w:ascii="Arial" w:cs="Arial" w:eastAsia="Arial" w:hAnsi="Arial"/>
          <w:sz w:val="13"/>
          <w:szCs w:val="13"/>
          <w:color w:val="auto"/>
        </w:rPr>
        <w:t>In addition, certain of our employees who are considered associated persons of some of the underwriters have been granted RSUs as part of our ordinary course employee compensation practices. These grants are deemed to be underwriting compensation pursuant to FINRA Rule 5110.</w:t>
      </w:r>
    </w:p>
    <w:p>
      <w:pPr>
        <w:spacing w:after="0" w:line="100" w:lineRule="exact"/>
        <w:rPr>
          <w:sz w:val="20"/>
          <w:szCs w:val="20"/>
          <w:color w:val="auto"/>
        </w:rPr>
      </w:pPr>
    </w:p>
    <w:p>
      <w:pPr>
        <w:ind w:left="1120" w:right="160" w:firstLine="368"/>
        <w:spacing w:after="0" w:line="300" w:lineRule="auto"/>
        <w:rPr>
          <w:sz w:val="20"/>
          <w:szCs w:val="20"/>
          <w:color w:val="auto"/>
        </w:rPr>
      </w:pPr>
      <w:r>
        <w:rPr>
          <w:rFonts w:ascii="Arial" w:cs="Arial" w:eastAsia="Arial" w:hAnsi="Arial"/>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6" w:lineRule="exact"/>
        <w:rPr>
          <w:sz w:val="20"/>
          <w:szCs w:val="20"/>
          <w:color w:val="auto"/>
        </w:rPr>
      </w:pPr>
    </w:p>
    <w:p>
      <w:pPr>
        <w:ind w:left="1120" w:right="100" w:firstLine="368"/>
        <w:spacing w:after="0" w:line="276" w:lineRule="auto"/>
        <w:rPr>
          <w:sz w:val="20"/>
          <w:szCs w:val="20"/>
          <w:color w:val="auto"/>
        </w:rPr>
      </w:pPr>
      <w:r>
        <w:rPr>
          <w:rFonts w:ascii="Arial" w:cs="Arial" w:eastAsia="Arial" w:hAnsi="Arial"/>
          <w:sz w:val="14"/>
          <w:szCs w:val="14"/>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w:t>
      </w:r>
    </w:p>
    <w:p>
      <w:pPr>
        <w:ind w:left="1120"/>
        <w:spacing w:after="0" w:line="295" w:lineRule="auto"/>
        <w:rPr>
          <w:sz w:val="20"/>
          <w:szCs w:val="20"/>
          <w:color w:val="auto"/>
        </w:rPr>
      </w:pPr>
      <w:r>
        <w:rPr>
          <w:rFonts w:ascii="Arial" w:cs="Arial" w:eastAsia="Arial" w:hAnsi="Arial"/>
          <w:sz w:val="13"/>
          <w:szCs w:val="13"/>
          <w:color w:val="auto"/>
        </w:rPr>
        <w:t>$213.4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w:t>
      </w:r>
    </w:p>
    <w:p>
      <w:pPr>
        <w:spacing w:after="0" w:line="23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79" w:lineRule="exact"/>
        <w:rPr>
          <w:sz w:val="20"/>
          <w:szCs w:val="20"/>
          <w:color w:val="auto"/>
        </w:rPr>
      </w:pPr>
    </w:p>
    <w:p>
      <w:pPr>
        <w:ind w:left="1840" w:hanging="367"/>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109" w:lineRule="exact"/>
        <w:rPr>
          <w:rFonts w:ascii="Arial" w:cs="Arial" w:eastAsia="Arial" w:hAnsi="Arial"/>
          <w:sz w:val="15"/>
          <w:szCs w:val="15"/>
          <w:color w:val="auto"/>
        </w:rPr>
      </w:pPr>
    </w:p>
    <w:p>
      <w:pPr>
        <w:ind w:left="1840" w:right="240" w:hanging="367"/>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the Prospectus Directive), per Relevant Member State, subject to obtaining the prior consent of the underwriters; or</w:t>
      </w:r>
    </w:p>
    <w:p>
      <w:pPr>
        <w:spacing w:after="0" w:line="67" w:lineRule="exact"/>
        <w:rPr>
          <w:rFonts w:ascii="Arial" w:cs="Arial" w:eastAsia="Arial" w:hAnsi="Arial"/>
          <w:sz w:val="15"/>
          <w:szCs w:val="15"/>
          <w:color w:val="auto"/>
        </w:rPr>
      </w:pPr>
    </w:p>
    <w:p>
      <w:pPr>
        <w:ind w:left="1840" w:hanging="367"/>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w:t>
      </w:r>
    </w:p>
    <w:p>
      <w:pPr>
        <w:spacing w:after="0" w:line="188" w:lineRule="exact"/>
        <w:rPr>
          <w:sz w:val="20"/>
          <w:szCs w:val="20"/>
          <w:color w:val="auto"/>
        </w:rPr>
      </w:pPr>
    </w:p>
    <w:p>
      <w:pPr>
        <w:ind w:left="1120" w:right="160"/>
        <w:spacing w:after="0" w:line="290" w:lineRule="auto"/>
        <w:rPr>
          <w:sz w:val="20"/>
          <w:szCs w:val="20"/>
          <w:color w:val="auto"/>
        </w:rPr>
      </w:pPr>
      <w:r>
        <w:rPr>
          <w:rFonts w:ascii="Arial" w:cs="Arial" w:eastAsia="Arial" w:hAnsi="Arial"/>
          <w:sz w:val="14"/>
          <w:szCs w:val="14"/>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300"/>
          </w:cols>
          <w:pgMar w:left="240" w:top="408" w:right="135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580"/>
        <w:spacing w:after="0" w:line="275" w:lineRule="auto"/>
        <w:rPr>
          <w:sz w:val="20"/>
          <w:szCs w:val="20"/>
          <w:color w:val="auto"/>
        </w:rPr>
      </w:pPr>
      <w:r>
        <w:rPr>
          <w:rFonts w:ascii="Arial" w:cs="Arial" w:eastAsia="Arial" w:hAnsi="Arial"/>
          <w:sz w:val="15"/>
          <w:szCs w:val="15"/>
          <w:color w:val="auto"/>
        </w:rPr>
        <w:t>agreed to and with each of the underwriters and us that it is a “qualified investor” within the meaning of the law in that Relevant Member State implementing Article 2(1)(e) of the Prospectus Directive.</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98" w:lineRule="exact"/>
        <w:rPr>
          <w:sz w:val="20"/>
          <w:szCs w:val="20"/>
          <w:color w:val="auto"/>
        </w:rPr>
      </w:pPr>
    </w:p>
    <w:p>
      <w:pPr>
        <w:jc w:val="both"/>
        <w:ind w:left="1120" w:right="120" w:firstLine="368"/>
        <w:spacing w:after="0" w:line="294" w:lineRule="auto"/>
        <w:rPr>
          <w:sz w:val="20"/>
          <w:szCs w:val="20"/>
          <w:color w:val="auto"/>
        </w:rPr>
      </w:pPr>
      <w:r>
        <w:rPr>
          <w:rFonts w:ascii="Arial" w:cs="Arial" w:eastAsia="Arial" w:hAnsi="Arial"/>
          <w:sz w:val="13"/>
          <w:szCs w:val="13"/>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w:t>
      </w:r>
    </w:p>
    <w:p>
      <w:pPr>
        <w:spacing w:after="0" w:line="1" w:lineRule="exact"/>
        <w:rPr>
          <w:sz w:val="20"/>
          <w:szCs w:val="20"/>
          <w:color w:val="auto"/>
        </w:rPr>
      </w:pPr>
    </w:p>
    <w:p>
      <w:pPr>
        <w:ind w:left="1120" w:right="60" w:hanging="8"/>
        <w:spacing w:after="0" w:line="302" w:lineRule="auto"/>
        <w:tabs>
          <w:tab w:leader="none" w:pos="1333" w:val="left"/>
        </w:tabs>
        <w:numPr>
          <w:ilvl w:val="0"/>
          <w:numId w:val="95"/>
        </w:numPr>
        <w:rPr>
          <w:rFonts w:ascii="Arial" w:cs="Arial" w:eastAsia="Arial" w:hAnsi="Arial"/>
          <w:sz w:val="13"/>
          <w:szCs w:val="13"/>
          <w:color w:val="auto"/>
        </w:rPr>
      </w:pPr>
      <w:r>
        <w:rPr>
          <w:rFonts w:ascii="Arial" w:cs="Arial" w:eastAsia="Arial" w:hAnsi="Arial"/>
          <w:sz w:val="13"/>
          <w:szCs w:val="13"/>
          <w:color w:val="auto"/>
        </w:rPr>
        <w:t>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59"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3"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98"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300"/>
          </w:cols>
          <w:pgMar w:left="24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Securities and Futures Ordinance, or (ii) to “professional investors” as defined in the Securities and Futures Ordinance and any rules made thereunder, or</w:t>
      </w:r>
    </w:p>
    <w:p>
      <w:pPr>
        <w:spacing w:after="0" w:line="17" w:lineRule="exact"/>
        <w:rPr>
          <w:sz w:val="20"/>
          <w:szCs w:val="20"/>
          <w:color w:val="auto"/>
        </w:rPr>
      </w:pPr>
    </w:p>
    <w:p>
      <w:pPr>
        <w:ind w:left="1120" w:right="20" w:hanging="8"/>
        <w:spacing w:after="0" w:line="274" w:lineRule="auto"/>
        <w:tabs>
          <w:tab w:leader="none" w:pos="1383"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9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4"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of Class A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9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320"/>
          </w:cols>
          <w:pgMar w:left="240" w:top="408" w:right="133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offering or marketing material relating to the shares of Class A common stock or the offering may be publicly distributed or otherwise made publicly available in Switzerland.</w:t>
      </w:r>
    </w:p>
    <w:p>
      <w:pPr>
        <w:spacing w:after="0" w:line="146"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1"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Arab Emirates</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Australia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prospectus:</w:t>
      </w:r>
    </w:p>
    <w:p>
      <w:pPr>
        <w:spacing w:after="0" w:line="109" w:lineRule="exact"/>
        <w:rPr>
          <w:sz w:val="20"/>
          <w:szCs w:val="20"/>
          <w:color w:val="auto"/>
        </w:rPr>
      </w:pPr>
    </w:p>
    <w:p>
      <w:pPr>
        <w:ind w:left="1840" w:right="700" w:hanging="276"/>
        <w:spacing w:after="0" w:line="275"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does not constitute a product disclosure document or a prospectus under Chapter 6D.2 of the Corporations Act 2001 (Cth), or the Corporations Act;</w:t>
      </w:r>
    </w:p>
    <w:p>
      <w:pPr>
        <w:spacing w:after="0" w:line="67" w:lineRule="exact"/>
        <w:rPr>
          <w:rFonts w:ascii="Arial" w:cs="Arial" w:eastAsia="Arial" w:hAnsi="Arial"/>
          <w:sz w:val="15"/>
          <w:szCs w:val="15"/>
          <w:color w:val="auto"/>
        </w:rPr>
      </w:pPr>
    </w:p>
    <w:p>
      <w:pPr>
        <w:ind w:left="1840" w:right="20" w:hanging="276"/>
        <w:spacing w:after="0" w:line="263"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75" w:lineRule="exact"/>
        <w:rPr>
          <w:rFonts w:ascii="Arial" w:cs="Arial" w:eastAsia="Arial" w:hAnsi="Arial"/>
          <w:sz w:val="15"/>
          <w:szCs w:val="15"/>
          <w:color w:val="auto"/>
        </w:rPr>
      </w:pPr>
    </w:p>
    <w:p>
      <w:pPr>
        <w:jc w:val="both"/>
        <w:ind w:left="1840" w:right="80" w:hanging="276"/>
        <w:spacing w:after="0" w:line="263"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5"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300"/>
          </w:cols>
          <w:pgMar w:left="240" w:top="408" w:right="135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47"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Bermuda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shares of Class A common stock may be offered or sold in Bermuda only in compliance with the provisions of the Investment Business Act of</w:t>
      </w:r>
    </w:p>
    <w:p>
      <w:pPr>
        <w:spacing w:after="0" w:line="40" w:lineRule="exact"/>
        <w:rPr>
          <w:sz w:val="20"/>
          <w:szCs w:val="20"/>
          <w:color w:val="auto"/>
        </w:rPr>
      </w:pPr>
    </w:p>
    <w:p>
      <w:pPr>
        <w:ind w:left="1120" w:right="220"/>
        <w:spacing w:after="0" w:line="298" w:lineRule="auto"/>
        <w:rPr>
          <w:sz w:val="20"/>
          <w:szCs w:val="20"/>
          <w:color w:val="auto"/>
        </w:rPr>
      </w:pPr>
      <w:r>
        <w:rPr>
          <w:rFonts w:ascii="Arial" w:cs="Arial" w:eastAsia="Arial" w:hAnsi="Arial"/>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Saudi Arabia</w:t>
      </w:r>
    </w:p>
    <w:p>
      <w:pPr>
        <w:spacing w:after="0" w:line="98"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British Virgin Islands</w:t>
      </w:r>
    </w:p>
    <w:p>
      <w:pPr>
        <w:spacing w:after="0" w:line="9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5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320"/>
          </w:cols>
          <w:pgMar w:left="240" w:top="408" w:right="133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China</w:t>
      </w:r>
    </w:p>
    <w:p>
      <w:pPr>
        <w:spacing w:after="0" w:line="98" w:lineRule="exact"/>
        <w:rPr>
          <w:sz w:val="20"/>
          <w:szCs w:val="20"/>
          <w:color w:val="auto"/>
        </w:rPr>
      </w:pPr>
    </w:p>
    <w:p>
      <w:pPr>
        <w:jc w:val="both"/>
        <w:ind w:left="1120" w:right="60" w:firstLine="368"/>
        <w:spacing w:after="0" w:line="263" w:lineRule="auto"/>
        <w:rPr>
          <w:sz w:val="20"/>
          <w:szCs w:val="20"/>
          <w:color w:val="auto"/>
        </w:rPr>
      </w:pPr>
      <w:r>
        <w:rPr>
          <w:rFonts w:ascii="Arial" w:cs="Arial" w:eastAsia="Arial" w:hAnsi="Arial"/>
          <w:sz w:val="15"/>
          <w:szCs w:val="15"/>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55" w:lineRule="exact"/>
        <w:rPr>
          <w:sz w:val="20"/>
          <w:szCs w:val="20"/>
          <w:color w:val="auto"/>
        </w:rPr>
      </w:pPr>
    </w:p>
    <w:p>
      <w:pPr>
        <w:ind w:left="1120" w:right="200" w:firstLine="368"/>
        <w:spacing w:after="0" w:line="290" w:lineRule="auto"/>
        <w:rPr>
          <w:sz w:val="20"/>
          <w:szCs w:val="20"/>
          <w:color w:val="auto"/>
        </w:rPr>
      </w:pPr>
      <w:r>
        <w:rPr>
          <w:rFonts w:ascii="Arial" w:cs="Arial" w:eastAsia="Arial" w:hAnsi="Arial"/>
          <w:sz w:val="14"/>
          <w:szCs w:val="14"/>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Korea</w:t>
      </w:r>
    </w:p>
    <w:p>
      <w:pPr>
        <w:spacing w:after="0" w:line="98" w:lineRule="exact"/>
        <w:rPr>
          <w:sz w:val="20"/>
          <w:szCs w:val="20"/>
          <w:color w:val="auto"/>
        </w:rPr>
      </w:pPr>
    </w:p>
    <w:p>
      <w:pPr>
        <w:ind w:left="1120" w:right="60" w:firstLine="368"/>
        <w:spacing w:after="0" w:line="274" w:lineRule="auto"/>
        <w:rPr>
          <w:sz w:val="20"/>
          <w:szCs w:val="20"/>
          <w:color w:val="auto"/>
        </w:rPr>
      </w:pPr>
      <w:r>
        <w:rPr>
          <w:rFonts w:ascii="Arial" w:cs="Arial" w:eastAsia="Arial" w:hAnsi="Arial"/>
          <w:sz w:val="14"/>
          <w:szCs w:val="14"/>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Malaysia</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3"/>
          <w:szCs w:val="13"/>
          <w:color w:val="auto"/>
        </w:rPr>
        <w:t>No prospectus or other offering material or document in connection with the offer and sale of the shares of Class A common stock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7" w:lineRule="exact"/>
        <w:rPr>
          <w:sz w:val="20"/>
          <w:szCs w:val="20"/>
          <w:color w:val="auto"/>
        </w:rPr>
      </w:pPr>
    </w:p>
    <w:p>
      <w:pPr>
        <w:ind w:left="1120" w:right="20" w:hanging="8"/>
        <w:spacing w:after="0" w:line="253" w:lineRule="auto"/>
        <w:tabs>
          <w:tab w:leader="none" w:pos="1458"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320"/>
          </w:cols>
          <w:pgMar w:left="240" w:top="407" w:right="133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color w:val="auto"/>
        </w:rPr>
        <w:t>subscription or purchase, or invitation to subscribe for or purchase any securities requiring the registration of a prospectus with the Commission under the Capital Markets and Services Act 2007.</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Taiwan</w:t>
      </w:r>
    </w:p>
    <w:p>
      <w:pPr>
        <w:spacing w:after="0" w:line="98"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South Africa</w:t>
      </w:r>
    </w:p>
    <w:p>
      <w:pPr>
        <w:spacing w:after="0" w:line="98" w:lineRule="exact"/>
        <w:rPr>
          <w:sz w:val="20"/>
          <w:szCs w:val="20"/>
          <w:color w:val="auto"/>
        </w:rPr>
      </w:pPr>
    </w:p>
    <w:p>
      <w:pPr>
        <w:ind w:left="1120" w:right="460" w:firstLine="368"/>
        <w:spacing w:after="0" w:line="263" w:lineRule="auto"/>
        <w:rPr>
          <w:sz w:val="20"/>
          <w:szCs w:val="20"/>
          <w:color w:val="auto"/>
        </w:rPr>
      </w:pPr>
      <w:r>
        <w:rPr>
          <w:rFonts w:ascii="Arial" w:cs="Arial" w:eastAsia="Arial" w:hAnsi="Arial"/>
          <w:sz w:val="15"/>
          <w:szCs w:val="15"/>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177" w:lineRule="exact"/>
        <w:rPr>
          <w:sz w:val="20"/>
          <w:szCs w:val="20"/>
          <w:color w:val="auto"/>
        </w:rPr>
      </w:pPr>
    </w:p>
    <w:p>
      <w:pPr>
        <w:ind w:left="1480" w:hanging="368"/>
        <w:spacing w:after="0"/>
        <w:tabs>
          <w:tab w:leader="none" w:pos="14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offer, transfer, sale, renunciation, or delivery is to:</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99"/>
        </w:numPr>
        <w:rPr>
          <w:rFonts w:ascii="Arial" w:cs="Arial" w:eastAsia="Arial" w:hAnsi="Arial"/>
          <w:sz w:val="15"/>
          <w:szCs w:val="15"/>
          <w:color w:val="auto"/>
        </w:rPr>
      </w:pPr>
      <w:r>
        <w:rPr>
          <w:rFonts w:ascii="Arial" w:cs="Arial" w:eastAsia="Arial" w:hAnsi="Arial"/>
          <w:sz w:val="15"/>
          <w:szCs w:val="15"/>
          <w:color w:val="auto"/>
        </w:rPr>
        <w:t>persons whose ordinary business is to deal in securities, as principal or agent;</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South African Public Investment Corporation;</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99"/>
        </w:numPr>
        <w:rPr>
          <w:rFonts w:ascii="Arial" w:cs="Arial" w:eastAsia="Arial" w:hAnsi="Arial"/>
          <w:sz w:val="15"/>
          <w:szCs w:val="15"/>
          <w:color w:val="auto"/>
        </w:rPr>
      </w:pPr>
      <w:r>
        <w:rPr>
          <w:rFonts w:ascii="Arial" w:cs="Arial" w:eastAsia="Arial" w:hAnsi="Arial"/>
          <w:sz w:val="15"/>
          <w:szCs w:val="15"/>
          <w:color w:val="auto"/>
        </w:rPr>
        <w:t>persons or entities regulated by the Reserve Bank of South Africa;</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authorised financial service providers under South African law;</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99"/>
        </w:numPr>
        <w:rPr>
          <w:rFonts w:ascii="Arial" w:cs="Arial" w:eastAsia="Arial" w:hAnsi="Arial"/>
          <w:sz w:val="15"/>
          <w:szCs w:val="15"/>
          <w:color w:val="auto"/>
        </w:rPr>
      </w:pPr>
      <w:r>
        <w:rPr>
          <w:rFonts w:ascii="Arial" w:cs="Arial" w:eastAsia="Arial" w:hAnsi="Arial"/>
          <w:sz w:val="15"/>
          <w:szCs w:val="15"/>
          <w:color w:val="auto"/>
        </w:rPr>
        <w:t>financial institutions recognised as such under South African law;</w:t>
      </w:r>
    </w:p>
    <w:p>
      <w:pPr>
        <w:spacing w:after="0" w:line="98" w:lineRule="exact"/>
        <w:rPr>
          <w:rFonts w:ascii="Arial" w:cs="Arial" w:eastAsia="Arial" w:hAnsi="Arial"/>
          <w:sz w:val="15"/>
          <w:szCs w:val="15"/>
          <w:color w:val="auto"/>
        </w:rPr>
      </w:pPr>
    </w:p>
    <w:p>
      <w:pPr>
        <w:ind w:left="1480" w:right="280"/>
        <w:spacing w:after="0" w:line="312" w:lineRule="auto"/>
        <w:tabs>
          <w:tab w:leader="none" w:pos="1668" w:val="left"/>
        </w:tabs>
        <w:numPr>
          <w:ilvl w:val="1"/>
          <w:numId w:val="99"/>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32" w:lineRule="exact"/>
        <w:rPr>
          <w:rFonts w:ascii="Arial" w:cs="Arial" w:eastAsia="Arial" w:hAnsi="Arial"/>
          <w:sz w:val="14"/>
          <w:szCs w:val="14"/>
          <w:color w:val="auto"/>
        </w:rPr>
      </w:pPr>
    </w:p>
    <w:p>
      <w:pPr>
        <w:ind w:left="1700" w:hanging="220"/>
        <w:spacing w:after="0"/>
        <w:tabs>
          <w:tab w:leader="none" w:pos="17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any combination of the person in (a) to (f); or</w:t>
      </w:r>
    </w:p>
    <w:p>
      <w:pPr>
        <w:spacing w:after="0" w:line="109" w:lineRule="exact"/>
        <w:rPr>
          <w:sz w:val="20"/>
          <w:szCs w:val="20"/>
          <w:color w:val="auto"/>
        </w:rPr>
      </w:pPr>
    </w:p>
    <w:p>
      <w:pPr>
        <w:ind w:left="1480" w:hanging="368"/>
        <w:spacing w:after="0"/>
        <w:tabs>
          <w:tab w:leader="none" w:pos="1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total contemplated acquisition cost of the securities, for any single addressee acting as principal is equal to or greater than ZAR1,000,000.</w:t>
      </w:r>
    </w:p>
    <w:p>
      <w:pPr>
        <w:spacing w:after="0" w:line="20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No “offer to the public” (as such term is defined in the South African Companies Act, No. 71 of 2008 (as amended or re-enacted), or the South African 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80"/>
          </w:cols>
          <w:pgMar w:left="240" w:top="407" w:right="137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CONCURRENT PRIVATE PLACEMENT</w:t>
      </w:r>
    </w:p>
    <w:p>
      <w:pPr>
        <w:spacing w:after="0" w:line="192"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Immediately subsequent to the closing of this offering, Salesforce Ventures LLC will purchase from us in a private placement 4,761,905 shares of Class A common stock.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and a lock-up agreement with the underwriters for a period of up to 180 days after the date of this prospectus.</w:t>
      </w:r>
    </w:p>
    <w:p>
      <w:pPr>
        <w:spacing w:after="0" w:line="233"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LEGAL MATTERS</w:t>
      </w:r>
    </w:p>
    <w:p>
      <w:pPr>
        <w:spacing w:after="0" w:line="19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31"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EXPERTS</w:t>
      </w:r>
    </w:p>
    <w:p>
      <w:pPr>
        <w:spacing w:after="0" w:line="19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The consolidated financial statements of Dropbox, Inc. at December 31, 2016 and 2017, and for each of the three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34"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51" w:lineRule="exact"/>
        <w:rPr>
          <w:sz w:val="20"/>
          <w:szCs w:val="20"/>
          <w:color w:val="auto"/>
        </w:rPr>
      </w:pPr>
    </w:p>
    <w:p>
      <w:pPr>
        <w:ind w:left="1120" w:right="140" w:firstLine="368"/>
        <w:spacing w:after="0" w:line="322" w:lineRule="auto"/>
        <w:rPr>
          <w:sz w:val="20"/>
          <w:szCs w:val="20"/>
          <w:color w:val="auto"/>
        </w:rPr>
      </w:pPr>
      <w:r>
        <w:rPr>
          <w:rFonts w:ascii="Arial" w:cs="Arial" w:eastAsia="Arial" w:hAnsi="Arial"/>
          <w:sz w:val="13"/>
          <w:szCs w:val="13"/>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60"/>
          </w:cols>
          <w:pgMar w:left="240" w:top="408" w:right="139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60"/>
          </w:cols>
          <w:pgMar w:left="240" w:top="408"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8920" w:type="dxa"/>
            <w:vAlign w:val="bottom"/>
            <w:gridSpan w:val="8"/>
            <w:vMerge w:val="restart"/>
          </w:tcPr>
          <w:p>
            <w:pPr>
              <w:spacing w:after="0"/>
              <w:rPr>
                <w:rFonts w:ascii="Arial" w:cs="Arial" w:eastAsia="Arial" w:hAnsi="Arial"/>
                <w:sz w:val="15"/>
                <w:szCs w:val="15"/>
                <w:color w:val="0000EE"/>
              </w:rPr>
            </w:pPr>
            <w:hyperlink w:anchor="page204">
              <w:r>
                <w:rPr>
                  <w:rFonts w:ascii="Arial" w:cs="Arial" w:eastAsia="Arial" w:hAnsi="Arial"/>
                  <w:sz w:val="15"/>
                  <w:szCs w:val="15"/>
                  <w:color w:val="0000EE"/>
                </w:rPr>
                <w:t>Report of Ernst &amp; Young LLP, Independent Registered Public Accounting Firm</w:t>
              </w:r>
            </w:hyperlink>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38"/>
        </w:trPr>
        <w:tc>
          <w:tcPr>
            <w:tcW w:w="8920" w:type="dxa"/>
            <w:vAlign w:val="bottom"/>
            <w:gridSpan w:val="8"/>
            <w:vMerge w:val="continue"/>
          </w:tcPr>
          <w:p>
            <w:pPr>
              <w:spacing w:after="0"/>
              <w:rPr>
                <w:sz w:val="11"/>
                <w:szCs w:val="11"/>
                <w:color w:val="auto"/>
              </w:rPr>
            </w:pPr>
          </w:p>
        </w:tc>
        <w:tc>
          <w:tcPr>
            <w:tcW w:w="280" w:type="dxa"/>
            <w:vAlign w:val="bottom"/>
          </w:tcPr>
          <w:p>
            <w:pPr>
              <w:jc w:val="center"/>
              <w:spacing w:after="0" w:line="138" w:lineRule="exact"/>
              <w:rPr>
                <w:sz w:val="20"/>
                <w:szCs w:val="20"/>
                <w:color w:val="auto"/>
              </w:rPr>
            </w:pPr>
            <w:r>
              <w:rPr>
                <w:rFonts w:ascii="Arial" w:cs="Arial" w:eastAsia="Arial" w:hAnsi="Arial"/>
                <w:sz w:val="15"/>
                <w:szCs w:val="15"/>
                <w:color w:val="auto"/>
                <w:w w:val="88"/>
              </w:rPr>
              <w:t>F-2</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bottom w:val="single" w:sz="8" w:color="0000EE"/>
            </w:tcBorders>
          </w:tcPr>
          <w:p>
            <w:pPr>
              <w:spacing w:after="0" w:line="161" w:lineRule="exact"/>
              <w:rPr>
                <w:rFonts w:ascii="Arial" w:cs="Arial" w:eastAsia="Arial" w:hAnsi="Arial"/>
                <w:sz w:val="15"/>
                <w:szCs w:val="15"/>
                <w:color w:val="0000EE"/>
                <w:w w:val="87"/>
              </w:rPr>
            </w:pPr>
            <w:hyperlink w:anchor="page205">
              <w:r>
                <w:rPr>
                  <w:rFonts w:ascii="Arial" w:cs="Arial" w:eastAsia="Arial" w:hAnsi="Arial"/>
                  <w:sz w:val="15"/>
                  <w:szCs w:val="15"/>
                  <w:color w:val="0000EE"/>
                  <w:w w:val="87"/>
                </w:rPr>
                <w:t>Consolidated Balance Sheets</w:t>
              </w:r>
            </w:hyperlink>
          </w:p>
        </w:tc>
        <w:tc>
          <w:tcPr>
            <w:tcW w:w="3040" w:type="dxa"/>
            <w:vAlign w:val="bottom"/>
            <w:tcBorders>
              <w:top w:val="single" w:sz="8" w:color="0000EE"/>
            </w:tcBorders>
            <w:gridSpan w:val="6"/>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6">
              <w:r>
                <w:rPr>
                  <w:rFonts w:ascii="Arial" w:cs="Arial" w:eastAsia="Arial" w:hAnsi="Arial"/>
                  <w:sz w:val="15"/>
                  <w:szCs w:val="15"/>
                  <w:color w:val="0000EE"/>
                </w:rPr>
                <w:t>Consolidated Statements of Operations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F-4</w:t>
            </w:r>
          </w:p>
        </w:tc>
        <w:tc>
          <w:tcPr>
            <w:tcW w:w="0" w:type="dxa"/>
            <w:vAlign w:val="bottom"/>
          </w:tcPr>
          <w:p>
            <w:pPr>
              <w:spacing w:after="0"/>
              <w:rPr>
                <w:sz w:val="1"/>
                <w:szCs w:val="1"/>
                <w:color w:val="auto"/>
              </w:rPr>
            </w:pPr>
          </w:p>
        </w:tc>
      </w:tr>
      <w:tr>
        <w:trPr>
          <w:trHeight w:val="20"/>
        </w:trPr>
        <w:tc>
          <w:tcPr>
            <w:tcW w:w="2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7">
              <w:r>
                <w:rPr>
                  <w:rFonts w:ascii="Arial" w:cs="Arial" w:eastAsia="Arial" w:hAnsi="Arial"/>
                  <w:sz w:val="15"/>
                  <w:szCs w:val="15"/>
                  <w:color w:val="0000EE"/>
                </w:rPr>
                <w:t>Consolidated Statements of Comprehensive Loss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6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8">
              <w:r>
                <w:rPr>
                  <w:rFonts w:ascii="Arial" w:cs="Arial" w:eastAsia="Arial" w:hAnsi="Arial"/>
                  <w:sz w:val="15"/>
                  <w:szCs w:val="15"/>
                  <w:color w:val="0000EE"/>
                  <w:w w:val="90"/>
                </w:rPr>
                <w:t>Consolidated Statements of Stockholders’ Equity</w:t>
              </w:r>
            </w:hyperlink>
          </w:p>
        </w:tc>
        <w:tc>
          <w:tcPr>
            <w:tcW w:w="5960" w:type="dxa"/>
            <w:vAlign w:val="bottom"/>
            <w:gridSpan w:val="2"/>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F-6</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9">
              <w:r>
                <w:rPr>
                  <w:rFonts w:ascii="Arial" w:cs="Arial" w:eastAsia="Arial" w:hAnsi="Arial"/>
                  <w:sz w:val="15"/>
                  <w:szCs w:val="15"/>
                  <w:color w:val="0000EE"/>
                </w:rPr>
                <w:t>Consolidated Statements of Cash Flows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10">
              <w:r>
                <w:rPr>
                  <w:rFonts w:ascii="Arial" w:cs="Arial" w:eastAsia="Arial" w:hAnsi="Arial"/>
                  <w:sz w:val="15"/>
                  <w:szCs w:val="15"/>
                  <w:color w:val="0000EE"/>
                </w:rPr>
                <w:t>Notes to Consolidated Financial Statements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F-8</w:t>
            </w:r>
          </w:p>
        </w:tc>
        <w:tc>
          <w:tcPr>
            <w:tcW w:w="0" w:type="dxa"/>
            <w:vAlign w:val="bottom"/>
          </w:tcPr>
          <w:p>
            <w:pPr>
              <w:spacing w:after="0"/>
              <w:rPr>
                <w:sz w:val="1"/>
                <w:szCs w:val="1"/>
                <w:color w:val="auto"/>
              </w:rPr>
            </w:pPr>
          </w:p>
        </w:tc>
      </w:tr>
      <w:tr>
        <w:trPr>
          <w:trHeight w:val="317"/>
        </w:trPr>
        <w:tc>
          <w:tcPr>
            <w:tcW w:w="1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Arial" w:cs="Arial" w:eastAsia="Arial" w:hAnsi="Arial"/>
                <w:sz w:val="15"/>
                <w:szCs w:val="15"/>
                <w:color w:val="auto"/>
              </w:rPr>
              <w:t>F-1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REPORT OF ERNST &amp; YOUNG LLP, INDEPENDENT REGISTERED PUBLIC ACCOUNTING FIRM</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To the Stockholders and the Board of Directors of Dropbox, Inc.</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audited the accompanying consolidated balance sheets of Dropbox, Inc. (the Company) as of December 31, 2016 and 2017, the related consolidated statements of operations, comprehensive loss, stockholders’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2016 and 2017, and the consolidated results of its operations and its cash flows for each of the three years in the period ended December 31, 2017, in conformity with U.S. generally accepted accounting principles.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Basis for Opinion</w:t>
      </w:r>
    </w:p>
    <w:p>
      <w:pPr>
        <w:spacing w:after="0" w:line="102"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1120" w:right="120" w:firstLine="368"/>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/s/ Ernst &amp; Young LLP</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We have served as the Company’s auditor since 2013.</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San Francisco, California</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February 23, 2018, (except as to the eleventh paragraph of Note 1, as to which the date is March 7, 2018)</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300"/>
          </w:cols>
          <w:pgMar w:left="240" w:top="407" w:right="135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BALANCE SHEETS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for par value)</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Pro forma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80"/>
              <w:spacing w:after="0" w:line="124" w:lineRule="exact"/>
              <w:rPr>
                <w:sz w:val="20"/>
                <w:szCs w:val="20"/>
                <w:color w:val="auto"/>
              </w:rPr>
            </w:pPr>
            <w:r>
              <w:rPr>
                <w:rFonts w:ascii="Arial" w:cs="Arial" w:eastAsia="Arial" w:hAnsi="Arial"/>
                <w:sz w:val="12"/>
                <w:szCs w:val="12"/>
                <w:b w:val="1"/>
                <w:bCs w:val="1"/>
                <w:color w:val="auto"/>
                <w:w w:val="87"/>
              </w:rPr>
              <w:t>stockholders’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4"/>
          </w:tcPr>
          <w:p>
            <w:pPr>
              <w:jc w:val="center"/>
              <w:ind w:left="56"/>
              <w:spacing w:after="0" w:line="124" w:lineRule="exact"/>
              <w:rPr>
                <w:sz w:val="20"/>
                <w:szCs w:val="20"/>
                <w:color w:val="auto"/>
              </w:rPr>
            </w:pPr>
            <w:r>
              <w:rPr>
                <w:rFonts w:ascii="Arial" w:cs="Arial" w:eastAsia="Arial" w:hAnsi="Arial"/>
                <w:sz w:val="12"/>
                <w:szCs w:val="12"/>
                <w:b w:val="1"/>
                <w:bCs w:val="1"/>
                <w:color w:val="auto"/>
                <w:w w:val="92"/>
              </w:rPr>
              <w:t>equity (deficit)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440"/>
              <w:spacing w:after="0"/>
              <w:rPr>
                <w:sz w:val="20"/>
                <w:szCs w:val="20"/>
                <w:color w:val="auto"/>
              </w:rPr>
            </w:pPr>
            <w:r>
              <w:rPr>
                <w:rFonts w:ascii="Arial" w:cs="Arial" w:eastAsia="Arial" w:hAnsi="Arial"/>
                <w:sz w:val="12"/>
                <w:szCs w:val="12"/>
                <w:b w:val="1"/>
                <w:bCs w:val="1"/>
                <w:color w:val="auto"/>
              </w:rPr>
              <w:t>As of 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2"/>
                <w:szCs w:val="12"/>
                <w:b w:val="1"/>
                <w:bCs w:val="1"/>
                <w:color w:val="auto"/>
                <w:w w:val="97"/>
              </w:rPr>
              <w:t>2016</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ind w:right="15"/>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5"/>
              <w:spacing w:after="0" w:line="115" w:lineRule="exact"/>
              <w:rPr>
                <w:sz w:val="20"/>
                <w:szCs w:val="20"/>
                <w:color w:val="auto"/>
              </w:rPr>
            </w:pPr>
            <w:r>
              <w:rPr>
                <w:rFonts w:ascii="Arial" w:cs="Arial" w:eastAsia="Arial" w:hAnsi="Arial"/>
                <w:sz w:val="12"/>
                <w:szCs w:val="12"/>
                <w:i w:val="1"/>
                <w:iCs w:val="1"/>
                <w:color w:val="auto"/>
                <w:w w:val="92"/>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Trade and other receivables, net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518.1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1,004.2</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and other current liabilities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Capital lease obligation</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635.3</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line="169" w:lineRule="exact"/>
              <w:rPr>
                <w:sz w:val="20"/>
                <w:szCs w:val="20"/>
                <w:color w:val="auto"/>
              </w:rPr>
            </w:pPr>
            <w:r>
              <w:rPr>
                <w:rFonts w:ascii="Arial" w:cs="Arial" w:eastAsia="Arial" w:hAnsi="Arial"/>
                <w:sz w:val="12"/>
                <w:szCs w:val="12"/>
                <w:color w:val="auto"/>
              </w:rPr>
              <w:t>Capital lease obligation, non-current</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129.6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Deferred rent, non-current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00" w:type="dxa"/>
            <w:vAlign w:val="bottom"/>
            <w:gridSpan w:val="2"/>
          </w:tcPr>
          <w:p>
            <w:pPr>
              <w:spacing w:after="0"/>
              <w:rPr>
                <w:sz w:val="20"/>
                <w:szCs w:val="20"/>
                <w:color w:val="auto"/>
              </w:rPr>
            </w:pPr>
            <w:r>
              <w:rPr>
                <w:rFonts w:ascii="Arial" w:cs="Arial" w:eastAsia="Arial" w:hAnsi="Arial"/>
                <w:sz w:val="14"/>
                <w:szCs w:val="14"/>
                <w:color w:val="auto"/>
              </w:rPr>
              <w:t>Commitments and contingencies (Note 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w w:val="96"/>
              </w:rPr>
              <w:t>Convertible preferred stock, $0.00001 par value; 151.2 shares authorized as of December 31, 2016 and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380"/>
              <w:spacing w:after="0"/>
              <w:rPr>
                <w:sz w:val="20"/>
                <w:szCs w:val="20"/>
                <w:color w:val="auto"/>
              </w:rPr>
            </w:pPr>
            <w:r>
              <w:rPr>
                <w:rFonts w:ascii="Arial" w:cs="Arial" w:eastAsia="Arial" w:hAnsi="Arial"/>
                <w:sz w:val="14"/>
                <w:szCs w:val="14"/>
                <w:color w:val="auto"/>
                <w:w w:val="95"/>
              </w:rPr>
              <w:t>2017; 147.6 shares issued and outstanding as of December 31, 2016 and 2017; no shares authorized,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380"/>
              <w:spacing w:after="0"/>
              <w:rPr>
                <w:sz w:val="20"/>
                <w:szCs w:val="20"/>
                <w:color w:val="auto"/>
              </w:rPr>
            </w:pPr>
            <w:r>
              <w:rPr>
                <w:rFonts w:ascii="Arial" w:cs="Arial" w:eastAsia="Arial" w:hAnsi="Arial"/>
                <w:sz w:val="14"/>
                <w:szCs w:val="14"/>
                <w:color w:val="auto"/>
                <w:w w:val="93"/>
              </w:rPr>
              <w:t>issued and outstanding pro forma (unaudited); liquidation preference of $624.7 as of December 31, 2016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tcPr>
          <w:p>
            <w:pPr>
              <w:ind w:left="380"/>
              <w:spacing w:after="0"/>
              <w:rPr>
                <w:sz w:val="20"/>
                <w:szCs w:val="20"/>
                <w:color w:val="auto"/>
              </w:rPr>
            </w:pPr>
            <w:r>
              <w:rPr>
                <w:rFonts w:ascii="Arial" w:cs="Arial" w:eastAsia="Arial" w:hAnsi="Arial"/>
                <w:sz w:val="14"/>
                <w:szCs w:val="14"/>
                <w:color w:val="auto"/>
              </w:rPr>
              <w:t>and 2017</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615.3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615.3</w:t>
            </w:r>
          </w:p>
        </w:tc>
        <w:tc>
          <w:tcPr>
            <w:tcW w:w="22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Common stock $0.00001 par value; 1,000.0 shares authorized; Class A common stock - 533.3 shares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shd w:val="clear" w:color="auto" w:fill="CCEEFF"/>
          </w:tcPr>
          <w:p>
            <w:pPr>
              <w:ind w:left="380"/>
              <w:spacing w:after="0" w:line="172" w:lineRule="exact"/>
              <w:rPr>
                <w:sz w:val="20"/>
                <w:szCs w:val="20"/>
                <w:color w:val="auto"/>
              </w:rPr>
            </w:pPr>
            <w:r>
              <w:rPr>
                <w:rFonts w:ascii="Arial" w:cs="Arial" w:eastAsia="Arial" w:hAnsi="Arial"/>
                <w:sz w:val="12"/>
                <w:szCs w:val="12"/>
                <w:color w:val="auto"/>
              </w:rPr>
              <w:t>authorized; 5.5 and 8.9 shares</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issued and outstanding as of December 31, 2016 and 2017, respectively;</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11.8 shares issued and outstanding pro forma (unaudited); Class B common stock - 466.7 shares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authorized, 181.6 and 187.9 shares issued and outstanding as of December 31, 2016 and 2017,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respectively; 348.5 shares issued and outstanding pro forma (unaudited)</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446.0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(937.5)</w:t>
            </w:r>
          </w:p>
        </w:tc>
        <w:tc>
          <w:tcPr>
            <w:tcW w:w="2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(1,049.7)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Pr>
          <w:p>
            <w:pPr>
              <w:jc w:val="right"/>
              <w:spacing w:after="0" w:line="152" w:lineRule="exact"/>
              <w:rPr>
                <w:sz w:val="20"/>
                <w:szCs w:val="20"/>
                <w:color w:val="auto"/>
              </w:rPr>
            </w:pPr>
            <w:r>
              <w:rPr>
                <w:rFonts w:ascii="Arial" w:cs="Arial" w:eastAsia="Arial" w:hAnsi="Arial"/>
                <w:sz w:val="14"/>
                <w:szCs w:val="14"/>
                <w:color w:val="auto"/>
                <w:w w:val="81"/>
              </w:rPr>
              <w:t>1,004.2</w:t>
            </w:r>
          </w:p>
        </w:tc>
        <w:tc>
          <w:tcPr>
            <w:tcW w:w="22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2" w:lineRule="exact"/>
              <w:rPr>
                <w:sz w:val="20"/>
                <w:szCs w:val="20"/>
                <w:color w:val="auto"/>
              </w:rPr>
            </w:pPr>
            <w:r>
              <w:rPr>
                <w:rFonts w:ascii="Arial" w:cs="Arial" w:eastAsia="Arial" w:hAnsi="Arial"/>
                <w:sz w:val="14"/>
                <w:szCs w:val="14"/>
                <w:color w:val="auto"/>
                <w:w w:val="94"/>
              </w:rPr>
              <w:t>1,019.9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1"/>
        </w:numPr>
        <w:rPr>
          <w:rFonts w:ascii="Arial" w:cs="Arial" w:eastAsia="Arial" w:hAnsi="Arial"/>
          <w:sz w:val="23"/>
          <w:szCs w:val="23"/>
          <w:color w:val="auto"/>
          <w:vertAlign w:val="superscript"/>
        </w:rPr>
      </w:pPr>
      <w:r>
        <w:rPr>
          <w:rFonts w:ascii="Arial" w:cs="Arial" w:eastAsia="Arial" w:hAnsi="Arial"/>
          <w:sz w:val="14"/>
          <w:szCs w:val="14"/>
          <w:color w:val="auto"/>
        </w:rPr>
        <w:t>Includes amounts attributable to related party transactions. See Note 15 for further details.</w:t>
      </w:r>
    </w:p>
    <w:p>
      <w:pPr>
        <w:spacing w:after="0" w:line="8" w:lineRule="exact"/>
        <w:rPr>
          <w:rFonts w:ascii="Arial" w:cs="Arial" w:eastAsia="Arial" w:hAnsi="Arial"/>
          <w:sz w:val="23"/>
          <w:szCs w:val="23"/>
          <w:color w:val="auto"/>
          <w:vertAlign w:val="superscript"/>
        </w:rPr>
      </w:pPr>
    </w:p>
    <w:p>
      <w:pPr>
        <w:ind w:left="1380" w:right="180" w:hanging="268"/>
        <w:spacing w:after="0" w:line="186" w:lineRule="auto"/>
        <w:tabs>
          <w:tab w:leader="none" w:pos="1380" w:val="left"/>
        </w:tabs>
        <w:numPr>
          <w:ilvl w:val="0"/>
          <w:numId w:val="101"/>
        </w:numPr>
        <w:rPr>
          <w:rFonts w:ascii="Arial" w:cs="Arial" w:eastAsia="Arial" w:hAnsi="Arial"/>
          <w:sz w:val="23"/>
          <w:szCs w:val="23"/>
          <w:color w:val="auto"/>
          <w:vertAlign w:val="superscript"/>
        </w:rPr>
      </w:pPr>
      <w:r>
        <w:rPr>
          <w:rFonts w:ascii="Arial" w:cs="Arial" w:eastAsia="Arial" w:hAnsi="Arial"/>
          <w:sz w:val="14"/>
          <w:szCs w:val="14"/>
          <w:color w:val="auto"/>
        </w:rPr>
        <w:t>Class A shares issued and outstanding as of December 31, 2017 exclude 14.7 million unvested restricted stock awards granted to the Company’s co-founders. See Note 11 for further details.</w:t>
      </w:r>
    </w:p>
    <w:p>
      <w:pPr>
        <w:spacing w:after="0" w:line="175"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320"/>
          </w:cols>
          <w:pgMar w:left="240" w:top="408" w:right="133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per share data)</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2016</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250.6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2"/>
                <w:szCs w:val="12"/>
                <w:color w:val="auto"/>
              </w:rPr>
              <w:t>(2)</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Interest expense,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p>
        </w:tc>
        <w:tc>
          <w:tcPr>
            <w:tcW w:w="2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w w:val="90"/>
              </w:rPr>
              <w:t>Weighted-average shares used in computing net loss per share attributable to common stockholders, basic and</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 (unaudited)</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Weighted-average shares used in computing pro forma net loss per share attributable to common</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stockholders,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2"/>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 (in millions):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Pr>
          <w:p>
            <w:pPr>
              <w:jc w:val="right"/>
              <w:ind w:right="67"/>
              <w:spacing w:after="0" w:line="115" w:lineRule="exact"/>
              <w:rPr>
                <w:sz w:val="20"/>
                <w:szCs w:val="20"/>
                <w:color w:val="auto"/>
              </w:rPr>
            </w:pPr>
            <w:r>
              <w:rPr>
                <w:rFonts w:ascii="Arial" w:cs="Arial" w:eastAsia="Arial" w:hAnsi="Arial"/>
                <w:sz w:val="11"/>
                <w:szCs w:val="11"/>
                <w:b w:val="1"/>
                <w:bCs w:val="1"/>
                <w:color w:val="auto"/>
              </w:rPr>
              <w:t>2015</w:t>
            </w:r>
          </w:p>
        </w:tc>
        <w:tc>
          <w:tcPr>
            <w:tcW w:w="70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2016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41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3"/>
        </w:trPr>
        <w:tc>
          <w:tcPr>
            <w:tcW w:w="41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bl>
    <w:p>
      <w:pPr>
        <w:spacing w:after="0" w:line="191" w:lineRule="exact"/>
        <w:rPr>
          <w:sz w:val="20"/>
          <w:szCs w:val="20"/>
          <w:color w:val="auto"/>
        </w:rPr>
      </w:pPr>
    </w:p>
    <w:p>
      <w:pPr>
        <w:ind w:left="1380" w:right="520" w:hanging="268"/>
        <w:spacing w:after="0" w:line="192" w:lineRule="auto"/>
        <w:tabs>
          <w:tab w:leader="none" w:pos="1380"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color w:val="auto"/>
        </w:rPr>
        <w:t>2017 general and administrative expense includes $9.4 million for a non-cash charitable contribution and $1.9 million of cash contributions to the Dropbox Charitable Foundation, a related party. See Note 15 for further details.</w:t>
      </w:r>
    </w:p>
    <w:p>
      <w:pPr>
        <w:spacing w:after="0" w:line="176"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320"/>
          </w:cols>
          <w:pgMar w:left="240" w:top="408" w:right="133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8"/>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ind w:right="52"/>
              <w:spacing w:after="0" w:line="115" w:lineRule="exact"/>
              <w:rPr>
                <w:sz w:val="20"/>
                <w:szCs w:val="20"/>
                <w:color w:val="auto"/>
              </w:rPr>
            </w:pPr>
            <w:r>
              <w:rPr>
                <w:rFonts w:ascii="Arial" w:cs="Arial" w:eastAsia="Arial" w:hAnsi="Arial"/>
                <w:sz w:val="12"/>
                <w:szCs w:val="12"/>
                <w:b w:val="1"/>
                <w:bCs w:val="1"/>
                <w:color w:val="auto"/>
              </w:rPr>
              <w:t>2015</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65"/>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9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Net loss</w:t>
            </w: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8"/>
              </w:rPr>
              <w:t>$(325.9)</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$(210.2)</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6"/>
              </w:rPr>
              <w:t>$ (111.7)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6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Change in cumulative foreign currency translation adjustments</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5"/>
                <w:szCs w:val="15"/>
                <w:color w:val="auto"/>
              </w:rPr>
              <w:t>Comprehensive loss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60" w:type="dxa"/>
            <w:vAlign w:val="bottom"/>
            <w:vMerge w:val="continue"/>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(325.8)</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(211.5)</w:t>
            </w:r>
          </w:p>
        </w:tc>
        <w:tc>
          <w:tcPr>
            <w:tcW w:w="72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320"/>
          </w:cols>
          <w:pgMar w:left="240" w:top="408" w:right="133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112"/>
              <w:spacing w:after="0"/>
              <w:rPr>
                <w:sz w:val="20"/>
                <w:szCs w:val="20"/>
                <w:color w:val="auto"/>
              </w:rPr>
            </w:pPr>
            <w:r>
              <w:rPr>
                <w:rFonts w:ascii="Arial" w:cs="Arial" w:eastAsia="Arial" w:hAnsi="Arial"/>
                <w:sz w:val="12"/>
                <w:szCs w:val="12"/>
                <w:b w:val="1"/>
                <w:bCs w:val="1"/>
                <w:color w:val="auto"/>
              </w:rPr>
              <w:t>Convertible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4"/>
            <w:vMerge w:val="restart"/>
          </w:tcPr>
          <w:p>
            <w:pPr>
              <w:jc w:val="center"/>
              <w:spacing w:after="0" w:line="124"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restart"/>
          </w:tcPr>
          <w:p>
            <w:pPr>
              <w:jc w:val="center"/>
              <w:ind w:right="300"/>
              <w:spacing w:after="0" w:line="12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20"/>
              <w:spacing w:after="0" w:line="124"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12"/>
              <w:spacing w:after="0"/>
              <w:rPr>
                <w:sz w:val="20"/>
                <w:szCs w:val="20"/>
                <w:color w:val="auto"/>
              </w:rPr>
            </w:pPr>
            <w:r>
              <w:rPr>
                <w:rFonts w:ascii="Arial" w:cs="Arial" w:eastAsia="Arial" w:hAnsi="Arial"/>
                <w:sz w:val="12"/>
                <w:szCs w:val="12"/>
                <w:b w:val="1"/>
                <w:bCs w:val="1"/>
                <w:color w:val="auto"/>
                <w:w w:val="98"/>
              </w:rPr>
              <w:t>preferred stock</w:t>
            </w:r>
          </w:p>
        </w:tc>
        <w:tc>
          <w:tcPr>
            <w:tcW w:w="180" w:type="dxa"/>
            <w:vAlign w:val="bottom"/>
          </w:tcPr>
          <w:p>
            <w:pPr>
              <w:spacing w:after="0"/>
              <w:rPr>
                <w:sz w:val="4"/>
                <w:szCs w:val="4"/>
                <w:color w:val="auto"/>
              </w:rPr>
            </w:pPr>
          </w:p>
        </w:tc>
        <w:tc>
          <w:tcPr>
            <w:tcW w:w="10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w w:val="99"/>
              </w:rPr>
              <w:t>Common stock</w:t>
            </w:r>
          </w:p>
        </w:tc>
        <w:tc>
          <w:tcPr>
            <w:tcW w:w="8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Borders>
              <w:bottom w:val="single" w:sz="8" w:color="auto"/>
            </w:tcBorders>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paid-in</w:t>
            </w:r>
          </w:p>
        </w:tc>
        <w:tc>
          <w:tcPr>
            <w:tcW w:w="900" w:type="dxa"/>
            <w:vAlign w:val="bottom"/>
            <w:gridSpan w:val="4"/>
          </w:tcPr>
          <w:p>
            <w:pPr>
              <w:ind w:left="80"/>
              <w:spacing w:after="0" w:line="88" w:lineRule="exact"/>
              <w:rPr>
                <w:sz w:val="20"/>
                <w:szCs w:val="20"/>
                <w:color w:val="auto"/>
              </w:rPr>
            </w:pPr>
            <w:r>
              <w:rPr>
                <w:rFonts w:ascii="Arial" w:cs="Arial" w:eastAsia="Arial" w:hAnsi="Arial"/>
                <w:sz w:val="10"/>
                <w:szCs w:val="10"/>
                <w:b w:val="1"/>
                <w:bCs w:val="1"/>
                <w:color w:val="auto"/>
              </w:rPr>
              <w:t>Accumulated</w:t>
            </w:r>
          </w:p>
        </w:tc>
        <w:tc>
          <w:tcPr>
            <w:tcW w:w="1000" w:type="dxa"/>
            <w:vAlign w:val="bottom"/>
            <w:gridSpan w:val="4"/>
          </w:tcPr>
          <w:p>
            <w:pPr>
              <w:jc w:val="center"/>
              <w:ind w:right="40"/>
              <w:spacing w:after="0" w:line="88" w:lineRule="exact"/>
              <w:rPr>
                <w:sz w:val="20"/>
                <w:szCs w:val="20"/>
                <w:color w:val="auto"/>
              </w:rPr>
            </w:pPr>
            <w:r>
              <w:rPr>
                <w:rFonts w:ascii="Arial" w:cs="Arial" w:eastAsia="Arial" w:hAnsi="Arial"/>
                <w:sz w:val="10"/>
                <w:szCs w:val="10"/>
                <w:b w:val="1"/>
                <w:bCs w:val="1"/>
                <w:color w:val="auto"/>
              </w:rPr>
              <w:t>comprehensive</w:t>
            </w:r>
          </w:p>
        </w:tc>
        <w:tc>
          <w:tcPr>
            <w:tcW w:w="860" w:type="dxa"/>
            <w:vAlign w:val="bottom"/>
            <w:gridSpan w:val="4"/>
          </w:tcPr>
          <w:p>
            <w:pPr>
              <w:jc w:val="center"/>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w w:val="84"/>
              </w:rPr>
              <w:t>Shares</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3"/>
          </w:tcPr>
          <w:p>
            <w:pPr>
              <w:ind w:left="100"/>
              <w:spacing w:after="0"/>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December 31, 2014</w:t>
            </w: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$ 615.3</w:t>
            </w: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187.5</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2"/>
              </w:rPr>
              <w:t>Cumulative-effect adjustment from adoption of Topic 606</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615.3</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187.3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Cumulative-effect adjustment from adoption of ASU</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gridSpan w:val="2"/>
          </w:tcPr>
          <w:p>
            <w:pPr>
              <w:ind w:left="120"/>
              <w:spacing w:after="0"/>
              <w:rPr>
                <w:sz w:val="20"/>
                <w:szCs w:val="20"/>
                <w:color w:val="auto"/>
              </w:rPr>
            </w:pPr>
            <w:r>
              <w:rPr>
                <w:rFonts w:ascii="Arial" w:cs="Arial" w:eastAsia="Arial" w:hAnsi="Arial"/>
                <w:sz w:val="14"/>
                <w:szCs w:val="14"/>
                <w:color w:val="auto"/>
              </w:rPr>
              <w:t>2016-09</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Release of restricted stock units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6"/>
              </w:rPr>
              <w:t>Shares repurchased for tax withholdings on release of</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restricted stock</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Donation of common stock to charitable foundation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(1,049.7)</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320"/>
          </w:cols>
          <w:pgMar w:left="240" w:top="408" w:right="133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gridSpan w:val="8"/>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9"/>
              </w:rPr>
              <w:t>2015</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2"/>
              </w:rPr>
              <w:t>2016</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6"/>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Cash flow from operating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6" w:lineRule="exact"/>
              <w:rPr>
                <w:sz w:val="20"/>
                <w:szCs w:val="20"/>
                <w:color w:val="auto"/>
              </w:rPr>
            </w:pPr>
            <w:r>
              <w:rPr>
                <w:rFonts w:ascii="Arial" w:cs="Arial" w:eastAsia="Arial" w:hAnsi="Arial"/>
                <w:sz w:val="13"/>
                <w:szCs w:val="13"/>
                <w:color w:val="auto"/>
              </w:rPr>
              <w:t>Net loss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w w:val="87"/>
              </w:rPr>
              <w:t>(325.9)</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(210.2)</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w w:val="87"/>
              </w:rPr>
              <w:t>(111.7)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Adjustments to reconcile net loss to net cash provided by operating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Depreciation and amortization</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w w:val="98"/>
              </w:rPr>
              <w:t>149.6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191.6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181.8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Stock-based compensation</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66.1</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147.6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164.6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Amortization of deferred commissions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Donation of common stock to charitable foundation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Changes in operating assets and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Trade and other receivables, net</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(9.9)</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Prepaid expenses and other current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 assets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Accounts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Accrued and other current liabilities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(12.4)</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Accrued compensation and benefits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(9.0)</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82.0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Non-current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0"/>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Net cash provided by operating activities</w:t>
            </w:r>
          </w:p>
        </w:tc>
        <w:tc>
          <w:tcPr>
            <w:tcW w:w="1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14.8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252.6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330.3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Cash flow from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Capital expenditures</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(78.7)</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(115.2)</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Purchase of intangible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(4.6)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(8.5)</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equipment rebates</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Business acquisitions, net of cash acquired</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(2.3)</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sales of equipment</w:t>
            </w:r>
          </w:p>
        </w:tc>
        <w:tc>
          <w:tcPr>
            <w:tcW w:w="1240" w:type="dxa"/>
            <w:vAlign w:val="bottom"/>
          </w:tcPr>
          <w:p>
            <w:pPr>
              <w:spacing w:after="0"/>
              <w:rPr>
                <w:sz w:val="11"/>
                <w:szCs w:val="11"/>
                <w:color w:val="auto"/>
              </w:rPr>
            </w:pPr>
          </w:p>
        </w:tc>
        <w:tc>
          <w:tcPr>
            <w:tcW w:w="36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Net cash used in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(85.6)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(118.0)</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flow from financing activities</w:t>
            </w:r>
          </w:p>
        </w:tc>
        <w:tc>
          <w:tcPr>
            <w:tcW w:w="1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on capital lease obligations</w:t>
            </w:r>
            <w:r>
              <w:rPr>
                <w:rFonts w:ascii="Arial" w:cs="Arial" w:eastAsia="Arial" w:hAnsi="Arial"/>
                <w:sz w:val="10"/>
                <w:szCs w:val="10"/>
                <w:color w:val="auto"/>
              </w:rPr>
              <w:t>(1)</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87"/>
              </w:rPr>
              <w:t>(101.2)</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(137.9)</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w w:val="87"/>
              </w:rPr>
              <w:t>(133.0)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Principal payments against note payable</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against financing lease obligation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(1.6)</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sale-leaseback agreement</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Proceeds from issuance of note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Fees paid for revolving credit facility</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Shares repurchased for tax withholdings on release of restricted stock</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issuance of common stock, net of repurchases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Payments of deferred offering costs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cash used in financing activities</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(89.6)</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87"/>
              </w:rPr>
              <w:t>(134.5)</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w w:val="87"/>
              </w:rPr>
              <w:t>(231.7)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Effect of exchange rate changes on cash and cash equivalents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(0.9)</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(4.3)</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color w:val="auto"/>
              </w:rPr>
              <w:t>Change in cash, cash equivalents, and restricted cash</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w w:val="87"/>
              </w:rPr>
              <w:t>(161.3)</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(4.2)</w:t>
            </w:r>
          </w:p>
        </w:tc>
        <w:tc>
          <w:tcPr>
            <w:tcW w:w="18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77.3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Cash, cash equivalents, and restricted cash—beginning of period</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518.2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356.9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352.7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cash equivalents, and restricted cash—end of period</w:t>
            </w:r>
          </w:p>
        </w:tc>
        <w:tc>
          <w:tcPr>
            <w:tcW w:w="12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w w:val="98"/>
              </w:rPr>
              <w:t>356.9</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352.7</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430.0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Supplemental cash flow data:</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paid during the period for:</w:t>
            </w: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480"/>
              <w:spacing w:after="0" w:line="136" w:lineRule="exact"/>
              <w:rPr>
                <w:sz w:val="20"/>
                <w:szCs w:val="20"/>
                <w:color w:val="auto"/>
              </w:rPr>
            </w:pPr>
            <w:r>
              <w:rPr>
                <w:rFonts w:ascii="Arial" w:cs="Arial" w:eastAsia="Arial" w:hAnsi="Arial"/>
                <w:sz w:val="13"/>
                <w:szCs w:val="13"/>
                <w:color w:val="auto"/>
              </w:rPr>
              <w:t>Interest</w:t>
            </w:r>
          </w:p>
        </w:tc>
        <w:tc>
          <w:tcPr>
            <w:tcW w:w="12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Income taxes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Non-cash investing and financing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480"/>
              <w:spacing w:after="0" w:line="136" w:lineRule="exact"/>
              <w:rPr>
                <w:sz w:val="20"/>
                <w:szCs w:val="20"/>
                <w:color w:val="auto"/>
              </w:rPr>
            </w:pPr>
            <w:r>
              <w:rPr>
                <w:rFonts w:ascii="Arial" w:cs="Arial" w:eastAsia="Arial" w:hAnsi="Arial"/>
                <w:sz w:val="13"/>
                <w:szCs w:val="13"/>
                <w:color w:val="auto"/>
              </w:rPr>
              <w:t>Property and equipment received and accrued in accounts payable and accrued liabilities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23.8</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Property and equipment acquired under capital leases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8"/>
              </w:rPr>
              <w:t>226.3</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Fair value of shares issued related to acquisitions of businesses and other assets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35.2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0.7</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Deferred offering costs accrued in accounts payable and accrued liabilities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hanging="268"/>
        <w:spacing w:after="0"/>
        <w:tabs>
          <w:tab w:leader="none" w:pos="1380" w:val="left"/>
        </w:tabs>
        <w:numPr>
          <w:ilvl w:val="0"/>
          <w:numId w:val="104"/>
        </w:numPr>
        <w:rPr>
          <w:rFonts w:ascii="Arial" w:cs="Arial" w:eastAsia="Arial" w:hAnsi="Arial"/>
          <w:sz w:val="10"/>
          <w:szCs w:val="10"/>
          <w:color w:val="auto"/>
        </w:rPr>
      </w:pPr>
      <w:r>
        <w:rPr>
          <w:rFonts w:ascii="Arial" w:cs="Arial" w:eastAsia="Arial" w:hAnsi="Arial"/>
          <w:sz w:val="12"/>
          <w:szCs w:val="12"/>
          <w:color w:val="auto"/>
        </w:rPr>
        <w:t>Includes amounts attributable to related party transactions. See Note 15 for further details.</w:t>
      </w:r>
    </w:p>
    <w:p>
      <w:pPr>
        <w:spacing w:after="0" w:line="172"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320"/>
          </w:cols>
          <w:pgMar w:left="240" w:top="407" w:right="133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9" w:lineRule="exact"/>
        <w:rPr>
          <w:sz w:val="20"/>
          <w:szCs w:val="20"/>
          <w:color w:val="auto"/>
        </w:rPr>
      </w:pPr>
    </w:p>
    <w:p>
      <w:pPr>
        <w:ind w:left="3320"/>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 Description of the Business and Summary of Significant Accounting Policies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w:t>
      </w:r>
    </w:p>
    <w:p>
      <w:pPr>
        <w:spacing w:after="0" w:line="98"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9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 Certain prior year non-current liability balances have been reclassified to conform to the current year presentation.</w:t>
      </w:r>
    </w:p>
    <w:p>
      <w:pPr>
        <w:spacing w:after="0" w:line="15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 xml:space="preserve">On January 1, 2017, the Company adopted the requirements of Accounting Standards Update (“ASU”) No. 2014-09, </w:t>
      </w:r>
      <w:r>
        <w:rPr>
          <w:rFonts w:ascii="Arial" w:cs="Arial" w:eastAsia="Arial" w:hAnsi="Arial"/>
          <w:sz w:val="13"/>
          <w:szCs w:val="13"/>
          <w:i w:val="1"/>
          <w:iCs w:val="1"/>
          <w:color w:val="auto"/>
        </w:rPr>
        <w:t>Revenue from Contracts with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Customers </w:t>
      </w:r>
      <w:r>
        <w:rPr>
          <w:rFonts w:ascii="Arial" w:cs="Arial" w:eastAsia="Arial" w:hAnsi="Arial"/>
          <w:sz w:val="13"/>
          <w:szCs w:val="13"/>
          <w:color w:val="auto"/>
        </w:rPr>
        <w:t>(</w:t>
      </w:r>
      <w:r>
        <w:rPr>
          <w:rFonts w:ascii="Arial" w:cs="Arial" w:eastAsia="Arial" w:hAnsi="Arial"/>
          <w:sz w:val="13"/>
          <w:szCs w:val="13"/>
          <w:i w:val="1"/>
          <w:iCs w:val="1"/>
          <w:color w:val="auto"/>
        </w:rPr>
        <w:t>Topic 606</w:t>
      </w:r>
      <w:r>
        <w:rPr>
          <w:rFonts w:ascii="Arial" w:cs="Arial" w:eastAsia="Arial" w:hAnsi="Arial"/>
          <w:sz w:val="13"/>
          <w:szCs w:val="13"/>
          <w:color w:val="auto"/>
        </w:rPr>
        <w:t>) as discussed further in</w:t>
      </w:r>
      <w:r>
        <w:rPr>
          <w:rFonts w:ascii="Arial" w:cs="Arial" w:eastAsia="Arial" w:hAnsi="Arial"/>
          <w:sz w:val="13"/>
          <w:szCs w:val="13"/>
          <w:i w:val="1"/>
          <w:iCs w:val="1"/>
          <w:color w:val="auto"/>
        </w:rPr>
        <w:t xml:space="preserve"> Recently adopted accounting pronouncements </w:t>
      </w:r>
      <w:r>
        <w:rPr>
          <w:rFonts w:ascii="Arial" w:cs="Arial" w:eastAsia="Arial" w:hAnsi="Arial"/>
          <w:sz w:val="13"/>
          <w:szCs w:val="13"/>
          <w:color w:val="auto"/>
        </w:rPr>
        <w:t>below (“Topic 606”). Topic 606 establishes a principle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3"/>
          <w:szCs w:val="13"/>
          <w:i w:val="1"/>
          <w:iCs w:val="1"/>
          <w:color w:val="auto"/>
        </w:rPr>
        <w:t>Other Assets and Deferred Costs—Contracts with Customers</w:t>
      </w:r>
      <w:r>
        <w:rPr>
          <w:rFonts w:ascii="Arial" w:cs="Arial" w:eastAsia="Arial" w:hAnsi="Arial"/>
          <w:sz w:val="13"/>
          <w:szCs w:val="13"/>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stockholders’ equity (deficit)</w:t>
      </w:r>
    </w:p>
    <w:p>
      <w:pPr>
        <w:spacing w:after="0" w:line="98" w:lineRule="exact"/>
        <w:rPr>
          <w:sz w:val="20"/>
          <w:szCs w:val="20"/>
          <w:color w:val="auto"/>
        </w:rPr>
      </w:pPr>
    </w:p>
    <w:p>
      <w:pPr>
        <w:ind w:left="1120" w:right="140" w:firstLine="368"/>
        <w:spacing w:after="0" w:line="279" w:lineRule="auto"/>
        <w:rPr>
          <w:sz w:val="20"/>
          <w:szCs w:val="20"/>
          <w:color w:val="auto"/>
        </w:rPr>
      </w:pPr>
      <w:r>
        <w:rPr>
          <w:rFonts w:ascii="Arial" w:cs="Arial" w:eastAsia="Arial" w:hAnsi="Arial"/>
          <w:sz w:val="14"/>
          <w:szCs w:val="14"/>
          <w:color w:val="auto"/>
        </w:rPr>
        <w:t>Subject to the satisfaction of certain conditions, immediately prior to the completion of the Company’s initial public offering, all of the 147,310,563 shares of convertible preferred stock will convert into an equivalent number of shares of Class B common stock. Further, pursuant to transfer agreements with certain of the Company’s stockholders, 258,620 shares of the Company’s convertible preferred stock and 2,609,951 shares of the Company’s Class B common stock will automatically convert into an equivalent numbers of shares of Class A common stock. The unaudited pro forma stockholders’ equity (deficit) information gives effect to these conversions as of December 31, 2017.</w:t>
      </w:r>
    </w:p>
    <w:p>
      <w:pPr>
        <w:spacing w:after="0" w:line="14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stockholders’ equity (deficit) information as of December 31, 2017, gives effect to stock-based compensation expense of approximately $415.6 million associated with two-tier RSUs using the accelerated attribution method. This pro forma adjustment related to stock-based compensation expense of approximately $415.6 million has been reflected as an increase to additional paid-in capital and accumulated deficit.</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300"/>
          </w:cols>
          <w:pgMar w:left="240" w:top="408" w:right="135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The Company’s Board of Directors has approved the acceleration of the Performance Vesting Condition for two-tier RSUs for which the service condition was satisfied as of December 31, 2017, to occur upon the effectiveness of its registration statement related to this offering. Accordingly, to satisfy the tax withholding and remittance obligations related to the two-tier RSUs,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Based upon the initial public offering price of $21.00 per share, the Company estimates that its tax withholding and remittance obligation would be approximately $213.4 million in the aggregate. Such amount is included as a decrease in additional paid-in capital in the pro forma stockholders’ equity (deficit) as of December 31, 2017. The unaudited pro forma stockholders’ equity (deficit) gives effect to the assumed conversion of the two-tier RSUs that had satisfied the service-based vesting condition and the Performance Vesting Condition as of December 31, 2017, and will convert into 15,897,254 shares of Class B common stock, net of 10,163,817 shares repurchased for tax withholding obligations.</w:t>
      </w:r>
    </w:p>
    <w:p>
      <w:pPr>
        <w:spacing w:after="0" w:line="154"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The shares of common stock issuable and the proceeds expected to be received upon the completion of an initial public offering are excluded from the pro forma stockholders’ equity (deficit).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5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The Company’s most significant estimates and judgments involve recognition of revenue, the measurement of the Company’s stock-based compensation, including the estimation of the underlying deemed fair value of common stock, the estimation of the fair value of market-based awards, and the valuation of acquired intangible assets and goodwill from business combinations.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information about segments and geographic areas</w:t>
      </w:r>
    </w:p>
    <w:p>
      <w:pPr>
        <w:spacing w:after="0" w:line="9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long-lived assets and revenue by geographic area, see Note 16.</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5"/>
          <w:szCs w:val="15"/>
          <w:b w:val="1"/>
          <w:bCs w:val="1"/>
          <w:i w:val="1"/>
          <w:iCs w:val="1"/>
          <w:color w:val="auto"/>
        </w:rPr>
        <w:t>Stock Split</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On March 7, 2018, the Company effected a 1-for-1.5 reverse stock split of its capital stock. All of the share and per share information referenced throughout the consolidated financial statements and notes to the consolidated financial statements have been retroactively adjusted to reflect this reverse stock split.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transactions</w:t>
      </w:r>
    </w:p>
    <w:p>
      <w:pPr>
        <w:spacing w:after="0" w:line="98"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300"/>
          </w:cols>
          <w:pgMar w:left="240" w:top="408"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and $5.0 million in net foreign currency gains in the year ended December 31, 2017.</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90"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38"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76" w:lineRule="exact"/>
        <w:rPr>
          <w:sz w:val="20"/>
          <w:szCs w:val="20"/>
          <w:color w:val="auto"/>
        </w:rPr>
      </w:pPr>
    </w:p>
    <w:p>
      <w:pPr>
        <w:ind w:left="1840" w:hanging="276"/>
        <w:spacing w:after="0"/>
        <w:tabs>
          <w:tab w:leader="none" w:pos="18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64"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20"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55"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The Company recognized $184.7 million, $266.9 million, and $353.0 million of revenue during 2015, 2016 and 2017, respectively, that was included in the deferred revenue balances at the beginning of the respective periods.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300"/>
          </w:cols>
          <w:pgMar w:left="240" w:top="407" w:right="135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As of December 31, 2017, future estimated revenue related to performance obligations that are unsatisfied or partially unsatisfied at the end of the reporting period was $467.8 million. The substantial majority of the unsatisfied performance obligations will be satisfied over the next twelve months.</w:t>
      </w:r>
    </w:p>
    <w:p>
      <w:pPr>
        <w:spacing w:after="0" w:line="100"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Company applied the practical expedient in Topic 606 and did not evaluate contracts of one year or less for the existence of a significant financing component. Multi-year contracts were not significant.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98" w:lineRule="exact"/>
        <w:rPr>
          <w:sz w:val="20"/>
          <w:szCs w:val="20"/>
          <w:color w:val="auto"/>
        </w:rPr>
      </w:pPr>
    </w:p>
    <w:p>
      <w:pPr>
        <w:ind w:left="1120" w:right="60" w:firstLine="368"/>
        <w:spacing w:after="0" w:line="312" w:lineRule="auto"/>
        <w:rPr>
          <w:sz w:val="20"/>
          <w:szCs w:val="20"/>
          <w:color w:val="auto"/>
        </w:rPr>
      </w:pPr>
      <w:r>
        <w:rPr>
          <w:rFonts w:ascii="Arial" w:cs="Arial" w:eastAsia="Arial" w:hAnsi="Arial"/>
          <w:sz w:val="14"/>
          <w:szCs w:val="14"/>
          <w:color w:val="auto"/>
        </w:rPr>
        <w:t>The Company has granted RSUs to its employees and members of the Board of Directors under the 2008 Equity Incentive Plan (“2008 Plan”) and the 2017 Equity Incentive Plan (“2017 Plan”). The Company had two types of RSUs outstanding as of December 31, 2017:</w:t>
      </w:r>
    </w:p>
    <w:p>
      <w:pPr>
        <w:spacing w:after="0" w:line="44" w:lineRule="exact"/>
        <w:rPr>
          <w:sz w:val="20"/>
          <w:szCs w:val="20"/>
          <w:color w:val="auto"/>
        </w:rPr>
      </w:pPr>
    </w:p>
    <w:p>
      <w:pPr>
        <w:ind w:left="1840" w:right="160" w:hanging="276"/>
        <w:spacing w:after="0" w:line="259" w:lineRule="auto"/>
        <w:tabs>
          <w:tab w:leader="none" w:pos="18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78"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Prior to August 2015, the Company granted two-tier RSUs under the 2008 Plan. The Company’s Board of Directors has approved the acceleration of the Performance Vesting Condition for two-tier RSUs, for which the service condition was satisfied as of December 31, 2017, to occur upon the effectiveness of its registration statement related to this offering. The last grant date for two-tier RSUs was in May 2015.</w:t>
      </w:r>
    </w:p>
    <w:p>
      <w:pPr>
        <w:spacing w:after="0" w:line="14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December 31, 2017, the Company would have recorded $415.6 million of stock-based compensation expense using the accelerated attribution method. As of December 31, 2017, 28.2 million two-tier RSUs were outstanding, of which 26.1 million had met their service condition. If the Performance Vesting Condition had been satisfied on these two-tier RSUs as of December 31, 2017, unamortized stock-based compensation expense of $5.6 million would be recognized over a weighted-average period of approximately one year if the requisite service is provided. See Note 11, “Stockholders’ Equity” for further discussion.</w:t>
      </w:r>
    </w:p>
    <w:p>
      <w:pPr>
        <w:spacing w:after="0" w:line="14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Since August 2015, the Company has granted RSUs as the only stock-based payment awards to its employees, excluding to its co-founders,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38"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8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320"/>
          </w:cols>
          <w:pgMar w:left="240" w:top="408" w:right="133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4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Co-Founder Grants contain an implied performance-based vesting condition satisfied upon the Company’s shares being traded on an established national securities exchange or automated quotation system, because no shares subject to the Co-Founder Grants will vest until then. Accordingly, as of December 31, 2017, all compensation expense related to the Co-Founder Grants remained unrecognized because the performance-based vesting condition was not deemed probable of being achieved. See Note 11, “Stockholders’ Equity” for further discussion.</w:t>
      </w:r>
    </w:p>
    <w:p>
      <w:pPr>
        <w:spacing w:after="0" w:line="143"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The Company has outstanding stock options that will continue to vest through 2019 if the requisite service is provided. The Company used the Black-Scholes Merton Option (“BSM”) pricing model to determine the fair value of stock options granted on the date of grant. This valuation model for stock-based compensation expense requires the Company to make assumptions and judgments about the variables used in the BSM model, including the fair value of its common stock, expected term, expected volatility, risk-free interest rate, and dividend yield. These judgments are made as follows:</w:t>
      </w:r>
    </w:p>
    <w:p>
      <w:pPr>
        <w:spacing w:after="0" w:line="48" w:lineRule="exact"/>
        <w:rPr>
          <w:sz w:val="20"/>
          <w:szCs w:val="20"/>
          <w:color w:val="auto"/>
        </w:rPr>
      </w:pPr>
    </w:p>
    <w:p>
      <w:pPr>
        <w:ind w:left="1840" w:right="140" w:hanging="276"/>
        <w:spacing w:after="0" w:line="305" w:lineRule="auto"/>
        <w:tabs>
          <w:tab w:leader="none" w:pos="1840"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 The absence of an active market for the Company’s common stock requires it to estimate the fair value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3"/>
          <w:szCs w:val="13"/>
          <w:i w:val="1"/>
          <w:iCs w:val="1"/>
          <w:color w:val="auto"/>
        </w:rPr>
        <w:t>Valuation of Privately-Held-Company Equity Securities Issued as Compensation.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considered numerous factors in assessing the fair value of its common stock including:</w:t>
      </w:r>
    </w:p>
    <w:p>
      <w:pPr>
        <w:spacing w:after="0" w:line="109" w:lineRule="exact"/>
        <w:rPr>
          <w:sz w:val="20"/>
          <w:szCs w:val="20"/>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results of contemporaneous valuations of its common stock by unrelated third parties;</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rights, preferences, and privileges of its convertible preferred stock relative to those of its common stock;</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its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Company’s performance and market position relative to its competitors, who may change from time to time;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Company’s historical financial results and estimated trends and prospects for its future performance;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the Company’s capital stock;</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09" w:lineRule="exact"/>
        <w:rPr>
          <w:rFonts w:ascii="Arial" w:cs="Arial" w:eastAsia="Arial" w:hAnsi="Arial"/>
          <w:sz w:val="15"/>
          <w:szCs w:val="15"/>
          <w:color w:val="auto"/>
        </w:rPr>
      </w:pPr>
    </w:p>
    <w:p>
      <w:pPr>
        <w:ind w:left="2300" w:right="300" w:hanging="364"/>
        <w:spacing w:after="0" w:line="275" w:lineRule="auto"/>
        <w:tabs>
          <w:tab w:leader="none" w:pos="2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likelihood and timeline of achieving a liquidity event, such as an initial public offering or sale of Dropbox, given prevailing market conditions;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300"/>
          </w:cols>
          <w:pgMar w:left="240" w:top="407" w:right="135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hanging="364"/>
        <w:spacing w:after="0"/>
        <w:tabs>
          <w:tab w:leader="none" w:pos="230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its common stock; and</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Precedent sales of or offers to purchase its capital stock.</w:t>
      </w:r>
    </w:p>
    <w:p>
      <w:pPr>
        <w:spacing w:after="0" w:line="109" w:lineRule="exact"/>
        <w:rPr>
          <w:rFonts w:ascii="Arial" w:cs="Arial" w:eastAsia="Arial" w:hAnsi="Arial"/>
          <w:sz w:val="15"/>
          <w:szCs w:val="15"/>
          <w:color w:val="auto"/>
        </w:rPr>
      </w:pPr>
    </w:p>
    <w:p>
      <w:pPr>
        <w:ind w:left="1840" w:right="100" w:hanging="276"/>
        <w:spacing w:after="0" w:line="259"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Company determines the expected term based on the average period the stock options are expected to remain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5"/>
          <w:szCs w:val="15"/>
          <w:color w:val="auto"/>
        </w:rPr>
      </w:pPr>
    </w:p>
    <w:p>
      <w:pPr>
        <w:ind w:left="1840" w:right="200" w:hanging="276"/>
        <w:spacing w:after="0" w:line="275"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The expected volatility rate is based on an average of the historical volatilities of the common stock of several entities</w:t>
      </w:r>
      <w:r>
        <w:rPr>
          <w:rFonts w:ascii="Arial" w:cs="Arial" w:eastAsia="Arial" w:hAnsi="Arial"/>
          <w:sz w:val="15"/>
          <w:szCs w:val="15"/>
          <w:i w:val="1"/>
          <w:iCs w:val="1"/>
          <w:color w:val="auto"/>
        </w:rPr>
        <w:t xml:space="preserve"> </w:t>
      </w:r>
      <w:r>
        <w:rPr>
          <w:rFonts w:ascii="Arial" w:cs="Arial" w:eastAsia="Arial" w:hAnsi="Arial"/>
          <w:sz w:val="15"/>
          <w:szCs w:val="15"/>
          <w:color w:val="auto"/>
        </w:rPr>
        <w:t>with publicly traded equity securities with characteristics similar to those of Dropbox.</w:t>
      </w:r>
    </w:p>
    <w:p>
      <w:pPr>
        <w:spacing w:after="0" w:line="67"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 The risk-free interest rate is based on the U.S. Treasury security in effect at the time of grant for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corresponding with the expected term of the option.</w:t>
      </w:r>
    </w:p>
    <w:p>
      <w:pPr>
        <w:spacing w:after="0" w:line="67"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yield of zero.</w:t>
      </w:r>
    </w:p>
    <w:p>
      <w:pPr>
        <w:spacing w:after="0" w:line="14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The Company did not grant stock options during 2016 or 2017. The fair values of stock options granted to employees in 2015 were calculated using the following assumptions:</w:t>
      </w:r>
    </w:p>
    <w:p>
      <w:pPr>
        <w:spacing w:after="0" w:line="146" w:lineRule="exact"/>
        <w:rPr>
          <w:sz w:val="20"/>
          <w:szCs w:val="20"/>
          <w:color w:val="auto"/>
        </w:rPr>
      </w:pPr>
    </w:p>
    <w:tbl>
      <w:tblPr>
        <w:tblLayout w:type="fixed"/>
        <w:tblInd w:w="2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ind w:left="1640"/>
              <w:spacing w:after="0"/>
              <w:rPr>
                <w:sz w:val="20"/>
                <w:szCs w:val="20"/>
                <w:color w:val="auto"/>
              </w:rPr>
            </w:pPr>
            <w:r>
              <w:rPr>
                <w:rFonts w:ascii="Arial" w:cs="Arial" w:eastAsia="Arial" w:hAnsi="Arial"/>
                <w:sz w:val="12"/>
                <w:szCs w:val="12"/>
                <w:b w:val="1"/>
                <w:bCs w:val="1"/>
                <w:color w:val="auto"/>
                <w:w w:val="87"/>
              </w:rPr>
              <w:t>Year ended December 31,</w:t>
            </w: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jc w:val="center"/>
              <w:ind w:left="1551"/>
              <w:spacing w:after="0"/>
              <w:rPr>
                <w:sz w:val="20"/>
                <w:szCs w:val="20"/>
                <w:color w:val="auto"/>
              </w:rPr>
            </w:pPr>
            <w:r>
              <w:rPr>
                <w:rFonts w:ascii="Arial" w:cs="Arial" w:eastAsia="Arial" w:hAnsi="Arial"/>
                <w:sz w:val="12"/>
                <w:szCs w:val="12"/>
                <w:b w:val="1"/>
                <w:bCs w:val="1"/>
                <w:color w:val="auto"/>
                <w:w w:val="89"/>
              </w:rPr>
              <w:t>2015</w:t>
            </w:r>
          </w:p>
        </w:tc>
      </w:tr>
      <w:tr>
        <w:trPr>
          <w:trHeight w:val="172"/>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Expected volatility</w:t>
            </w:r>
          </w:p>
        </w:tc>
        <w:tc>
          <w:tcPr>
            <w:tcW w:w="16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57%</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2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Pr>
          <w:p>
            <w:pPr>
              <w:spacing w:after="0"/>
              <w:rPr>
                <w:sz w:val="20"/>
                <w:szCs w:val="20"/>
                <w:color w:val="auto"/>
              </w:rPr>
            </w:pPr>
            <w:r>
              <w:rPr>
                <w:rFonts w:ascii="Arial" w:cs="Arial" w:eastAsia="Arial" w:hAnsi="Arial"/>
                <w:sz w:val="15"/>
                <w:szCs w:val="15"/>
                <w:color w:val="auto"/>
              </w:rPr>
              <w:t>1.9%</w:t>
            </w: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shd w:val="clear" w:color="auto" w:fill="CCEEFF"/>
          </w:tcPr>
          <w:p>
            <w:pPr>
              <w:spacing w:after="0"/>
              <w:rPr>
                <w:sz w:val="20"/>
                <w:szCs w:val="20"/>
                <w:color w:val="auto"/>
              </w:rPr>
            </w:pPr>
            <w:r>
              <w:rPr>
                <w:rFonts w:ascii="Arial" w:cs="Arial" w:eastAsia="Arial" w:hAnsi="Arial"/>
                <w:sz w:val="15"/>
                <w:szCs w:val="15"/>
                <w:color w:val="auto"/>
              </w:rPr>
              <w:t>6.1</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640" w:type="dxa"/>
            <w:vAlign w:val="bottom"/>
          </w:tcPr>
          <w:p>
            <w:pPr>
              <w:spacing w:after="0"/>
              <w:rPr>
                <w:sz w:val="15"/>
                <w:szCs w:val="15"/>
                <w:color w:val="auto"/>
              </w:rPr>
            </w:pPr>
          </w:p>
        </w:tc>
        <w:tc>
          <w:tcPr>
            <w:tcW w:w="700" w:type="dxa"/>
            <w:vAlign w:val="bottom"/>
            <w:gridSpan w:val="2"/>
          </w:tcPr>
          <w:p>
            <w:pPr>
              <w:jc w:val="center"/>
              <w:ind w:left="445"/>
              <w:spacing w:after="0"/>
              <w:rPr>
                <w:sz w:val="20"/>
                <w:szCs w:val="20"/>
                <w:color w:val="auto"/>
              </w:rPr>
            </w:pPr>
            <w:r>
              <w:rPr>
                <w:rFonts w:ascii="Arial" w:cs="Arial" w:eastAsia="Arial" w:hAnsi="Arial"/>
                <w:sz w:val="15"/>
                <w:szCs w:val="15"/>
                <w:color w:val="auto"/>
                <w:w w:val="93"/>
              </w:rPr>
              <w:t>—</w:t>
            </w:r>
          </w:p>
        </w:tc>
        <w:tc>
          <w:tcPr>
            <w:tcW w:w="6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stock</w:t>
            </w:r>
          </w:p>
        </w:tc>
        <w:tc>
          <w:tcPr>
            <w:tcW w:w="2940" w:type="dxa"/>
            <w:vAlign w:val="bottom"/>
            <w:gridSpan w:val="4"/>
            <w:shd w:val="clear" w:color="auto" w:fill="CCEEFF"/>
          </w:tcPr>
          <w:p>
            <w:pPr>
              <w:jc w:val="right"/>
              <w:ind w:right="145"/>
              <w:spacing w:after="0"/>
              <w:rPr>
                <w:sz w:val="20"/>
                <w:szCs w:val="20"/>
                <w:color w:val="auto"/>
              </w:rPr>
            </w:pPr>
            <w:r>
              <w:rPr>
                <w:rFonts w:ascii="Arial" w:cs="Arial" w:eastAsia="Arial" w:hAnsi="Arial"/>
                <w:sz w:val="15"/>
                <w:szCs w:val="15"/>
                <w:color w:val="auto"/>
              </w:rPr>
              <w:t>$24.24 - $25.23</w:t>
            </w:r>
          </w:p>
        </w:tc>
      </w:tr>
    </w:tbl>
    <w:p>
      <w:pPr>
        <w:spacing w:after="0" w:line="170"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 xml:space="preserve">On January 1, 2017, the Company adopted ASU No. 2016-09: </w:t>
      </w:r>
      <w:r>
        <w:rPr>
          <w:rFonts w:ascii="Arial" w:cs="Arial" w:eastAsia="Arial" w:hAnsi="Arial"/>
          <w:sz w:val="13"/>
          <w:szCs w:val="13"/>
          <w:i w:val="1"/>
          <w:iCs w:val="1"/>
          <w:color w:val="auto"/>
        </w:rPr>
        <w:t>Improvement to Employee Share-based Payment Accounting (Topic 718)</w:t>
      </w:r>
      <w:r>
        <w:rPr>
          <w:rFonts w:ascii="Arial" w:cs="Arial" w:eastAsia="Arial" w:hAnsi="Arial"/>
          <w:sz w:val="13"/>
          <w:szCs w:val="13"/>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year ended December 31, 2017, has been calculated based on actual forfeitures in the Company’s consolidated statements of operations,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8" w:lineRule="exact"/>
        <w:rPr>
          <w:sz w:val="20"/>
          <w:szCs w:val="20"/>
          <w:color w:val="auto"/>
        </w:rPr>
      </w:pPr>
    </w:p>
    <w:p>
      <w:pPr>
        <w:ind w:left="1120" w:right="120" w:firstLine="368"/>
        <w:spacing w:after="0" w:line="297" w:lineRule="auto"/>
        <w:rPr>
          <w:sz w:val="20"/>
          <w:szCs w:val="20"/>
          <w:color w:val="auto"/>
        </w:rPr>
      </w:pPr>
      <w:r>
        <w:rPr>
          <w:rFonts w:ascii="Arial" w:cs="Arial" w:eastAsia="Arial" w:hAnsi="Arial"/>
          <w:sz w:val="13"/>
          <w:szCs w:val="13"/>
          <w:color w:val="auto"/>
        </w:rPr>
        <w:t>Cost of revenue consists primarily of expenses associated with the storage, delivery, and distribution of the Company’s platform for both paying users and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320"/>
          </w:cols>
          <w:pgMar w:left="240" w:top="408" w:right="133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Advertising and promotional expense</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Advertising and promotional expenses are included in sales and marketing expenses within the consolidated statements of operations and are expensed when incurred. Advertising and promotional expenses were $59.5 million, $46.6 million, and $80.1 million in the years ended December 31, 2015, 2016, and 2017, respectively.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Trade and other receivables, net</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Trade and other receivables, net consists primarily of trade receivables that are recorded at the invoice amount, net of an allowance for doubtful accounts.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Trade and other receivables, net consisted of the following as of December 31, 2016 and 2017:</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7"/>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Trade accounts receivables</w:t>
            </w: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$13.1</w:t>
            </w:r>
          </w:p>
        </w:tc>
        <w:tc>
          <w:tcPr>
            <w:tcW w:w="4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$29.7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5"/>
                <w:szCs w:val="15"/>
                <w:color w:val="auto"/>
              </w:rPr>
              <w:t>Other receivables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Less: Allowance for doubtful accounts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Trade and other receivables, net</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13.2</w:t>
            </w:r>
          </w:p>
        </w:tc>
        <w:tc>
          <w:tcPr>
            <w:tcW w:w="8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1120" w:right="60" w:firstLine="368"/>
        <w:spacing w:after="0" w:line="259" w:lineRule="auto"/>
        <w:rPr>
          <w:sz w:val="20"/>
          <w:szCs w:val="20"/>
          <w:color w:val="auto"/>
        </w:rPr>
      </w:pPr>
      <w:r>
        <w:rPr>
          <w:rFonts w:ascii="Arial" w:cs="Arial" w:eastAsia="Arial" w:hAnsi="Arial"/>
          <w:sz w:val="15"/>
          <w:szCs w:val="15"/>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Concentrations of credit risk</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55"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color w:val="auto"/>
        </w:rPr>
        <w:t>Trade accounts receivables are typically unsecured and are derived from revenue earned from customers located around the world. Two customers accounted for 11% and 12% of total trade and other receivables, net as of December 31, 2016. Two customers accounted for 18% and 27% of total trade and other receivables, net as of December 31, 2017. No customer accounted for more than 10% of the Company’s revenue in the periods presented.</w:t>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Non-trade receivables</w:t>
      </w:r>
    </w:p>
    <w:p>
      <w:pPr>
        <w:spacing w:after="0" w:line="98" w:lineRule="exact"/>
        <w:rPr>
          <w:sz w:val="20"/>
          <w:szCs w:val="20"/>
          <w:color w:val="auto"/>
        </w:rPr>
      </w:pPr>
    </w:p>
    <w:p>
      <w:pPr>
        <w:ind w:left="1120" w:right="620" w:firstLine="368"/>
        <w:spacing w:after="0" w:line="275" w:lineRule="auto"/>
        <w:rPr>
          <w:sz w:val="20"/>
          <w:szCs w:val="20"/>
          <w:color w:val="auto"/>
        </w:rPr>
      </w:pPr>
      <w:r>
        <w:rPr>
          <w:rFonts w:ascii="Arial" w:cs="Arial" w:eastAsia="Arial" w:hAnsi="Arial"/>
          <w:sz w:val="15"/>
          <w:szCs w:val="15"/>
          <w:color w:val="auto"/>
        </w:rPr>
        <w:t>The Company records non-trade receivables to reflect amounts due for activities outside of its subscription agreements. Historically, the Company’s non-trade receivables have related primarily to receivables resulting</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80"/>
          </w:cols>
          <w:pgMar w:left="240" w:top="407" w:right="137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5"/>
          <w:szCs w:val="15"/>
          <w:color w:val="auto"/>
        </w:rPr>
        <w:t>from tenant improvement allowances. Non-trade receivables totaled $3.0 million and $5.2 million, as of December 31, 2016 and 2017, respectively, and are classified within prepaid expenses and other current assets in the accompanying consolidated balance sheets.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 net</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Deferred commissions, net is stated at gross deferred commissions less accumulated amortization. Sales commissions earned by the Company’s sales 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$17.2 million and $19.4 million during the years ended December 31, 2016 and 2017, respectively.</w:t>
      </w:r>
    </w:p>
    <w:p>
      <w:pPr>
        <w:spacing w:after="0" w:line="159"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Deferred commissions, net included in prepaid and other current assets were $3.7 million and $8.1 million as of December 31, 2016 and 2017, respectively. Deferred commissions, net included in other assets were $16.4 million and $24.8 million as of December 31, 2016 and 2017, respectively.</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Deferred commissions are amortized over a period of benefit of five years. The period of benefit was estimated by considering factors such as</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historical customer attrition rates, the useful life of the Company’s technology, and the impact of competition in its industry. Amortized costs were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$0.6 million, $3.7 million, and $6.6 million for the years ended December 31, 2015, 2016, and 2017, respectively. Amortized costs are included in sales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and marketing expense in the accompanying consolidated statements of operations. There was no impairment loss in relation to the deferred costs for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any period presented.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estimated useful lives of property and equipment:</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Property and equipment</w:t>
            </w:r>
          </w:p>
        </w:tc>
        <w:tc>
          <w:tcPr>
            <w:tcW w:w="280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1880" w:type="dxa"/>
            <w:vAlign w:val="bottom"/>
            <w:gridSpan w:val="2"/>
          </w:tcPr>
          <w:p>
            <w:pPr>
              <w:jc w:val="center"/>
              <w:ind w:right="1380"/>
              <w:spacing w:after="0"/>
              <w:rPr>
                <w:sz w:val="20"/>
                <w:szCs w:val="20"/>
                <w:color w:val="auto"/>
              </w:rPr>
            </w:pPr>
            <w:r>
              <w:rPr>
                <w:rFonts w:ascii="Arial" w:cs="Arial" w:eastAsia="Arial" w:hAnsi="Arial"/>
                <w:sz w:val="12"/>
                <w:szCs w:val="12"/>
                <w:b w:val="1"/>
                <w:bCs w:val="1"/>
                <w:color w:val="auto"/>
                <w:w w:val="87"/>
              </w:rPr>
              <w:t>Useful life</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40" w:type="dxa"/>
            <w:vAlign w:val="bottom"/>
          </w:tcPr>
          <w:p>
            <w:pPr>
              <w:spacing w:after="0" w:line="138" w:lineRule="exact"/>
              <w:rPr>
                <w:sz w:val="20"/>
                <w:szCs w:val="20"/>
                <w:color w:val="auto"/>
              </w:rPr>
            </w:pPr>
            <w:r>
              <w:rPr>
                <w:rFonts w:ascii="Arial" w:cs="Arial" w:eastAsia="Arial" w:hAnsi="Arial"/>
                <w:sz w:val="15"/>
                <w:szCs w:val="15"/>
                <w:color w:val="auto"/>
              </w:rPr>
              <w:t>Buildings</w:t>
            </w:r>
          </w:p>
        </w:tc>
        <w:tc>
          <w:tcPr>
            <w:tcW w:w="27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1880" w:type="dxa"/>
            <w:vAlign w:val="bottom"/>
            <w:gridSpan w:val="2"/>
          </w:tcPr>
          <w:p>
            <w:pPr>
              <w:ind w:left="20"/>
              <w:spacing w:after="0" w:line="138" w:lineRule="exact"/>
              <w:rPr>
                <w:sz w:val="20"/>
                <w:szCs w:val="20"/>
                <w:color w:val="auto"/>
              </w:rPr>
            </w:pPr>
            <w:r>
              <w:rPr>
                <w:rFonts w:ascii="Arial" w:cs="Arial" w:eastAsia="Arial" w:hAnsi="Arial"/>
                <w:sz w:val="15"/>
                <w:szCs w:val="15"/>
                <w:color w:val="auto"/>
              </w:rPr>
              <w:t>to 30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Datacenter and other computer equipment</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5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Office equipment and other</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7 years</w:t>
            </w:r>
          </w:p>
        </w:tc>
        <w:tc>
          <w:tcPr>
            <w:tcW w:w="0" w:type="dxa"/>
            <w:vAlign w:val="bottom"/>
          </w:tcPr>
          <w:p>
            <w:pPr>
              <w:spacing w:after="0"/>
              <w:rPr>
                <w:sz w:val="1"/>
                <w:szCs w:val="1"/>
                <w:color w:val="auto"/>
              </w:rPr>
            </w:pPr>
          </w:p>
        </w:tc>
      </w:tr>
      <w:tr>
        <w:trPr>
          <w:trHeight w:val="190"/>
        </w:trPr>
        <w:tc>
          <w:tcPr>
            <w:tcW w:w="3940" w:type="dxa"/>
            <w:vAlign w:val="bottom"/>
            <w:gridSpan w:val="2"/>
          </w:tcPr>
          <w:p>
            <w:pPr>
              <w:spacing w:after="0"/>
              <w:rPr>
                <w:sz w:val="20"/>
                <w:szCs w:val="20"/>
                <w:color w:val="auto"/>
              </w:rPr>
            </w:pPr>
            <w:r>
              <w:rPr>
                <w:rFonts w:ascii="Arial" w:cs="Arial" w:eastAsia="Arial" w:hAnsi="Arial"/>
                <w:sz w:val="15"/>
                <w:szCs w:val="15"/>
                <w:color w:val="auto"/>
              </w:rPr>
              <w:t>Leasehold improvements</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90"/>
              </w:rPr>
              <w:t>Lesser of estimated useful life or remaining lease term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 obligations</w:t>
      </w:r>
    </w:p>
    <w:p>
      <w:pPr>
        <w:spacing w:after="0" w:line="98" w:lineRule="exact"/>
        <w:rPr>
          <w:sz w:val="20"/>
          <w:szCs w:val="20"/>
          <w:color w:val="auto"/>
        </w:rPr>
      </w:pPr>
    </w:p>
    <w:p>
      <w:pPr>
        <w:ind w:left="1120" w:right="80" w:firstLine="368"/>
        <w:spacing w:after="0" w:line="300" w:lineRule="auto"/>
        <w:rPr>
          <w:sz w:val="20"/>
          <w:szCs w:val="20"/>
          <w:color w:val="auto"/>
        </w:rPr>
      </w:pPr>
      <w:r>
        <w:rPr>
          <w:rFonts w:ascii="Arial" w:cs="Arial" w:eastAsia="Arial" w:hAnsi="Arial"/>
          <w:sz w:val="13"/>
          <w:szCs w:val="13"/>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the Company has the right to use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300"/>
          </w:cols>
          <w:pgMar w:left="240" w:top="408" w:right="135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 leases certain equipment from various third parties, including from a related party, through equipment financing leases under capital leases. See Note 15,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Internal use software</w:t>
      </w:r>
    </w:p>
    <w:p>
      <w:pPr>
        <w:spacing w:after="0" w:line="98"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2016, and 2017.</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8"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 including goodwill and other acquired intangible assets, net</w:t>
      </w:r>
    </w:p>
    <w:p>
      <w:pPr>
        <w:spacing w:after="0" w:line="98" w:lineRule="exact"/>
        <w:rPr>
          <w:sz w:val="20"/>
          <w:szCs w:val="20"/>
          <w:color w:val="auto"/>
        </w:rPr>
      </w:pPr>
    </w:p>
    <w:p>
      <w:pPr>
        <w:ind w:left="1120" w:right="160" w:firstLine="368"/>
        <w:spacing w:after="0" w:line="255" w:lineRule="auto"/>
        <w:rPr>
          <w:sz w:val="20"/>
          <w:szCs w:val="20"/>
          <w:color w:val="auto"/>
        </w:rPr>
      </w:pPr>
      <w:r>
        <w:rPr>
          <w:rFonts w:ascii="Arial" w:cs="Arial" w:eastAsia="Arial" w:hAnsi="Arial"/>
          <w:sz w:val="15"/>
          <w:szCs w:val="15"/>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46"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The Company has not recorded impairment charges on property and equipment, goodwill, or intangible assets for the periods presented in these consolidated financial statements.</w:t>
      </w:r>
    </w:p>
    <w:p>
      <w:pPr>
        <w:spacing w:after="0" w:line="146" w:lineRule="exact"/>
        <w:rPr>
          <w:sz w:val="20"/>
          <w:szCs w:val="20"/>
          <w:color w:val="auto"/>
        </w:rPr>
      </w:pPr>
    </w:p>
    <w:p>
      <w:pPr>
        <w:ind w:left="1120" w:right="260" w:firstLine="368"/>
        <w:spacing w:after="0" w:line="259"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 on a prospective basis.</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320"/>
          </w:cols>
          <w:pgMar w:left="240" w:top="408" w:right="133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Deferred offering costs, which consist of direct incremental legal, accounting, and consulting fees relating to the initial public offering, are capitalized. The deferred offering costs will be offset against initial public offering proceeds upon the consummation of the offering. In the event the offering is terminated, the deferred offering costs will be expensed. As of December 31, 2017, the Company had capitalized approximately $4.1 million of deferred offering costs within other assets on the consolidated balance sheet.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98"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55"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55"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9"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Tax Cuts and Jobs Act, correspondence with tax authorities during the course of an audit, and effective settlement of audit issues.</w:t>
      </w:r>
    </w:p>
    <w:p>
      <w:pPr>
        <w:spacing w:after="0" w:line="158"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in active markets for identical assets or liabilities.</w:t>
      </w:r>
    </w:p>
    <w:p>
      <w:pPr>
        <w:spacing w:after="0" w:line="98" w:lineRule="exact"/>
        <w:rPr>
          <w:sz w:val="20"/>
          <w:szCs w:val="20"/>
          <w:color w:val="auto"/>
        </w:rPr>
      </w:pPr>
    </w:p>
    <w:p>
      <w:pPr>
        <w:ind w:left="1480" w:right="320"/>
        <w:spacing w:after="0" w:line="27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—Observable inputs other than quoted prices in active markets for identical assets and liabilities, quoted prices for identical or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or liabilities in inactive markets, or other inputs that are</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300"/>
          </w:cols>
          <w:pgMar w:left="240" w:top="408" w:right="135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observable or can be corroborated by observable market data for substantially the full term of the assets or liabilities.</w:t>
      </w:r>
    </w:p>
    <w:p>
      <w:pPr>
        <w:spacing w:after="0" w:line="98" w:lineRule="exact"/>
        <w:rPr>
          <w:sz w:val="20"/>
          <w:szCs w:val="20"/>
          <w:color w:val="auto"/>
        </w:rPr>
      </w:pPr>
    </w:p>
    <w:p>
      <w:pPr>
        <w:ind w:left="1480"/>
        <w:spacing w:after="0" w:line="275"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—Inputs that are generally unobservable and typically reflect management’s estimate of assumptions that market participants would use in</w:t>
      </w:r>
      <w:r>
        <w:rPr>
          <w:rFonts w:ascii="Arial" w:cs="Arial" w:eastAsia="Arial" w:hAnsi="Arial"/>
          <w:sz w:val="15"/>
          <w:szCs w:val="15"/>
          <w:i w:val="1"/>
          <w:iCs w:val="1"/>
          <w:color w:val="auto"/>
        </w:rPr>
        <w:t xml:space="preserve"> </w:t>
      </w:r>
      <w:r>
        <w:rPr>
          <w:rFonts w:ascii="Arial" w:cs="Arial" w:eastAsia="Arial" w:hAnsi="Arial"/>
          <w:sz w:val="15"/>
          <w:szCs w:val="15"/>
          <w:color w:val="auto"/>
        </w:rPr>
        <w:t>pricing the asset or liability.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 xml:space="preserve">In October 2016, the FASB issued ASU No. 2016-16, </w:t>
      </w:r>
      <w:r>
        <w:rPr>
          <w:rFonts w:ascii="Arial" w:cs="Arial" w:eastAsia="Arial" w:hAnsi="Arial"/>
          <w:sz w:val="15"/>
          <w:szCs w:val="15"/>
          <w:i w:val="1"/>
          <w:iCs w:val="1"/>
          <w:color w:val="auto"/>
        </w:rPr>
        <w:t>Income Taxes: Intra-Entity Transfers Other than Inventory (Topic 740)</w:t>
      </w:r>
      <w:r>
        <w:rPr>
          <w:rFonts w:ascii="Arial" w:cs="Arial" w:eastAsia="Arial" w:hAnsi="Arial"/>
          <w:sz w:val="15"/>
          <w:szCs w:val="15"/>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5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timing of adoption, the quantitative impact of adoption, and the related disclosure requirements. The Company anticipates the adoption of this standard will result in a substantial increase in its non-current assets and liabilities recorded on the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and Subtopic 340-40, </w:t>
      </w:r>
      <w:r>
        <w:rPr>
          <w:rFonts w:ascii="Arial" w:cs="Arial" w:eastAsia="Arial" w:hAnsi="Arial"/>
          <w:sz w:val="15"/>
          <w:szCs w:val="15"/>
          <w:i w:val="1"/>
          <w:iCs w:val="1"/>
          <w:color w:val="auto"/>
        </w:rPr>
        <w:t>Other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Costs—Contracts with Customers (Subtopic 340-40)</w:t>
      </w:r>
      <w:r>
        <w:rPr>
          <w:rFonts w:ascii="Arial" w:cs="Arial" w:eastAsia="Arial" w:hAnsi="Arial"/>
          <w:sz w:val="15"/>
          <w:szCs w:val="15"/>
          <w:color w:val="auto"/>
        </w:rPr>
        <w:t>. Topic 606 supersedes the revenue recognition requirements in Accounting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Codification Topic 605, </w:t>
      </w:r>
      <w:r>
        <w:rPr>
          <w:rFonts w:ascii="Arial" w:cs="Arial" w:eastAsia="Arial" w:hAnsi="Arial"/>
          <w:sz w:val="15"/>
          <w:szCs w:val="15"/>
          <w:i w:val="1"/>
          <w:iCs w:val="1"/>
          <w:color w:val="auto"/>
        </w:rPr>
        <w:t>Revenue Recognition (Topic 605)</w:t>
      </w:r>
      <w:r>
        <w:rPr>
          <w:rFonts w:ascii="Arial" w:cs="Arial" w:eastAsia="Arial" w:hAnsi="Arial"/>
          <w:sz w:val="15"/>
          <w:szCs w:val="15"/>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64" w:lineRule="exact"/>
        <w:rPr>
          <w:sz w:val="20"/>
          <w:szCs w:val="20"/>
          <w:color w:val="auto"/>
        </w:rPr>
      </w:pPr>
    </w:p>
    <w:p>
      <w:pPr>
        <w:ind w:left="1120" w:right="100" w:firstLine="368"/>
        <w:spacing w:after="0" w:line="312"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impact of adopting Topic 606 on the Company’s revenue is not material to any of the periods presented. The primary impact of adopting</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Topic 606 relates to the deferral of incremental costs of obtaining customer contracts and the amortization of those costs over a longer period of benefit.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Under Topic 606, the Company defers all incremental costs to obtain the contract, which primarily include sales commissions and related payroll taxes.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The Company amortizes these costs over a period of benefit of five years.</w:t>
      </w:r>
    </w:p>
    <w:p>
      <w:pPr>
        <w:spacing w:after="0" w:line="179"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xml:space="preserve"> which amends the guidance in ASC Topic 718. The standard provides clarity and</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60"/>
          </w:cols>
          <w:pgMar w:left="240" w:top="408" w:right="139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reduces the cost and complexity when applying the guidance in ASC Topic 718 to a change to the terms or conditions of a share-based payment award. ASU No. 2017-09 is effective for fiscal years beginning after December 15, 2017, and interim periods within those years, with early adoption permitted. The Company elected to adopt ASU No. 2017-09 in the fourth quarter of 2017 on a prospective basis. The adoption of the guidance did not have a material impact on the consolidated financial statements.</w:t>
      </w:r>
    </w:p>
    <w:p>
      <w:pPr>
        <w:spacing w:after="0" w:line="15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Goodwill and Other, Simplifying the Test for Goodwill Impairment (Topic 350)</w:t>
      </w:r>
      <w:r>
        <w:rPr>
          <w:rFonts w:ascii="Arial" w:cs="Arial" w:eastAsia="Arial" w:hAnsi="Arial"/>
          <w:sz w:val="15"/>
          <w:szCs w:val="15"/>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 2017-04 is effective for fiscal years beginning after December 15, 2019, and is applied prospectively when adopted. Early adoption is permitted. The Company elected to adopt ASU No. 2017-04 as of January 1, 2017. The adoption of the guidance did not have an impact on the consolidated financial statements.</w:t>
      </w:r>
    </w:p>
    <w:p>
      <w:pPr>
        <w:spacing w:after="0" w:line="161"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 xml:space="preserve">In January 2017, the FASB issued ASU No. 2017-01, </w:t>
      </w:r>
      <w:r>
        <w:rPr>
          <w:rFonts w:ascii="Arial" w:cs="Arial" w:eastAsia="Arial" w:hAnsi="Arial"/>
          <w:sz w:val="14"/>
          <w:szCs w:val="14"/>
          <w:i w:val="1"/>
          <w:iCs w:val="1"/>
          <w:color w:val="auto"/>
        </w:rPr>
        <w:t>Business Combinations, Clarifying the Definition of a Business (Topic 805)</w:t>
      </w:r>
      <w:r>
        <w:rPr>
          <w:rFonts w:ascii="Arial" w:cs="Arial" w:eastAsia="Arial" w:hAnsi="Arial"/>
          <w:sz w:val="14"/>
          <w:szCs w:val="14"/>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47"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In March 2016, the FASB issued ASU No. 2016-09, </w:t>
      </w:r>
      <w:r>
        <w:rPr>
          <w:rFonts w:ascii="Arial" w:cs="Arial" w:eastAsia="Arial" w:hAnsi="Arial"/>
          <w:sz w:val="14"/>
          <w:szCs w:val="14"/>
          <w:i w:val="1"/>
          <w:iCs w:val="1"/>
          <w:color w:val="auto"/>
        </w:rPr>
        <w:t>Improvements to Employee Share-Based Payment Accounting (Topic 718)</w:t>
      </w:r>
      <w:r>
        <w:rPr>
          <w:rFonts w:ascii="Arial" w:cs="Arial" w:eastAsia="Arial" w:hAnsi="Arial"/>
          <w:sz w:val="14"/>
          <w:szCs w:val="14"/>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 The adoption of the guidance did not have a material impact on the consolidated financial statements.</w:t>
      </w:r>
    </w:p>
    <w:p>
      <w:pPr>
        <w:spacing w:after="0" w:line="148" w:lineRule="exact"/>
        <w:rPr>
          <w:sz w:val="20"/>
          <w:szCs w:val="20"/>
          <w:color w:val="auto"/>
        </w:rPr>
      </w:pPr>
    </w:p>
    <w:p>
      <w:pPr>
        <w:jc w:val="both"/>
        <w:ind w:left="1120" w:right="160" w:firstLine="368"/>
        <w:spacing w:after="0" w:line="302" w:lineRule="auto"/>
        <w:rPr>
          <w:sz w:val="20"/>
          <w:szCs w:val="20"/>
          <w:color w:val="auto"/>
        </w:rPr>
      </w:pPr>
      <w:r>
        <w:rPr>
          <w:rFonts w:ascii="Arial" w:cs="Arial" w:eastAsia="Arial" w:hAnsi="Arial"/>
          <w:sz w:val="13"/>
          <w:szCs w:val="13"/>
          <w:color w:val="auto"/>
        </w:rPr>
        <w:t xml:space="preserve">In November 2016, the FASB issued ASU No. 2016-18, </w:t>
      </w:r>
      <w:r>
        <w:rPr>
          <w:rFonts w:ascii="Arial" w:cs="Arial" w:eastAsia="Arial" w:hAnsi="Arial"/>
          <w:sz w:val="13"/>
          <w:szCs w:val="13"/>
          <w:i w:val="1"/>
          <w:iCs w:val="1"/>
          <w:color w:val="auto"/>
        </w:rPr>
        <w:t>Statement of Cash Flows, Restricted Cash (Topic 230)</w:t>
      </w:r>
      <w:r>
        <w:rPr>
          <w:rFonts w:ascii="Arial" w:cs="Arial" w:eastAsia="Arial" w:hAnsi="Arial"/>
          <w:sz w:val="13"/>
          <w:szCs w:val="13"/>
          <w:color w:val="auto"/>
        </w:rPr>
        <w:t xml:space="preserve">, which amends the guidance in ASC Topic 230, </w:t>
      </w:r>
      <w:r>
        <w:rPr>
          <w:rFonts w:ascii="Arial" w:cs="Arial" w:eastAsia="Arial" w:hAnsi="Arial"/>
          <w:sz w:val="13"/>
          <w:szCs w:val="13"/>
          <w:i w:val="1"/>
          <w:iCs w:val="1"/>
          <w:color w:val="auto"/>
        </w:rPr>
        <w:t>Statement of Cash Flows,</w:t>
      </w:r>
      <w:r>
        <w:rPr>
          <w:rFonts w:ascii="Arial" w:cs="Arial" w:eastAsia="Arial" w:hAnsi="Arial"/>
          <w:sz w:val="13"/>
          <w:szCs w:val="13"/>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 cash and restricted cash equivalents in the statement of cash flows. ASU No. 2016-18 is effective for fiscal years beginning after December 15, 2017, and interim periods within those years, and is applied retrospectively when adopted. Early adoption is permitted. The Company elected to adopt ASU No. 2016-18 effective January 1, 2016. The adoption of the guidance did not have a material impact on the consolidated financial statements.</w:t>
      </w:r>
    </w:p>
    <w:p>
      <w:pPr>
        <w:spacing w:after="0" w:line="134"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color w:val="auto"/>
        </w:rPr>
        <w:t xml:space="preserve">In April 2015, the FASB issued ASU No. 2015-05, </w:t>
      </w:r>
      <w:r>
        <w:rPr>
          <w:rFonts w:ascii="Arial" w:cs="Arial" w:eastAsia="Arial" w:hAnsi="Arial"/>
          <w:sz w:val="14"/>
          <w:szCs w:val="14"/>
          <w:i w:val="1"/>
          <w:iCs w:val="1"/>
          <w:color w:val="auto"/>
        </w:rPr>
        <w:t>Intangibles—Goodwill and Other—Internal-Use Software: Customer’s Accounting for Fees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Paid in a Cloud Computing Arrangement (Subtopic 350-40), </w:t>
      </w:r>
      <w:r>
        <w:rPr>
          <w:rFonts w:ascii="Arial" w:cs="Arial" w:eastAsia="Arial" w:hAnsi="Arial"/>
          <w:sz w:val="14"/>
          <w:szCs w:val="14"/>
          <w:color w:val="auto"/>
        </w:rPr>
        <w:t>which provides guidance to customers about whether a cloud computing arrangement</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300"/>
          </w:cols>
          <w:pgMar w:left="240" w:top="407" w:right="135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2. Cash and Cash Equivalents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Cash and cash equivalents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6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4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1"/>
              <w:spacing w:after="0" w:line="115" w:lineRule="exact"/>
              <w:rPr>
                <w:sz w:val="20"/>
                <w:szCs w:val="20"/>
                <w:color w:val="auto"/>
              </w:rPr>
            </w:pPr>
            <w:r>
              <w:rPr>
                <w:rFonts w:ascii="Arial" w:cs="Arial" w:eastAsia="Arial" w:hAnsi="Arial"/>
                <w:sz w:val="12"/>
                <w:szCs w:val="12"/>
                <w:b w:val="1"/>
                <w:bCs w:val="1"/>
                <w:color w:val="auto"/>
                <w:w w:val="89"/>
              </w:rPr>
              <w:t>2016</w:t>
            </w:r>
          </w:p>
        </w:tc>
        <w:tc>
          <w:tcPr>
            <w:tcW w:w="22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6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40" w:type="dxa"/>
            <w:vAlign w:val="bottom"/>
            <w:shd w:val="clear" w:color="auto" w:fill="CCEEFF"/>
          </w:tcPr>
          <w:p>
            <w:pPr>
              <w:spacing w:after="0"/>
              <w:rPr>
                <w:sz w:val="14"/>
                <w:szCs w:val="14"/>
                <w:color w:val="auto"/>
              </w:rPr>
            </w:pPr>
          </w:p>
        </w:tc>
      </w:tr>
      <w:tr>
        <w:trPr>
          <w:trHeight w:val="180"/>
        </w:trPr>
        <w:tc>
          <w:tcPr>
            <w:tcW w:w="6400" w:type="dxa"/>
            <w:vAlign w:val="bottom"/>
          </w:tcPr>
          <w:p>
            <w:pPr>
              <w:spacing w:after="0"/>
              <w:rPr>
                <w:sz w:val="20"/>
                <w:szCs w:val="20"/>
                <w:color w:val="auto"/>
              </w:rPr>
            </w:pPr>
            <w:r>
              <w:rPr>
                <w:rFonts w:ascii="Arial" w:cs="Arial" w:eastAsia="Arial" w:hAnsi="Arial"/>
                <w:sz w:val="15"/>
                <w:szCs w:val="15"/>
                <w:color w:val="auto"/>
              </w:rPr>
              <w:t>Money market mutual funds</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w w:val="85"/>
              </w:rPr>
              <w:t>259.0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367.1</w:t>
            </w:r>
          </w:p>
        </w:tc>
      </w:tr>
      <w:tr>
        <w:trPr>
          <w:trHeight w:val="23"/>
        </w:trPr>
        <w:tc>
          <w:tcPr>
            <w:tcW w:w="6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Total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5"/>
              </w:rPr>
              <w:t>352.7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430.0</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Included in cash and cash equivalents are cash in transit from payment processors for credit and debit card transactions of $8.4 million and $13.3 million as of December 31,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3. Fair Value Measurements</w:t>
      </w:r>
    </w:p>
    <w:p>
      <w:pPr>
        <w:spacing w:after="0" w:line="102" w:lineRule="exact"/>
        <w:rPr>
          <w:sz w:val="20"/>
          <w:szCs w:val="20"/>
          <w:color w:val="auto"/>
        </w:rPr>
      </w:pPr>
    </w:p>
    <w:p>
      <w:pPr>
        <w:ind w:left="1120" w:right="160" w:firstLine="368"/>
        <w:spacing w:after="0" w:line="322" w:lineRule="auto"/>
        <w:rPr>
          <w:sz w:val="20"/>
          <w:szCs w:val="20"/>
          <w:color w:val="auto"/>
        </w:rPr>
      </w:pPr>
      <w:r>
        <w:rPr>
          <w:rFonts w:ascii="Arial" w:cs="Arial" w:eastAsia="Arial" w:hAnsi="Arial"/>
          <w:sz w:val="13"/>
          <w:szCs w:val="13"/>
          <w:color w:val="auto"/>
        </w:rPr>
        <w:t>The Company’s cash equivalents primarily consist of money market funds. The total cash equivalents held by the Company in money market funds as of December 31, 2016 and 2017, were $259.0 million and $367.1 million, respectively. The Company’s cash equivalents are classified within Level 1 of the fair value hierarchy. See Note 1, “Description of the Business and Summary of Significant Accounting Policies” for additional details.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4. Property and Equipment,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and equipment, net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2016</w:t>
            </w:r>
          </w:p>
        </w:tc>
        <w:tc>
          <w:tcPr>
            <w:tcW w:w="5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r>
      <w:tr>
        <w:trPr>
          <w:trHeight w:val="172"/>
        </w:trPr>
        <w:tc>
          <w:tcPr>
            <w:tcW w:w="61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Building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4"/>
                <w:szCs w:val="14"/>
                <w:color w:val="auto"/>
              </w:rPr>
            </w:pP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Datacenter and other computer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608.4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663.1</w:t>
            </w:r>
          </w:p>
        </w:tc>
        <w:tc>
          <w:tcPr>
            <w:tcW w:w="100" w:type="dxa"/>
            <w:vAlign w:val="bottom"/>
          </w:tcPr>
          <w:p>
            <w:pPr>
              <w:spacing w:after="0"/>
              <w:rPr>
                <w:sz w:val="15"/>
                <w:szCs w:val="15"/>
                <w:color w:val="auto"/>
              </w:rPr>
            </w:pP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21.2</w:t>
            </w: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8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color w:val="auto"/>
              </w:rPr>
              <w:t>114.1</w:t>
            </w: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118.6</w:t>
            </w: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process</w:t>
            </w: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5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5"/>
                <w:szCs w:val="15"/>
                <w:color w:val="auto"/>
              </w:rPr>
            </w:pPr>
          </w:p>
        </w:tc>
      </w:tr>
      <w:tr>
        <w:trPr>
          <w:trHeight w:val="182"/>
        </w:trPr>
        <w:tc>
          <w:tcPr>
            <w:tcW w:w="6140" w:type="dxa"/>
            <w:vAlign w:val="bottom"/>
          </w:tcPr>
          <w:p>
            <w:pPr>
              <w:ind w:left="300"/>
              <w:spacing w:after="0"/>
              <w:rPr>
                <w:sz w:val="20"/>
                <w:szCs w:val="20"/>
                <w:color w:val="auto"/>
              </w:rPr>
            </w:pPr>
            <w:r>
              <w:rPr>
                <w:rFonts w:ascii="Arial" w:cs="Arial" w:eastAsia="Arial" w:hAnsi="Arial"/>
                <w:sz w:val="15"/>
                <w:szCs w:val="15"/>
                <w:color w:val="auto"/>
              </w:rPr>
              <w:t>Total property and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780.6</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846.7</w:t>
            </w:r>
          </w:p>
        </w:tc>
        <w:tc>
          <w:tcPr>
            <w:tcW w:w="100" w:type="dxa"/>
            <w:vAlign w:val="bottom"/>
          </w:tcPr>
          <w:p>
            <w:pPr>
              <w:spacing w:after="0"/>
              <w:rPr>
                <w:sz w:val="15"/>
                <w:szCs w:val="15"/>
                <w:color w:val="auto"/>
              </w:rPr>
            </w:pPr>
          </w:p>
        </w:tc>
      </w:tr>
      <w:tr>
        <w:trPr>
          <w:trHeight w:val="181"/>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 and amortization</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(336.6)</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(504.8)</w:t>
            </w:r>
          </w:p>
        </w:tc>
      </w:tr>
      <w:tr>
        <w:trPr>
          <w:trHeight w:val="182"/>
        </w:trPr>
        <w:tc>
          <w:tcPr>
            <w:tcW w:w="61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444.0</w:t>
            </w:r>
          </w:p>
        </w:tc>
        <w:tc>
          <w:tcPr>
            <w:tcW w:w="5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341.9</w:t>
            </w:r>
          </w:p>
        </w:tc>
        <w:tc>
          <w:tcPr>
            <w:tcW w:w="100" w:type="dxa"/>
            <w:vAlign w:val="bottom"/>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was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$27.7 million and $25.9 million as of December 31, 2016 and 2017, respectively. The accumulated depreciation of the building totaled $8.9 million and $10.8 million as of December 31, 2016 and 2017, respectively. See Note 10, “Commitments and Contingencies,” for additional details.</w:t>
      </w:r>
    </w:p>
    <w:p>
      <w:pPr>
        <w:spacing w:after="0" w:line="148" w:lineRule="exact"/>
        <w:rPr>
          <w:sz w:val="20"/>
          <w:szCs w:val="20"/>
          <w:color w:val="auto"/>
        </w:rPr>
      </w:pPr>
    </w:p>
    <w:p>
      <w:pPr>
        <w:jc w:val="both"/>
        <w:ind w:left="1120" w:right="160" w:firstLine="368"/>
        <w:spacing w:after="0" w:line="322" w:lineRule="auto"/>
        <w:rPr>
          <w:sz w:val="20"/>
          <w:szCs w:val="20"/>
          <w:color w:val="auto"/>
        </w:rPr>
      </w:pPr>
      <w:r>
        <w:rPr>
          <w:rFonts w:ascii="Arial" w:cs="Arial" w:eastAsia="Arial" w:hAnsi="Arial"/>
          <w:sz w:val="13"/>
          <w:szCs w:val="13"/>
          <w:color w:val="auto"/>
        </w:rPr>
        <w:t>The Company leases certain infrastructure from various third parties, including from a related party, through equipment financing leases under capital leases. See Note 15, “Related Party Transactions” for additional details. Infrastructure assets as of December 31, 2016 and 2017, respectively, included a total of $474.2 million and $417.9 million acquired under capital lease agreements. These leases are capitalized in property and equipment,</w:t>
      </w:r>
    </w:p>
    <w:p>
      <w:pPr>
        <w:spacing w:after="0" w:line="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300"/>
          </w:cols>
          <w:pgMar w:left="240" w:top="408"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and the related amortization of assets under capital leases is included in depreciation and amortization expense. The accumulated depreciation of the infrastructure under capital leases totaled $224.9 million and $259.0 million as of December 31, 2016 and 2017, respectively.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Construction in process includes costs primarily related to construction of leasehold improvements for office buildings and datacenters.</w:t>
      </w:r>
    </w:p>
    <w:p>
      <w:pPr>
        <w:spacing w:after="0" w:line="200"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Depreciation expense related to property and equipment was $127.3 million, $173.8 million, and $170.7 million for the years ended December 31, 2015,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5. Business Combinations</w:t>
      </w:r>
    </w:p>
    <w:p>
      <w:pPr>
        <w:spacing w:after="0" w:line="102"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Company did not complete any business combinations during the years ended December 31, 2016 and 2017. During the year ended December 31, 2015, the Company completed the business combination described below. The results of operations for this business combination were included in the accompanying consolidated statements of operations since its acquisition date. The impact of its results to the periods presented was not material. Pro forma results of operations have not been presented because the effects of the acquisition were not material to the consolidated financial statements.</w:t>
      </w:r>
    </w:p>
    <w:p>
      <w:pPr>
        <w:spacing w:after="0" w:line="159" w:lineRule="exact"/>
        <w:rPr>
          <w:sz w:val="20"/>
          <w:szCs w:val="20"/>
          <w:color w:val="auto"/>
        </w:rPr>
      </w:pPr>
    </w:p>
    <w:p>
      <w:pPr>
        <w:jc w:val="both"/>
        <w:ind w:left="1120" w:right="20" w:firstLine="368"/>
        <w:spacing w:after="0" w:line="322" w:lineRule="auto"/>
        <w:rPr>
          <w:sz w:val="20"/>
          <w:szCs w:val="20"/>
          <w:color w:val="auto"/>
        </w:rPr>
      </w:pPr>
      <w:r>
        <w:rPr>
          <w:rFonts w:ascii="Arial" w:cs="Arial" w:eastAsia="Arial" w:hAnsi="Arial"/>
          <w:sz w:val="13"/>
          <w:szCs w:val="13"/>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The fair value of the net assets acquired from the CloudOn business combination was not material.</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6. Intangible Assets,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Intangible assets consisted of the following:</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6"/>
            <w:vMerge w:val="restart"/>
          </w:tcPr>
          <w:p>
            <w:pPr>
              <w:jc w:val="right"/>
              <w:ind w:right="400"/>
              <w:spacing w:after="0"/>
              <w:rPr>
                <w:sz w:val="20"/>
                <w:szCs w:val="20"/>
                <w:color w:val="auto"/>
              </w:rPr>
            </w:pPr>
            <w:r>
              <w:rPr>
                <w:rFonts w:ascii="Arial" w:cs="Arial" w:eastAsia="Arial" w:hAnsi="Arial"/>
                <w:sz w:val="12"/>
                <w:szCs w:val="12"/>
                <w:b w:val="1"/>
                <w:bCs w:val="1"/>
                <w:color w:val="auto"/>
                <w:w w:val="93"/>
              </w:rPr>
              <w:t>As of December 31,</w:t>
            </w:r>
          </w:p>
        </w:tc>
        <w:tc>
          <w:tcPr>
            <w:tcW w:w="760" w:type="dxa"/>
            <w:vAlign w:val="bottom"/>
            <w:gridSpan w:val="3"/>
          </w:tcPr>
          <w:p>
            <w:pPr>
              <w:jc w:val="right"/>
              <w:ind w:right="60"/>
              <w:spacing w:after="0" w:line="124" w:lineRule="exact"/>
              <w:rPr>
                <w:sz w:val="20"/>
                <w:szCs w:val="20"/>
                <w:color w:val="auto"/>
              </w:rPr>
            </w:pPr>
            <w:r>
              <w:rPr>
                <w:rFonts w:ascii="Arial" w:cs="Arial" w:eastAsia="Arial" w:hAnsi="Arial"/>
                <w:sz w:val="12"/>
                <w:szCs w:val="12"/>
                <w:b w:val="1"/>
                <w:bCs w:val="1"/>
                <w:color w:val="auto"/>
              </w:rPr>
              <w:t>remaining</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vMerge w:val="restart"/>
          </w:tcPr>
          <w:p>
            <w:pPr>
              <w:jc w:val="right"/>
              <w:ind w:right="60"/>
              <w:spacing w:after="0" w:line="128" w:lineRule="exact"/>
              <w:rPr>
                <w:sz w:val="20"/>
                <w:szCs w:val="20"/>
                <w:color w:val="auto"/>
              </w:rPr>
            </w:pPr>
            <w:r>
              <w:rPr>
                <w:rFonts w:ascii="Arial" w:cs="Arial" w:eastAsia="Arial" w:hAnsi="Arial"/>
                <w:sz w:val="12"/>
                <w:szCs w:val="12"/>
                <w:b w:val="1"/>
                <w:bCs w:val="1"/>
                <w:color w:val="auto"/>
                <w:w w:val="89"/>
              </w:rPr>
              <w:t>useful life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2"/>
                <w:szCs w:val="12"/>
                <w:b w:val="1"/>
                <w:bCs w:val="1"/>
                <w:color w:val="auto"/>
                <w:w w:val="82"/>
              </w:rPr>
              <w:t>2017</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(In years)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Developed technology</w:t>
            </w:r>
          </w:p>
        </w:tc>
        <w:tc>
          <w:tcPr>
            <w:tcW w:w="20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Patents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Software</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Assembled workforce in asset acquisitions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Licenses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Non-compete agreements, trademarks and other</w:t>
            </w:r>
          </w:p>
        </w:tc>
        <w:tc>
          <w:tcPr>
            <w:tcW w:w="2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intangibles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100.4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Accumulated amortization</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(72.9)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(83.4)</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left="1580" w:right="140"/>
        <w:spacing w:after="0" w:line="448" w:lineRule="auto"/>
        <w:rPr>
          <w:sz w:val="20"/>
          <w:szCs w:val="20"/>
          <w:color w:val="auto"/>
        </w:rPr>
      </w:pPr>
      <w:r>
        <w:rPr>
          <w:rFonts w:ascii="Arial" w:cs="Arial" w:eastAsia="Arial" w:hAnsi="Arial"/>
          <w:sz w:val="15"/>
          <w:szCs w:val="15"/>
          <w:color w:val="auto"/>
        </w:rPr>
        <w:t>Amortization expense was $22.2 million, $17.3 million, and $10.5 million for the years ended December 31, 2015, 2016, and 2017, respectively. F-21</w:t>
      </w:r>
    </w:p>
    <w:p>
      <w:pPr>
        <w:sectPr>
          <w:pgSz w:w="11900" w:h="16838" w:orient="portrait"/>
          <w:cols w:equalWidth="0" w:num="1">
            <w:col w:w="10320"/>
          </w:cols>
          <w:pgMar w:left="240" w:top="408" w:right="133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6420" w:type="dxa"/>
            <w:vAlign w:val="bottom"/>
            <w:gridSpan w:val="2"/>
          </w:tcPr>
          <w:p>
            <w:pPr>
              <w:spacing w:after="0"/>
              <w:rPr>
                <w:sz w:val="20"/>
                <w:szCs w:val="20"/>
                <w:color w:val="auto"/>
              </w:rPr>
            </w:pPr>
            <w:r>
              <w:rPr>
                <w:rFonts w:ascii="Arial" w:cs="Arial" w:eastAsia="Arial" w:hAnsi="Arial"/>
                <w:sz w:val="15"/>
                <w:szCs w:val="15"/>
                <w:color w:val="auto"/>
                <w:w w:val="98"/>
              </w:rPr>
              <w:t>Expected future amortization expense for intangible assets as of December 31, 2017 is as follows: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2019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Thereafter</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7. Goodwill</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December 31, 2016 and 2017. Goodwill consisted of the following:</w:t>
      </w:r>
    </w:p>
    <w:p>
      <w:pPr>
        <w:sectPr>
          <w:pgSz w:w="11900" w:h="16838" w:orient="portrait"/>
          <w:cols w:equalWidth="0" w:num="1">
            <w:col w:w="10320"/>
          </w:cols>
          <w:pgMar w:left="240" w:top="408" w:right="1339" w:bottom="1440" w:gutter="0" w:footer="0" w:header="0"/>
        </w:sectPr>
      </w:pP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96.1</w:t>
      </w:r>
    </w:p>
    <w:p>
      <w:pPr>
        <w:spacing w:after="0" w:line="17" w:lineRule="exact"/>
        <w:rPr>
          <w:sz w:val="20"/>
          <w:szCs w:val="20"/>
          <w:color w:val="auto"/>
        </w:rPr>
      </w:pPr>
    </w:p>
    <w:p>
      <w:pPr>
        <w:jc w:val="right"/>
        <w:ind w:right="1520"/>
        <w:spacing w:after="0"/>
        <w:rPr>
          <w:sz w:val="20"/>
          <w:szCs w:val="20"/>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96.0</w:t>
      </w:r>
    </w:p>
    <w:p>
      <w:pPr>
        <w:spacing w:after="0" w:line="17" w:lineRule="exact"/>
        <w:rPr>
          <w:sz w:val="20"/>
          <w:szCs w:val="20"/>
          <w:color w:val="auto"/>
        </w:rPr>
      </w:pPr>
    </w:p>
    <w:p>
      <w:pPr>
        <w:jc w:val="right"/>
        <w:ind w:right="15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jc w:val="right"/>
        <w:ind w:right="1580"/>
        <w:spacing w:after="0"/>
        <w:rPr>
          <w:sz w:val="20"/>
          <w:szCs w:val="20"/>
          <w:color w:val="auto"/>
        </w:rPr>
      </w:pPr>
      <w:r>
        <w:rPr>
          <w:rFonts w:ascii="Arial" w:cs="Arial" w:eastAsia="Arial" w:hAnsi="Arial"/>
          <w:sz w:val="13"/>
          <w:szCs w:val="13"/>
          <w:u w:val="single" w:color="auto"/>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22225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80" w:space="720"/>
            <w:col w:w="1920"/>
          </w:cols>
          <w:pgMar w:left="240" w:top="408" w:right="1339" w:bottom="1440" w:gutter="0" w:footer="0" w:header="0"/>
          <w:type w:val="continuous"/>
        </w:sectPr>
      </w:pP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8. Accrued and Other Current Liabilities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Accrued and other current liabilities consisted of the following:</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20" w:type="dxa"/>
            <w:vAlign w:val="bottom"/>
          </w:tcPr>
          <w:p>
            <w:pPr>
              <w:spacing w:after="0"/>
              <w:rPr>
                <w:sz w:val="10"/>
                <w:szCs w:val="10"/>
                <w:color w:val="auto"/>
              </w:rPr>
            </w:pPr>
          </w:p>
        </w:tc>
        <w:tc>
          <w:tcPr>
            <w:tcW w:w="52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Non-income taxes payable</w:t>
            </w:r>
          </w:p>
        </w:tc>
        <w:tc>
          <w:tcPr>
            <w:tcW w:w="26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legal and other external fees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11.9</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21.3</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Deferred rent</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Financing obligations, current</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Accrued infrastructure costs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property and equipment purchases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5.8</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Income taxes payable</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Other accrued and current liabilities</w:t>
            </w:r>
          </w:p>
        </w:tc>
        <w:tc>
          <w:tcPr>
            <w:tcW w:w="2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Total accrued and other current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r>
              <w:rPr>
                <w:rFonts w:ascii="Arial" w:cs="Arial" w:eastAsia="Arial" w:hAnsi="Arial"/>
                <w:sz w:val="15"/>
                <w:szCs w:val="15"/>
                <w:u w:val="single" w:color="auto"/>
                <w:color w:val="auto"/>
              </w:rPr>
              <w:t>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129.8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9. Revolving Credit Agreement</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the Company’s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320"/>
          </w:cols>
          <w:pgMar w:left="240" w:top="408" w:right="1339" w:bottom="1440" w:gutter="0" w:footer="0" w:header="0"/>
          <w:type w:val="continuous"/>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48" w:lineRule="exact"/>
        <w:rPr>
          <w:sz w:val="20"/>
          <w:szCs w:val="20"/>
          <w:color w:val="auto"/>
        </w:rPr>
      </w:pPr>
    </w:p>
    <w:p>
      <w:pPr>
        <w:ind w:left="1120" w:right="60" w:firstLine="368"/>
        <w:spacing w:after="0" w:line="305" w:lineRule="auto"/>
        <w:rPr>
          <w:sz w:val="20"/>
          <w:szCs w:val="20"/>
          <w:color w:val="auto"/>
        </w:rPr>
      </w:pPr>
      <w:r>
        <w:rPr>
          <w:rFonts w:ascii="Arial" w:cs="Arial" w:eastAsia="Arial" w:hAnsi="Arial"/>
          <w:sz w:val="13"/>
          <w:szCs w:val="13"/>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2016, and the revolving credit facility as of December 31, 2017.</w:t>
      </w:r>
    </w:p>
    <w:p>
      <w:pPr>
        <w:spacing w:after="0" w:line="13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As of December 31, 2016, the Company had an aggregate of $48.7 million of letters of credit outstanding under the 2014 revolving credit facility. As of December 31, 2017, the Company had an aggregate of $82.6 million of letters of credit outstanding under the revolving credit facility. The Company’s total available borrowing capacity under the 2014 revolving credit facility was $451.3 million as of December 31, 2016. The Company’s total available borrowing capacity under the revolving credit facility was $517.4 million as of December 31, 2017. The Company’s letters of credit expire between April of 2019 and April of 2022.</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10. Commitments and Contingencies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98"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Gross rent expense was $49.7 million, $67.9 million, $71.0 million for the years ended December 31, 2015, 2016, and 2017, respectively. Sublease income, which is recorded as a reduction of rental expense, was $0.1 million, $4.5 million, and $10.6 million for the years ended December 31, 2015, 2016, and 2017, respectively. Sublease income in excess of the Company’s original lease obligation is split with the original lessor per the terms of the sublease agreement, with the Company’s portion recorded to other income (expense), net.</w:t>
      </w:r>
    </w:p>
    <w:p>
      <w:pPr>
        <w:spacing w:after="0" w:line="158"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Other commitments include payments to third-party vendors for services related to the Company’s infrastructure, infrastructure warranty contracts, payments related to the imputed financing obligation for its previous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$8.6 million in lease payments over the next two years as of December 31, 2017. The imputed financing obligation on the Company’s consolidated balance sheets totaled $29.5 million and</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300"/>
          </w:cols>
          <w:pgMar w:left="240" w:top="407" w:right="135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$27.4 million at December 31, 2016 and 2017, respectively. The current portion of the imputed financing obligation totaled $2.4 million and</w:t>
      </w:r>
    </w:p>
    <w:p>
      <w:pPr>
        <w:spacing w:after="0" w:line="17" w:lineRule="exact"/>
        <w:rPr>
          <w:sz w:val="20"/>
          <w:szCs w:val="20"/>
          <w:color w:val="auto"/>
        </w:rPr>
      </w:pPr>
    </w:p>
    <w:p>
      <w:pPr>
        <w:ind w:left="1120" w:right="20"/>
        <w:spacing w:after="0" w:line="256" w:lineRule="auto"/>
        <w:rPr>
          <w:sz w:val="20"/>
          <w:szCs w:val="20"/>
          <w:color w:val="auto"/>
        </w:rPr>
      </w:pPr>
      <w:r>
        <w:rPr>
          <w:rFonts w:ascii="Arial" w:cs="Arial" w:eastAsia="Arial" w:hAnsi="Arial"/>
          <w:sz w:val="15"/>
          <w:szCs w:val="15"/>
          <w:color w:val="auto"/>
        </w:rPr>
        <w:t>$2.6 million as of December 31, 2016 and 2017, respectively, and is classified within accrued and other current liabilities. The non-current portion of the imputed financing obligation totaled $27.1 million and $24.8 million as of December 31, 2016 and 2017, respectively, and is classified within other non-current liabilities.</w:t>
      </w:r>
    </w:p>
    <w:p>
      <w:pPr>
        <w:spacing w:after="0" w:line="160"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In 2015, the Company entered into a note payable arrangement with a vendor to finance infrastructure totaling $11.9 million. The note payable is classified within accrued and other current liabilities. The term of the arrangement is thirty-six months and will end in the fourth quarter of 2018. Payments including interest towards the note payable totaled $4.3 million in each of the years ended December 31, 2016 and 2017. The total remaining obligation including interest was $7.5 million and $3.6 million as of December 31, 2016 and 2017, respectively. The note payable is included in other commitments in the table below.</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In 2016, the Company entered into a sale-leaseback agreement with a vendor for infrastructure. As a result of the transaction, it received</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$8.8 million in proceeds. Payments including interest towards the leaseback arrangement totaled $1.3 million and $2.5 million for the years ended</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December 31, 2016 and 2017, respectively. The total remaining obligation including interest was $8.8 million and $6.3 million as of December 31, 2016</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and 2017, respectively. The obligation is included in capital lease commitments in the table below.</w:t>
      </w:r>
    </w:p>
    <w:p>
      <w:pPr>
        <w:spacing w:after="0" w:line="179"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In 2017, the Company entered into a new lease agreement for office space in San Francisco, California, to serve as its new corporate headquarters. The Company expects to start making recurring rental payments under the lease in the third quarter of 2019. Included in the operating lease commitments below are total expected minimum obligations under the lease agreement of $827.0 million, which exclude expected tenant improvement reimbursements from the landlord of approximately $73.6 million and variable operating expenses. The Company’s obligations under the lease are supported by a $34.2 million letter of credit, which reduced the borrowing capacity under the revolving credit facility.</w:t>
      </w:r>
    </w:p>
    <w:p>
      <w:pPr>
        <w:spacing w:after="0" w:line="147"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Future minimum payments under the Company’s non-cancelable leases, financing obligations, and other commitments as of December 31, 2017, are as follows, and exclude non-cancelable rent payments from the Company’s sub-tenants: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9"/>
              </w:rPr>
              <w:t>Capital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2"/>
                <w:szCs w:val="12"/>
                <w:b w:val="1"/>
                <w:bCs w:val="1"/>
                <w:color w:val="auto"/>
                <w:w w:val="95"/>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80"/>
              <w:spacing w:after="0" w:line="124" w:lineRule="exact"/>
              <w:rPr>
                <w:sz w:val="20"/>
                <w:szCs w:val="20"/>
                <w:color w:val="auto"/>
              </w:rPr>
            </w:pPr>
            <w:r>
              <w:rPr>
                <w:rFonts w:ascii="Arial" w:cs="Arial" w:eastAsia="Arial" w:hAnsi="Arial"/>
                <w:sz w:val="12"/>
                <w:szCs w:val="12"/>
                <w:b w:val="1"/>
                <w:bCs w:val="1"/>
                <w:color w:val="auto"/>
              </w:rPr>
              <w:t>lease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208"/>
              <w:spacing w:after="0" w:line="124" w:lineRule="exact"/>
              <w:rPr>
                <w:sz w:val="20"/>
                <w:szCs w:val="20"/>
                <w:color w:val="auto"/>
              </w:rPr>
            </w:pPr>
            <w:r>
              <w:rPr>
                <w:rFonts w:ascii="Arial" w:cs="Arial" w:eastAsia="Arial" w:hAnsi="Arial"/>
                <w:sz w:val="12"/>
                <w:szCs w:val="12"/>
                <w:b w:val="1"/>
                <w:bCs w:val="1"/>
                <w:color w:val="auto"/>
              </w:rPr>
              <w:t>lease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commitments</w:t>
            </w:r>
          </w:p>
        </w:tc>
        <w:tc>
          <w:tcPr>
            <w:tcW w:w="1120" w:type="dxa"/>
            <w:vAlign w:val="bottom"/>
            <w:gridSpan w:val="3"/>
          </w:tcPr>
          <w:p>
            <w:pPr>
              <w:ind w:left="300"/>
              <w:spacing w:after="0"/>
              <w:rPr>
                <w:sz w:val="20"/>
                <w:szCs w:val="20"/>
                <w:color w:val="auto"/>
              </w:rPr>
            </w:pPr>
            <w:r>
              <w:rPr>
                <w:rFonts w:ascii="Arial" w:cs="Arial" w:eastAsia="Arial" w:hAnsi="Arial"/>
                <w:sz w:val="12"/>
                <w:szCs w:val="12"/>
                <w:b w:val="1"/>
                <w:bCs w:val="1"/>
                <w:color w:val="auto"/>
                <w:w w:val="88"/>
              </w:rPr>
              <w:t>commitments</w:t>
            </w:r>
            <w:r>
              <w:rPr>
                <w:rFonts w:ascii="Arial" w:cs="Arial" w:eastAsia="Arial" w:hAnsi="Arial"/>
                <w:sz w:val="10"/>
                <w:szCs w:val="10"/>
                <w:b w:val="1"/>
                <w:bCs w:val="1"/>
                <w:color w:val="auto"/>
                <w:w w:val="88"/>
              </w:rPr>
              <w:t>(1)</w:t>
            </w:r>
          </w:p>
        </w:tc>
        <w:tc>
          <w:tcPr>
            <w:tcW w:w="1360" w:type="dxa"/>
            <w:vAlign w:val="bottom"/>
            <w:gridSpan w:val="4"/>
          </w:tcPr>
          <w:p>
            <w:pPr>
              <w:ind w:left="620"/>
              <w:spacing w:after="0"/>
              <w:rPr>
                <w:sz w:val="20"/>
                <w:szCs w:val="20"/>
                <w:color w:val="auto"/>
              </w:rPr>
            </w:pPr>
            <w:r>
              <w:rPr>
                <w:rFonts w:ascii="Arial" w:cs="Arial" w:eastAsia="Arial" w:hAnsi="Arial"/>
                <w:sz w:val="12"/>
                <w:szCs w:val="12"/>
                <w:b w:val="1"/>
                <w:bCs w:val="1"/>
                <w:color w:val="auto"/>
                <w:w w:val="92"/>
              </w:rPr>
              <w:t>commitments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Year ended December 31:</w:t>
            </w: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2018</w:t>
            </w:r>
          </w:p>
        </w:tc>
        <w:tc>
          <w:tcPr>
            <w:tcW w:w="88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108.3</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91.5</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2022</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7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812.6</w:t>
            </w:r>
          </w:p>
        </w:tc>
        <w:tc>
          <w:tcPr>
            <w:tcW w:w="6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Future minimum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182.0</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1,349.9</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9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Less interest and taxes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line="167" w:lineRule="exact"/>
              <w:rPr>
                <w:sz w:val="20"/>
                <w:szCs w:val="20"/>
                <w:color w:val="auto"/>
              </w:rPr>
            </w:pPr>
            <w:r>
              <w:rPr>
                <w:rFonts w:ascii="Arial" w:cs="Arial" w:eastAsia="Arial" w:hAnsi="Arial"/>
                <w:sz w:val="15"/>
                <w:szCs w:val="15"/>
                <w:color w:val="auto"/>
              </w:rPr>
              <w:t>(7.7)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Less current portion of the present value of minimum lease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(102.7)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net of current portion</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63" w:lineRule="auto"/>
        <w:tabs>
          <w:tab w:leader="none" w:pos="1480" w:val="left"/>
        </w:tabs>
        <w:numPr>
          <w:ilvl w:val="0"/>
          <w:numId w:val="110"/>
        </w:numPr>
        <w:rPr>
          <w:rFonts w:ascii="Arial" w:cs="Arial" w:eastAsia="Arial" w:hAnsi="Arial"/>
          <w:sz w:val="13"/>
          <w:szCs w:val="13"/>
          <w:color w:val="auto"/>
        </w:rPr>
      </w:pPr>
      <w:r>
        <w:rPr>
          <w:rFonts w:ascii="Arial" w:cs="Arial" w:eastAsia="Arial" w:hAnsi="Arial"/>
          <w:sz w:val="15"/>
          <w:szCs w:val="15"/>
          <w:color w:val="auto"/>
        </w:rPr>
        <w:t>Consists of future non-cancelable minimum rental payments under operating leases for the Company’s offices and datacenters, excluding rent payments from the Company’s sub-tenants and variable operating expenses. Non-cancelable rent payments from the Company’s sub-tenants as of December 31, 2017, are expected to be $72.1 million through 2023.</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320"/>
          </w:cols>
          <w:pgMar w:left="240" w:top="407" w:right="133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 matters</w:t>
      </w:r>
    </w:p>
    <w:p>
      <w:pPr>
        <w:spacing w:after="0" w:line="98"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w:t>
      </w:r>
    </w:p>
    <w:p>
      <w:pPr>
        <w:spacing w:after="0" w:line="98"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11. Stockholders’ Equity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The Company’s amended and restated certificate of incorporation authorizes the issuance of Class A common stock and Class B common stock. The Company is authorized to issue 533,333,333 shares of Class A common stock and 466,666,666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98"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Company is authorized to issue 151,212,292 shares of preferred stock. The following table summarizes the convertible preferred stock outstanding and liquidation preferences as of December 31,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vMerge w:val="restart"/>
          </w:tcPr>
          <w:p>
            <w:pPr>
              <w:jc w:val="right"/>
              <w:ind w:right="590"/>
              <w:spacing w:after="0"/>
              <w:rPr>
                <w:sz w:val="20"/>
                <w:szCs w:val="20"/>
                <w:color w:val="auto"/>
              </w:rPr>
            </w:pPr>
            <w:r>
              <w:rPr>
                <w:rFonts w:ascii="Arial" w:cs="Arial" w:eastAsia="Arial" w:hAnsi="Arial"/>
                <w:sz w:val="12"/>
                <w:szCs w:val="12"/>
                <w:b w:val="1"/>
                <w:bCs w:val="1"/>
                <w:color w:val="auto"/>
                <w:w w:val="94"/>
              </w:rPr>
              <w:t>Shares</w:t>
            </w:r>
          </w:p>
        </w:tc>
        <w:tc>
          <w:tcPr>
            <w:tcW w:w="1140" w:type="dxa"/>
            <w:vAlign w:val="bottom"/>
            <w:gridSpan w:val="2"/>
          </w:tcPr>
          <w:p>
            <w:pPr>
              <w:ind w:left="440"/>
              <w:spacing w:after="0"/>
              <w:rPr>
                <w:sz w:val="20"/>
                <w:szCs w:val="20"/>
                <w:color w:val="auto"/>
              </w:rPr>
            </w:pPr>
            <w:r>
              <w:rPr>
                <w:rFonts w:ascii="Arial" w:cs="Arial" w:eastAsia="Arial" w:hAnsi="Arial"/>
                <w:sz w:val="12"/>
                <w:szCs w:val="12"/>
                <w:b w:val="1"/>
                <w:bCs w:val="1"/>
                <w:color w:val="auto"/>
              </w:rPr>
              <w:t>Per share</w:t>
            </w:r>
          </w:p>
        </w:tc>
        <w:tc>
          <w:tcPr>
            <w:tcW w:w="2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Aggregate</w:t>
            </w:r>
          </w:p>
        </w:tc>
        <w:tc>
          <w:tcPr>
            <w:tcW w:w="960" w:type="dxa"/>
            <w:vAlign w:val="bottom"/>
            <w:gridSpan w:val="3"/>
          </w:tcPr>
          <w:p>
            <w:pPr>
              <w:ind w:left="440"/>
              <w:spacing w:after="0"/>
              <w:rPr>
                <w:sz w:val="20"/>
                <w:szCs w:val="20"/>
                <w:color w:val="auto"/>
              </w:rPr>
            </w:pPr>
            <w:r>
              <w:rPr>
                <w:rFonts w:ascii="Arial" w:cs="Arial" w:eastAsia="Arial" w:hAnsi="Arial"/>
                <w:sz w:val="12"/>
                <w:szCs w:val="12"/>
                <w:b w:val="1"/>
                <w:bCs w:val="1"/>
                <w:color w:val="auto"/>
                <w:w w:val="98"/>
              </w:rPr>
              <w:t>Dividend</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1140" w:type="dxa"/>
            <w:vAlign w:val="bottom"/>
            <w:gridSpan w:val="2"/>
            <w:vMerge w:val="restart"/>
          </w:tcPr>
          <w:p>
            <w:pPr>
              <w:jc w:val="right"/>
              <w:ind w:right="185"/>
              <w:spacing w:after="0" w:line="124" w:lineRule="exact"/>
              <w:rPr>
                <w:sz w:val="20"/>
                <w:szCs w:val="20"/>
                <w:color w:val="auto"/>
              </w:rPr>
            </w:pPr>
            <w:r>
              <w:rPr>
                <w:rFonts w:ascii="Arial" w:cs="Arial" w:eastAsia="Arial" w:hAnsi="Arial"/>
                <w:sz w:val="12"/>
                <w:szCs w:val="12"/>
                <w:b w:val="1"/>
                <w:bCs w:val="1"/>
                <w:color w:val="auto"/>
              </w:rPr>
              <w:t>price at</w:t>
            </w:r>
          </w:p>
        </w:tc>
        <w:tc>
          <w:tcPr>
            <w:tcW w:w="780" w:type="dxa"/>
            <w:vAlign w:val="bottom"/>
            <w:gridSpan w:val="3"/>
            <w:vMerge w:val="restart"/>
          </w:tcPr>
          <w:p>
            <w:pPr>
              <w:ind w:left="220"/>
              <w:spacing w:after="0" w:line="124" w:lineRule="exact"/>
              <w:rPr>
                <w:sz w:val="20"/>
                <w:szCs w:val="20"/>
                <w:color w:val="auto"/>
              </w:rPr>
            </w:pPr>
            <w:r>
              <w:rPr>
                <w:rFonts w:ascii="Arial" w:cs="Arial" w:eastAsia="Arial" w:hAnsi="Arial"/>
                <w:sz w:val="12"/>
                <w:szCs w:val="12"/>
                <w:b w:val="1"/>
                <w:bCs w:val="1"/>
                <w:color w:val="auto"/>
                <w:w w:val="88"/>
              </w:rPr>
              <w:t>liquidation</w:t>
            </w:r>
          </w:p>
        </w:tc>
        <w:tc>
          <w:tcPr>
            <w:tcW w:w="960" w:type="dxa"/>
            <w:vAlign w:val="bottom"/>
            <w:gridSpan w:val="3"/>
            <w:vMerge w:val="restart"/>
          </w:tcPr>
          <w:p>
            <w:pPr>
              <w:jc w:val="right"/>
              <w:ind w:right="60"/>
              <w:spacing w:after="0" w:line="124" w:lineRule="exact"/>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Authorized</w:t>
            </w:r>
          </w:p>
        </w:tc>
        <w:tc>
          <w:tcPr>
            <w:tcW w:w="10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Outstanding</w:t>
            </w:r>
          </w:p>
        </w:tc>
        <w:tc>
          <w:tcPr>
            <w:tcW w:w="1140" w:type="dxa"/>
            <w:vAlign w:val="bottom"/>
            <w:gridSpan w:val="2"/>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issuance</w:t>
            </w:r>
          </w:p>
        </w:tc>
        <w:tc>
          <w:tcPr>
            <w:tcW w:w="2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87"/>
              </w:rPr>
              <w:t>preference</w:t>
            </w: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gridSpan w:val="6"/>
          </w:tcPr>
          <w:p>
            <w:pPr>
              <w:jc w:val="right"/>
              <w:ind w:right="225"/>
              <w:spacing w:after="0" w:line="115" w:lineRule="exact"/>
              <w:rPr>
                <w:sz w:val="20"/>
                <w:szCs w:val="20"/>
                <w:color w:val="auto"/>
              </w:rPr>
            </w:pPr>
            <w:r>
              <w:rPr>
                <w:rFonts w:ascii="Arial" w:cs="Arial" w:eastAsia="Arial" w:hAnsi="Arial"/>
                <w:sz w:val="12"/>
                <w:szCs w:val="12"/>
                <w:i w:val="1"/>
                <w:iCs w:val="1"/>
                <w:color w:val="auto"/>
                <w:w w:val="99"/>
              </w:rPr>
              <w:t>(In millions, except for per share amounts)</w:t>
            </w: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5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0.09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5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5"/>
                <w:szCs w:val="15"/>
                <w:color w:val="auto"/>
              </w:rPr>
              <w:t>Series A-1</w:t>
            </w:r>
          </w:p>
        </w:tc>
        <w:tc>
          <w:tcPr>
            <w:tcW w:w="2720" w:type="dxa"/>
            <w:vAlign w:val="bottom"/>
            <w:gridSpan w:val="2"/>
          </w:tcPr>
          <w:p>
            <w:pPr>
              <w:jc w:val="right"/>
              <w:spacing w:after="0"/>
              <w:rPr>
                <w:sz w:val="20"/>
                <w:szCs w:val="20"/>
                <w:color w:val="auto"/>
              </w:rPr>
            </w:pPr>
            <w:r>
              <w:rPr>
                <w:rFonts w:ascii="Arial" w:cs="Arial" w:eastAsia="Arial" w:hAnsi="Arial"/>
                <w:sz w:val="15"/>
                <w:szCs w:val="15"/>
                <w:color w:val="auto"/>
              </w:rPr>
              <w:t>52.0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51.9</w:t>
            </w:r>
          </w:p>
        </w:tc>
        <w:tc>
          <w:tcPr>
            <w:tcW w:w="540" w:type="dxa"/>
            <w:vAlign w:val="bottom"/>
          </w:tcPr>
          <w:p>
            <w:pPr>
              <w:spacing w:after="0"/>
              <w:rPr>
                <w:sz w:val="15"/>
                <w:szCs w:val="15"/>
                <w:color w:val="auto"/>
              </w:rPr>
            </w:pPr>
          </w:p>
        </w:tc>
        <w:tc>
          <w:tcPr>
            <w:tcW w:w="600" w:type="dxa"/>
            <w:vAlign w:val="bottom"/>
          </w:tcPr>
          <w:p>
            <w:pPr>
              <w:jc w:val="right"/>
              <w:ind w:right="145"/>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1.3</w:t>
            </w:r>
          </w:p>
        </w:tc>
        <w:tc>
          <w:tcPr>
            <w:tcW w:w="5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B</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13.58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264.8</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20"/>
                <w:szCs w:val="20"/>
                <w:color w:val="auto"/>
              </w:rPr>
            </w:pPr>
            <w:r>
              <w:rPr>
                <w:rFonts w:ascii="Arial" w:cs="Arial" w:eastAsia="Arial" w:hAnsi="Arial"/>
                <w:sz w:val="15"/>
                <w:szCs w:val="15"/>
                <w:color w:val="auto"/>
              </w:rPr>
              <w:t>Series C</w:t>
            </w:r>
          </w:p>
        </w:tc>
        <w:tc>
          <w:tcPr>
            <w:tcW w:w="21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4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540" w:type="dxa"/>
            <w:vAlign w:val="bottom"/>
          </w:tcPr>
          <w:p>
            <w:pPr>
              <w:ind w:left="42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45"/>
              <w:spacing w:after="0"/>
              <w:rPr>
                <w:sz w:val="20"/>
                <w:szCs w:val="20"/>
                <w:color w:val="auto"/>
              </w:rPr>
            </w:pPr>
            <w:r>
              <w:rPr>
                <w:rFonts w:ascii="Arial" w:cs="Arial" w:eastAsia="Arial" w:hAnsi="Arial"/>
                <w:sz w:val="15"/>
                <w:szCs w:val="15"/>
                <w:color w:val="auto"/>
                <w:w w:val="95"/>
              </w:rPr>
              <w:t>28.65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352.6</w:t>
            </w:r>
          </w:p>
        </w:tc>
        <w:tc>
          <w:tcPr>
            <w:tcW w:w="580" w:type="dxa"/>
            <w:vAlign w:val="bottom"/>
          </w:tcPr>
          <w:p>
            <w:pPr>
              <w:ind w:left="42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2.30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624.7</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540" w:type="dxa"/>
            <w:vAlign w:val="bottom"/>
          </w:tcPr>
          <w:p>
            <w:pPr>
              <w:spacing w:after="0"/>
              <w:rPr>
                <w:sz w:val="24"/>
                <w:szCs w:val="24"/>
                <w:color w:val="auto"/>
              </w:rPr>
            </w:pPr>
          </w:p>
        </w:tc>
        <w:tc>
          <w:tcPr>
            <w:tcW w:w="2720" w:type="dxa"/>
            <w:vAlign w:val="bottom"/>
            <w:gridSpan w:val="2"/>
          </w:tcPr>
          <w:p>
            <w:pPr>
              <w:jc w:val="right"/>
              <w:ind w:right="445"/>
              <w:spacing w:after="0"/>
              <w:rPr>
                <w:sz w:val="20"/>
                <w:szCs w:val="20"/>
                <w:color w:val="auto"/>
              </w:rPr>
            </w:pPr>
            <w:r>
              <w:rPr>
                <w:rFonts w:ascii="Arial" w:cs="Arial" w:eastAsia="Arial" w:hAnsi="Arial"/>
                <w:sz w:val="15"/>
                <w:szCs w:val="15"/>
                <w:color w:val="auto"/>
              </w:rPr>
              <w:t>F-25</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Significant terms of the convertible preferred stock are as follows:</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$0.09, $0.03, $13.58 and $28.65,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9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Holders of the Company’s preferred stock are entitled to receive dividends, when, as and if declared by the Company’s Board of Directors, at the applicable dividend rate of $0.02, $0.02, $1.08, and $2.30 for each share of 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w:t>
      </w:r>
    </w:p>
    <w:p>
      <w:pPr>
        <w:spacing w:after="0" w:line="98" w:lineRule="exact"/>
        <w:rPr>
          <w:sz w:val="20"/>
          <w:szCs w:val="20"/>
          <w:color w:val="auto"/>
        </w:rPr>
      </w:pPr>
    </w:p>
    <w:p>
      <w:pPr>
        <w:ind w:left="1120" w:right="100" w:firstLine="368"/>
        <w:spacing w:after="0" w:line="311" w:lineRule="auto"/>
        <w:rPr>
          <w:sz w:val="20"/>
          <w:szCs w:val="20"/>
          <w:color w:val="auto"/>
        </w:rPr>
      </w:pPr>
      <w:r>
        <w:rPr>
          <w:rFonts w:ascii="Arial" w:cs="Arial" w:eastAsia="Arial" w:hAnsi="Arial"/>
          <w:sz w:val="13"/>
          <w:szCs w:val="13"/>
          <w:color w:val="auto"/>
        </w:rPr>
        <w:t>Each holder of preferred stock shall have the right to 10 votes for each share of Class B common stock into which the shares of preferred stock held by such holder could then be converted. In addition, so long as at least 30.0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1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w:t>
      </w:r>
    </w:p>
    <w:p>
      <w:pPr>
        <w:spacing w:after="0" w:line="98"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3"/>
          <w:szCs w:val="13"/>
          <w:i w:val="1"/>
          <w:iCs w:val="1"/>
          <w:color w:val="auto"/>
        </w:rPr>
        <w:t>provided</w:t>
      </w:r>
      <w:r>
        <w:rPr>
          <w:rFonts w:ascii="Arial" w:cs="Arial" w:eastAsia="Arial" w:hAnsi="Arial"/>
          <w:sz w:val="13"/>
          <w:szCs w:val="13"/>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300"/>
          </w:cols>
          <w:pgMar w:left="240" w:top="408" w:right="135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incentive plans</w:t>
      </w:r>
    </w:p>
    <w:p>
      <w:pPr>
        <w:spacing w:after="0" w:line="98"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In August 2017, the Company increased the number of shares of common stock reserved for grant under the 2017 Plan by 6,666,666 shares. As of December 31, 2017, there were 59.9 million shares issued and outstanding under the Plan and the Prior Plan. Shares available for issuance under the Plans were 9.0 million as of December 31, 2017.</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and restricted stock activity for the Plans was as follows for the years ended December 31, 2015, 2016, and 2017:</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88"/>
              </w:rPr>
              <w:t>Options outstanding</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7"/>
              </w:rPr>
              <w:t>Restricted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color w:val="auto"/>
                <w:w w:val="92"/>
              </w:rPr>
              <w:t>Number of</w:t>
            </w: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2"/>
                <w:szCs w:val="12"/>
                <w:b w:val="1"/>
                <w:bCs w:val="1"/>
                <w:color w:val="auto"/>
                <w:w w:val="87"/>
              </w:rPr>
              <w:t>outstanding</w:t>
            </w: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jc w:val="center"/>
              <w:spacing w:after="0" w:line="100" w:lineRule="exact"/>
              <w:rPr>
                <w:sz w:val="20"/>
                <w:szCs w:val="20"/>
                <w:color w:val="auto"/>
              </w:rPr>
            </w:pPr>
            <w:r>
              <w:rPr>
                <w:rFonts w:ascii="Arial" w:cs="Arial" w:eastAsia="Arial" w:hAnsi="Arial"/>
                <w:sz w:val="11"/>
                <w:szCs w:val="11"/>
                <w:color w:val="auto"/>
                <w:w w:val="99"/>
              </w:rPr>
              <w:t>Weighted-</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3"/>
              </w:rPr>
              <w:t>shares</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92"/>
              </w:rPr>
              <w:t>Number of</w:t>
            </w:r>
          </w:p>
        </w:tc>
        <w:tc>
          <w:tcPr>
            <w:tcW w:w="900" w:type="dxa"/>
            <w:vAlign w:val="bottom"/>
            <w:gridSpan w:val="2"/>
          </w:tcPr>
          <w:p>
            <w:pPr>
              <w:ind w:left="140"/>
              <w:spacing w:after="0" w:line="124" w:lineRule="exact"/>
              <w:rPr>
                <w:sz w:val="20"/>
                <w:szCs w:val="20"/>
                <w:color w:val="auto"/>
              </w:rPr>
            </w:pPr>
            <w:r>
              <w:rPr>
                <w:rFonts w:ascii="Arial" w:cs="Arial" w:eastAsia="Arial" w:hAnsi="Arial"/>
                <w:sz w:val="12"/>
                <w:szCs w:val="12"/>
                <w:color w:val="auto"/>
              </w:rPr>
              <w:t>Weighted-</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82"/>
              </w:rPr>
              <w:t>average</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20"/>
              <w:spacing w:after="0" w:line="124" w:lineRule="exact"/>
              <w:rPr>
                <w:sz w:val="20"/>
                <w:szCs w:val="20"/>
                <w:color w:val="auto"/>
              </w:rPr>
            </w:pPr>
            <w:r>
              <w:rPr>
                <w:rFonts w:ascii="Arial" w:cs="Arial" w:eastAsia="Arial" w:hAnsi="Arial"/>
                <w:sz w:val="12"/>
                <w:szCs w:val="12"/>
                <w:color w:val="auto"/>
                <w:w w:val="98"/>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gridSpan w:val="3"/>
          </w:tcPr>
          <w:p>
            <w:pPr>
              <w:jc w:val="center"/>
              <w:ind w:left="26"/>
              <w:spacing w:after="0" w:line="124" w:lineRule="exact"/>
              <w:rPr>
                <w:sz w:val="20"/>
                <w:szCs w:val="20"/>
                <w:color w:val="auto"/>
              </w:rPr>
            </w:pPr>
            <w:r>
              <w:rPr>
                <w:rFonts w:ascii="Arial" w:cs="Arial" w:eastAsia="Arial" w:hAnsi="Arial"/>
                <w:sz w:val="12"/>
                <w:szCs w:val="12"/>
                <w:color w:val="auto"/>
                <w:w w:val="92"/>
              </w:rPr>
              <w:t>available for</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83"/>
              </w:rPr>
              <w:t>shares</w:t>
            </w:r>
          </w:p>
        </w:tc>
        <w:tc>
          <w:tcPr>
            <w:tcW w:w="900" w:type="dxa"/>
            <w:vAlign w:val="bottom"/>
            <w:gridSpan w:val="2"/>
          </w:tcPr>
          <w:p>
            <w:pPr>
              <w:jc w:val="center"/>
              <w:ind w:right="46"/>
              <w:spacing w:after="0" w:line="124" w:lineRule="exact"/>
              <w:rPr>
                <w:sz w:val="20"/>
                <w:szCs w:val="20"/>
                <w:color w:val="auto"/>
              </w:rPr>
            </w:pPr>
            <w:r>
              <w:rPr>
                <w:rFonts w:ascii="Arial" w:cs="Arial" w:eastAsia="Arial" w:hAnsi="Arial"/>
                <w:sz w:val="12"/>
                <w:szCs w:val="12"/>
                <w:color w:val="auto"/>
                <w:w w:val="87"/>
              </w:rPr>
              <w:t>average</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91"/>
              </w:rPr>
              <w:t>remaining</w:t>
            </w:r>
          </w:p>
        </w:tc>
        <w:tc>
          <w:tcPr>
            <w:tcW w:w="20" w:type="dxa"/>
            <w:vAlign w:val="bottom"/>
          </w:tcPr>
          <w:p>
            <w:pPr>
              <w:spacing w:after="0"/>
              <w:rPr>
                <w:sz w:val="10"/>
                <w:szCs w:val="10"/>
                <w:color w:val="auto"/>
              </w:rPr>
            </w:pPr>
          </w:p>
        </w:tc>
        <w:tc>
          <w:tcPr>
            <w:tcW w:w="76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2"/>
              </w:rPr>
              <w:t>Number of</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87"/>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8"/>
              </w:rPr>
              <w:t>issuance</w:t>
            </w:r>
          </w:p>
        </w:tc>
        <w:tc>
          <w:tcPr>
            <w:tcW w:w="8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0"/>
              </w:rPr>
              <w:t>outstanding</w:t>
            </w:r>
          </w:p>
        </w:tc>
        <w:tc>
          <w:tcPr>
            <w:tcW w:w="900" w:type="dxa"/>
            <w:vAlign w:val="bottom"/>
            <w:gridSpan w:val="2"/>
          </w:tcPr>
          <w:p>
            <w:pPr>
              <w:jc w:val="center"/>
              <w:ind w:right="66"/>
              <w:spacing w:after="0" w:line="124" w:lineRule="exact"/>
              <w:rPr>
                <w:sz w:val="20"/>
                <w:szCs w:val="20"/>
                <w:color w:val="auto"/>
              </w:rPr>
            </w:pPr>
            <w:r>
              <w:rPr>
                <w:rFonts w:ascii="Arial" w:cs="Arial" w:eastAsia="Arial" w:hAnsi="Arial"/>
                <w:sz w:val="12"/>
                <w:szCs w:val="12"/>
                <w:color w:val="auto"/>
                <w:w w:val="89"/>
              </w:rPr>
              <w:t>exercise</w:t>
            </w:r>
          </w:p>
        </w:tc>
        <w:tc>
          <w:tcPr>
            <w:tcW w:w="80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w w:val="88"/>
              </w:rPr>
              <w:t>contractual</w:t>
            </w:r>
          </w:p>
        </w:tc>
        <w:tc>
          <w:tcPr>
            <w:tcW w:w="20" w:type="dxa"/>
            <w:vAlign w:val="bottom"/>
          </w:tcPr>
          <w:p>
            <w:pPr>
              <w:spacing w:after="0"/>
              <w:rPr>
                <w:sz w:val="10"/>
                <w:szCs w:val="10"/>
                <w:color w:val="auto"/>
              </w:rPr>
            </w:pPr>
          </w:p>
        </w:tc>
        <w:tc>
          <w:tcPr>
            <w:tcW w:w="76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Plan</w:t>
            </w:r>
          </w:p>
        </w:tc>
        <w:tc>
          <w:tcPr>
            <w:tcW w:w="680" w:type="dxa"/>
            <w:vAlign w:val="bottom"/>
            <w:gridSpan w:val="3"/>
          </w:tcPr>
          <w:p>
            <w:pPr>
              <w:ind w:left="140"/>
              <w:spacing w:after="0" w:line="124" w:lineRule="exact"/>
              <w:rPr>
                <w:sz w:val="20"/>
                <w:szCs w:val="20"/>
                <w:color w:val="auto"/>
              </w:rPr>
            </w:pPr>
            <w:r>
              <w:rPr>
                <w:rFonts w:ascii="Arial" w:cs="Arial" w:eastAsia="Arial" w:hAnsi="Arial"/>
                <w:sz w:val="12"/>
                <w:szCs w:val="12"/>
                <w:color w:val="auto"/>
                <w:w w:val="96"/>
              </w:rPr>
              <w:t>grant date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0"/>
              </w:rPr>
              <w:t>under the</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86"/>
              </w:rPr>
              <w:t>under the</w:t>
            </w:r>
          </w:p>
        </w:tc>
        <w:tc>
          <w:tcPr>
            <w:tcW w:w="240" w:type="dxa"/>
            <w:vAlign w:val="bottom"/>
          </w:tcPr>
          <w:p>
            <w:pPr>
              <w:spacing w:after="0"/>
              <w:rPr>
                <w:sz w:val="10"/>
                <w:szCs w:val="10"/>
                <w:color w:val="auto"/>
              </w:rPr>
            </w:pPr>
          </w:p>
        </w:tc>
        <w:tc>
          <w:tcPr>
            <w:tcW w:w="660" w:type="dxa"/>
            <w:vAlign w:val="bottom"/>
          </w:tcPr>
          <w:p>
            <w:pPr>
              <w:jc w:val="center"/>
              <w:ind w:right="306"/>
              <w:spacing w:after="0" w:line="124" w:lineRule="exact"/>
              <w:rPr>
                <w:sz w:val="20"/>
                <w:szCs w:val="20"/>
                <w:color w:val="auto"/>
              </w:rPr>
            </w:pPr>
            <w:r>
              <w:rPr>
                <w:rFonts w:ascii="Arial" w:cs="Arial" w:eastAsia="Arial" w:hAnsi="Arial"/>
                <w:sz w:val="12"/>
                <w:szCs w:val="12"/>
                <w:color w:val="auto"/>
                <w:w w:val="92"/>
              </w:rPr>
              <w:t>price</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term</w:t>
            </w:r>
          </w:p>
        </w:tc>
        <w:tc>
          <w:tcPr>
            <w:tcW w:w="2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Arial" w:cs="Arial" w:eastAsia="Arial" w:hAnsi="Arial"/>
                <w:sz w:val="12"/>
                <w:szCs w:val="12"/>
                <w:color w:val="auto"/>
                <w:w w:val="83"/>
              </w:rPr>
              <w:t>shares</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4"/>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Plans</w:t>
            </w:r>
          </w:p>
        </w:tc>
        <w:tc>
          <w:tcPr>
            <w:tcW w:w="1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Plans</w:t>
            </w:r>
          </w:p>
        </w:tc>
        <w:tc>
          <w:tcPr>
            <w:tcW w:w="900" w:type="dxa"/>
            <w:vAlign w:val="bottom"/>
            <w:gridSpan w:val="2"/>
          </w:tcPr>
          <w:p>
            <w:pPr>
              <w:jc w:val="center"/>
              <w:ind w:right="66"/>
              <w:spacing w:after="0"/>
              <w:rPr>
                <w:sz w:val="20"/>
                <w:szCs w:val="20"/>
                <w:color w:val="auto"/>
              </w:rPr>
            </w:pPr>
            <w:r>
              <w:rPr>
                <w:rFonts w:ascii="Arial" w:cs="Arial" w:eastAsia="Arial" w:hAnsi="Arial"/>
                <w:sz w:val="12"/>
                <w:szCs w:val="12"/>
                <w:color w:val="auto"/>
                <w:w w:val="86"/>
              </w:rPr>
              <w:t>per share</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(In years)</w:t>
            </w:r>
          </w:p>
        </w:tc>
        <w:tc>
          <w:tcPr>
            <w:tcW w:w="780" w:type="dxa"/>
            <w:vAlign w:val="bottom"/>
            <w:gridSpan w:val="3"/>
          </w:tcPr>
          <w:p>
            <w:pPr>
              <w:jc w:val="center"/>
              <w:ind w:right="180"/>
              <w:spacing w:after="0"/>
              <w:rPr>
                <w:sz w:val="20"/>
                <w:szCs w:val="20"/>
                <w:color w:val="auto"/>
              </w:rPr>
            </w:pPr>
            <w:r>
              <w:rPr>
                <w:rFonts w:ascii="Arial" w:cs="Arial" w:eastAsia="Arial" w:hAnsi="Arial"/>
                <w:sz w:val="12"/>
                <w:szCs w:val="12"/>
                <w:color w:val="auto"/>
                <w:w w:val="90"/>
              </w:rPr>
              <w:t>outstanding</w:t>
            </w:r>
          </w:p>
        </w:tc>
        <w:tc>
          <w:tcPr>
            <w:tcW w:w="680" w:type="dxa"/>
            <w:vAlign w:val="bottom"/>
            <w:gridSpan w:val="3"/>
          </w:tcPr>
          <w:p>
            <w:pPr>
              <w:jc w:val="center"/>
              <w:ind w:left="12"/>
              <w:spacing w:after="0"/>
              <w:rPr>
                <w:sz w:val="20"/>
                <w:szCs w:val="20"/>
                <w:color w:val="auto"/>
              </w:rPr>
            </w:pPr>
            <w:r>
              <w:rPr>
                <w:rFonts w:ascii="Arial" w:cs="Arial" w:eastAsia="Arial" w:hAnsi="Arial"/>
                <w:sz w:val="12"/>
                <w:szCs w:val="12"/>
                <w:color w:val="auto"/>
                <w:w w:val="86"/>
              </w:rPr>
              <w:t>per share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6"/>
          </w:tcPr>
          <w:p>
            <w:pPr>
              <w:ind w:left="520"/>
              <w:spacing w:after="0" w:line="115" w:lineRule="exact"/>
              <w:rPr>
                <w:sz w:val="20"/>
                <w:szCs w:val="20"/>
                <w:color w:val="auto"/>
              </w:rPr>
            </w:pPr>
            <w:r>
              <w:rPr>
                <w:rFonts w:ascii="Arial" w:cs="Arial" w:eastAsia="Arial" w:hAnsi="Arial"/>
                <w:sz w:val="12"/>
                <w:szCs w:val="12"/>
                <w:i w:val="1"/>
                <w:iCs w:val="1"/>
                <w:color w:val="auto"/>
                <w:w w:val="91"/>
              </w:rPr>
              <w:t>(In millions, except per share amounts)</w:t>
            </w: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15.92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13.70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granted</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25.23</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(21.0)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22.74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RSAs exercised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(0.4)</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6.77</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16.31</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Repurchased under the Plan</w:t>
            </w:r>
          </w:p>
        </w:tc>
        <w:tc>
          <w:tcPr>
            <w:tcW w:w="2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5"/>
                <w:szCs w:val="15"/>
                <w:color w:val="auto"/>
              </w:rPr>
              <w:t>Balance at December 31, 2015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17.51</w:t>
            </w:r>
          </w:p>
        </w:tc>
        <w:tc>
          <w:tcPr>
            <w:tcW w:w="560" w:type="dxa"/>
            <w:vAlign w:val="bottom"/>
          </w:tcPr>
          <w:p>
            <w:pPr>
              <w:jc w:val="right"/>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22.04</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20.06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(16.6)</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16.6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2016</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10.68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16.41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exercised and RSUs released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6.00</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(14.6)</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17.12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17.44</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5"/>
              </w:rPr>
              <w:t>Shares repurchased for tax withholdings on release of restricted</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2017</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10.52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Vested at December 31, 2017</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ind w:right="186"/>
              <w:spacing w:after="0"/>
              <w:rPr>
                <w:sz w:val="20"/>
                <w:szCs w:val="20"/>
                <w:color w:val="auto"/>
              </w:rPr>
            </w:pPr>
            <w:r>
              <w:rPr>
                <w:rFonts w:ascii="Arial" w:cs="Arial" w:eastAsia="Arial" w:hAnsi="Arial"/>
                <w:sz w:val="15"/>
                <w:szCs w:val="15"/>
                <w:color w:val="auto"/>
              </w:rPr>
              <w:t>10.11</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5"/>
        </w:trPr>
        <w:tc>
          <w:tcPr>
            <w:tcW w:w="4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5"/>
                <w:szCs w:val="15"/>
                <w:color w:val="auto"/>
              </w:rPr>
              <w:t>4.8</w:t>
            </w:r>
          </w:p>
        </w:tc>
        <w:tc>
          <w:tcPr>
            <w:tcW w:w="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60"/>
              <w:spacing w:after="0" w:line="165" w:lineRule="exact"/>
              <w:rPr>
                <w:sz w:val="20"/>
                <w:szCs w:val="20"/>
                <w:color w:val="auto"/>
              </w:rPr>
            </w:pPr>
            <w:r>
              <w:rPr>
                <w:rFonts w:ascii="Arial" w:cs="Arial" w:eastAsia="Arial" w:hAnsi="Arial"/>
                <w:sz w:val="15"/>
                <w:szCs w:val="15"/>
                <w:color w:val="auto"/>
              </w:rPr>
              <w:t>—</w:t>
            </w:r>
          </w:p>
        </w:tc>
        <w:tc>
          <w:tcPr>
            <w:tcW w:w="2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Unvested at December 31, 2017</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line="167" w:lineRule="exact"/>
              <w:rPr>
                <w:sz w:val="20"/>
                <w:szCs w:val="20"/>
                <w:color w:val="auto"/>
              </w:rPr>
            </w:pPr>
            <w:r>
              <w:rPr>
                <w:rFonts w:ascii="Arial" w:cs="Arial" w:eastAsia="Arial" w:hAnsi="Arial"/>
                <w:sz w:val="15"/>
                <w:szCs w:val="15"/>
                <w:color w:val="auto"/>
              </w:rPr>
              <w:t>21.11</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line="167"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Two-tier RSUs are included in the unvested share counts in the table above as the Performance Vesting Condition was not probable.</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320"/>
          </w:cols>
          <w:pgMar w:left="240" w:top="408" w:right="133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The following table summarizes information about the pre-tax intrinsic value of options exercised and the weighted-average grant date fair value per share of options granted during the years ended December 31, 2015, 2016, and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2"/>
                <w:szCs w:val="12"/>
                <w:b w:val="1"/>
                <w:bCs w:val="1"/>
                <w:color w:val="auto"/>
                <w:w w:val="89"/>
              </w:rPr>
              <w:t>December 31,</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w w:val="82"/>
              </w:rPr>
              <w:t>2015</w:t>
            </w:r>
          </w:p>
        </w:tc>
        <w:tc>
          <w:tcPr>
            <w:tcW w:w="52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0"/>
                <w:szCs w:val="10"/>
                <w:color w:val="auto"/>
              </w:rPr>
            </w:pPr>
          </w:p>
        </w:tc>
        <w:tc>
          <w:tcPr>
            <w:tcW w:w="36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1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Intrinsic value of options exercised</w:t>
            </w:r>
          </w:p>
        </w:tc>
        <w:tc>
          <w:tcPr>
            <w:tcW w:w="1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83"/>
              </w:rPr>
              <w:t>$ 1.2</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6100" w:type="dxa"/>
            <w:vAlign w:val="bottom"/>
          </w:tcPr>
          <w:p>
            <w:pPr>
              <w:spacing w:after="0"/>
              <w:rPr>
                <w:sz w:val="20"/>
                <w:szCs w:val="20"/>
                <w:color w:val="auto"/>
              </w:rPr>
            </w:pPr>
            <w:r>
              <w:rPr>
                <w:rFonts w:ascii="Arial" w:cs="Arial" w:eastAsia="Arial" w:hAnsi="Arial"/>
                <w:sz w:val="15"/>
                <w:szCs w:val="15"/>
                <w:color w:val="auto"/>
              </w:rPr>
              <w:t>Weighted-average grant date fair value per share of stock options granted</w:t>
            </w:r>
            <w:r>
              <w:rPr>
                <w:rFonts w:ascii="Arial" w:cs="Arial" w:eastAsia="Arial" w:hAnsi="Arial"/>
                <w:sz w:val="12"/>
                <w:szCs w:val="12"/>
                <w:color w:val="auto"/>
              </w:rPr>
              <w:t>(1)</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85"/>
              </w:rPr>
              <w:t>12.27</w:t>
            </w:r>
          </w:p>
        </w:tc>
        <w:tc>
          <w:tcPr>
            <w:tcW w:w="70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400" w:type="dxa"/>
            <w:vAlign w:val="bottom"/>
            <w:gridSpan w:val="3"/>
          </w:tcPr>
          <w:p>
            <w:pPr>
              <w:ind w:left="40"/>
              <w:spacing w:after="0"/>
              <w:rPr>
                <w:sz w:val="20"/>
                <w:szCs w:val="20"/>
                <w:color w:val="auto"/>
              </w:rPr>
            </w:pPr>
            <w:r>
              <w:rPr>
                <w:rFonts w:ascii="Arial" w:cs="Arial" w:eastAsia="Arial" w:hAnsi="Arial"/>
                <w:sz w:val="15"/>
                <w:szCs w:val="15"/>
                <w:color w:val="auto"/>
              </w:rPr>
              <w:t>$—</w:t>
            </w:r>
          </w:p>
        </w:tc>
      </w:tr>
    </w:tbl>
    <w:p>
      <w:pPr>
        <w:spacing w:after="0" w:line="183" w:lineRule="exact"/>
        <w:rPr>
          <w:sz w:val="20"/>
          <w:szCs w:val="20"/>
          <w:color w:val="auto"/>
        </w:rPr>
      </w:pPr>
    </w:p>
    <w:p>
      <w:pPr>
        <w:ind w:left="1480" w:right="20" w:hanging="368"/>
        <w:spacing w:after="0" w:line="275" w:lineRule="auto"/>
        <w:tabs>
          <w:tab w:leader="none" w:pos="1480" w:val="left"/>
        </w:tabs>
        <w:numPr>
          <w:ilvl w:val="0"/>
          <w:numId w:val="111"/>
        </w:numPr>
        <w:rPr>
          <w:rFonts w:ascii="Arial" w:cs="Arial" w:eastAsia="Arial" w:hAnsi="Arial"/>
          <w:sz w:val="13"/>
          <w:szCs w:val="13"/>
          <w:color w:val="auto"/>
        </w:rPr>
      </w:pPr>
      <w:r>
        <w:rPr>
          <w:rFonts w:ascii="Arial" w:cs="Arial" w:eastAsia="Arial" w:hAnsi="Arial"/>
          <w:sz w:val="15"/>
          <w:szCs w:val="15"/>
          <w:color w:val="auto"/>
        </w:rPr>
        <w:t>The weighted-average grant date fair value per share of stock options granted is calculated, as of the stock option grant date, using the BSM option pricing model. The Company did not grant stock options during the years ended December 31, 2016 and 2017.</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As of December 31, 2017, unamortized stock-based compensation expense related to unvested stock options, restricted stock awards (excluding the Co-Founder Grants), and one-tier RSUs was $386.8 million. The weighted-average period over which such compensation expense will be recognized if the requisite service is provided is approximately 2.8 years as of December 31, 2017.</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As of December 31, 2017, all compensation expense related to the Company’s two-tier RSUs remained unrecognized because the Performance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Vesting Condition was not satisfied. Approximately 26.1 million two-tier RSUs had met their service-based vesting condition as of December 31, 2017,</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but not the Performance Vesting Condition. If the Performance Vesting Condition had been satisfied on December 31, 2017, the Company would have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recorded $415.6 million of stock-based compensation expense using the accelerated attribution method related to the two-tier RSUs. As of</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December 31, 2017, approximately 2.1 million two-tier RSUs had not met their service-based vesting condition. If the Performance Vesting Condition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had been satisfied on these two-tier RSUs as of December 31, 2017, unamortized stock-based compensation expense of $5.6 million would be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recognized over a weighted-average period of approximately one year if the requisite service is provided.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Co-Founder Grants</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within these financial statements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12 as the right to the cumulative declared dividends is forfeitable if the service condition is not met.</w:t>
      </w:r>
    </w:p>
    <w:p>
      <w:pPr>
        <w:spacing w:after="0" w:line="162"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The Performance Period begins on the first trading day following the later of (a) the expiration of the lock-up period following the first date the Company’s shares are traded on an established national securities exchange or automated quotation system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320"/>
          </w:cols>
          <w:pgMar w:left="240" w:top="408" w:right="133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Award modifications</w:t>
      </w:r>
    </w:p>
    <w:p>
      <w:pPr>
        <w:spacing w:after="0" w:line="98" w:lineRule="exact"/>
        <w:rPr>
          <w:sz w:val="20"/>
          <w:szCs w:val="20"/>
          <w:color w:val="auto"/>
        </w:rPr>
      </w:pPr>
    </w:p>
    <w:p>
      <w:pPr>
        <w:ind w:left="1120" w:right="100" w:firstLine="368"/>
        <w:spacing w:after="0" w:line="297" w:lineRule="auto"/>
        <w:rPr>
          <w:sz w:val="20"/>
          <w:szCs w:val="20"/>
          <w:color w:val="auto"/>
        </w:rPr>
      </w:pPr>
      <w:r>
        <w:rPr>
          <w:rFonts w:ascii="Arial" w:cs="Arial" w:eastAsia="Arial" w:hAnsi="Arial"/>
          <w:sz w:val="13"/>
          <w:szCs w:val="13"/>
          <w:color w:val="auto"/>
        </w:rPr>
        <w:t>During the year ended December 31, 2016, the Company’s Board of Directors voted to approve the exchange of stock options previously granted to an executive officer under the Plan for one-tier RSUs. In total, options to purchase 4.3 million shares of common stock were exchanged for</w:t>
      </w:r>
    </w:p>
    <w:p>
      <w:pPr>
        <w:ind w:left="1120" w:right="180"/>
        <w:spacing w:after="0" w:line="253" w:lineRule="auto"/>
        <w:rPr>
          <w:sz w:val="20"/>
          <w:szCs w:val="20"/>
          <w:color w:val="auto"/>
        </w:rPr>
      </w:pPr>
      <w:r>
        <w:rPr>
          <w:rFonts w:ascii="Arial" w:cs="Arial" w:eastAsia="Arial" w:hAnsi="Arial"/>
          <w:sz w:val="15"/>
          <w:szCs w:val="15"/>
          <w:color w:val="auto"/>
        </w:rPr>
        <w:t>2.2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December 31, 2017, the total unamortized expense relating to these awards was $2.4 million.</w:t>
      </w:r>
    </w:p>
    <w:p>
      <w:pPr>
        <w:spacing w:after="0" w:line="164" w:lineRule="exact"/>
        <w:rPr>
          <w:sz w:val="20"/>
          <w:szCs w:val="20"/>
          <w:color w:val="auto"/>
        </w:rPr>
      </w:pPr>
    </w:p>
    <w:p>
      <w:pPr>
        <w:ind w:left="1120" w:right="140" w:firstLine="368"/>
        <w:spacing w:after="0" w:line="277" w:lineRule="auto"/>
        <w:rPr>
          <w:sz w:val="20"/>
          <w:szCs w:val="20"/>
          <w:color w:val="auto"/>
        </w:rPr>
      </w:pPr>
      <w:r>
        <w:rPr>
          <w:rFonts w:ascii="Arial" w:cs="Arial" w:eastAsia="Arial" w:hAnsi="Arial"/>
          <w:sz w:val="14"/>
          <w:szCs w:val="14"/>
          <w:color w:val="auto"/>
        </w:rPr>
        <w:t>Additionally, during the year ended December 31, 2016, the Board of Directors voted to approve a continuation of vesting upon change in employment status clause for an executive officer who had previously provided services to the Company. Under this clause, 0.4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148"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During the year ended December 31, 2017, the Company’s Board of Directors voted to approve a modification of vesting schedules for certain unvested one-tier and two-tier RSUs to align the vesting schedules for all RSUs to vest once per quarter. As a result of this modification, the Company’s unamortized stock-based compensation expense related to one-tier RSUs increased by $3.2 million, which will be recognized over a weighted-average period of 2.8 years if and when the awards vest. The total unamortized stock-based compensation expense related to two-tier RSUs decreased by $9.5 million. The unamortized amount will be recognized over a period of 0.9 years if and when the awards vest.</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320"/>
          </w:cols>
          <w:pgMar w:left="240" w:top="408" w:right="133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12. Net Loss Per Share</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2015</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2017</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4"/>
          </w:tcPr>
          <w:p>
            <w:pPr>
              <w:jc w:val="center"/>
              <w:ind w:right="80"/>
              <w:spacing w:after="0" w:line="115" w:lineRule="exact"/>
              <w:rPr>
                <w:sz w:val="20"/>
                <w:szCs w:val="20"/>
                <w:color w:val="auto"/>
              </w:rPr>
            </w:pPr>
            <w:r>
              <w:rPr>
                <w:rFonts w:ascii="Arial" w:cs="Arial" w:eastAsia="Arial" w:hAnsi="Arial"/>
                <w:sz w:val="12"/>
                <w:szCs w:val="12"/>
                <w:i w:val="1"/>
                <w:iCs w:val="1"/>
                <w:color w:val="auto"/>
                <w:w w:val="90"/>
              </w:rPr>
              <w:t>(In millions, except per share amounts)</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580" w:type="dxa"/>
            <w:vAlign w:val="bottom"/>
            <w:gridSpan w:val="3"/>
          </w:tcPr>
          <w:p>
            <w:pPr>
              <w:jc w:val="right"/>
              <w:ind w:right="160"/>
              <w:spacing w:after="0" w:line="115" w:lineRule="exact"/>
              <w:rPr>
                <w:sz w:val="20"/>
                <w:szCs w:val="20"/>
                <w:color w:val="auto"/>
              </w:rPr>
            </w:pPr>
            <w:r>
              <w:rPr>
                <w:rFonts w:ascii="Arial" w:cs="Arial" w:eastAsia="Arial" w:hAnsi="Arial"/>
                <w:sz w:val="12"/>
                <w:szCs w:val="12"/>
                <w:color w:val="auto"/>
                <w:w w:val="96"/>
              </w:rPr>
              <w:t>Class B</w:t>
            </w:r>
          </w:p>
        </w:tc>
        <w:tc>
          <w:tcPr>
            <w:tcW w:w="16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660" w:type="dxa"/>
            <w:vAlign w:val="bottom"/>
            <w:gridSpan w:val="3"/>
          </w:tcPr>
          <w:p>
            <w:pPr>
              <w:jc w:val="right"/>
              <w:ind w:right="240"/>
              <w:spacing w:after="0" w:line="115" w:lineRule="exact"/>
              <w:rPr>
                <w:sz w:val="20"/>
                <w:szCs w:val="20"/>
                <w:color w:val="auto"/>
              </w:rPr>
            </w:pPr>
            <w:r>
              <w:rPr>
                <w:rFonts w:ascii="Arial" w:cs="Arial" w:eastAsia="Arial" w:hAnsi="Arial"/>
                <w:sz w:val="12"/>
                <w:szCs w:val="12"/>
                <w:color w:val="auto"/>
                <w:w w:val="96"/>
              </w:rPr>
              <w:t>Class B</w:t>
            </w:r>
          </w:p>
        </w:tc>
        <w:tc>
          <w:tcPr>
            <w:tcW w:w="10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480" w:type="dxa"/>
            <w:vAlign w:val="bottom"/>
            <w:gridSpan w:val="2"/>
          </w:tcPr>
          <w:p>
            <w:pPr>
              <w:jc w:val="right"/>
              <w:spacing w:after="0" w:line="115" w:lineRule="exact"/>
              <w:rPr>
                <w:sz w:val="20"/>
                <w:szCs w:val="20"/>
                <w:color w:val="auto"/>
              </w:rPr>
            </w:pPr>
            <w:r>
              <w:rPr>
                <w:rFonts w:ascii="Arial" w:cs="Arial" w:eastAsia="Arial" w:hAnsi="Arial"/>
                <w:sz w:val="12"/>
                <w:szCs w:val="12"/>
                <w:color w:val="auto"/>
                <w:w w:val="96"/>
              </w:rPr>
              <w:t>Class B</w:t>
            </w:r>
          </w:p>
        </w:tc>
        <w:tc>
          <w:tcPr>
            <w:tcW w:w="80" w:type="dxa"/>
            <w:vAlign w:val="bottom"/>
          </w:tcPr>
          <w:p>
            <w:pPr>
              <w:spacing w:after="0"/>
              <w:rPr>
                <w:sz w:val="10"/>
                <w:szCs w:val="10"/>
                <w:color w:val="auto"/>
              </w:rPr>
            </w:pPr>
          </w:p>
        </w:tc>
      </w:tr>
      <w:tr>
        <w:trPr>
          <w:trHeight w:val="160"/>
        </w:trPr>
        <w:tc>
          <w:tcPr>
            <w:tcW w:w="50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80"/>
        </w:trPr>
        <w:tc>
          <w:tcPr>
            <w:tcW w:w="504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(9.7)</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(316.2)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(204.1)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(108.1)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Denominator:</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0"/>
        </w:trPr>
        <w:tc>
          <w:tcPr>
            <w:tcW w:w="5040" w:type="dxa"/>
            <w:vAlign w:val="bottom"/>
          </w:tcPr>
          <w:p>
            <w:pPr>
              <w:spacing w:after="0" w:line="170" w:lineRule="exact"/>
              <w:rPr>
                <w:sz w:val="20"/>
                <w:szCs w:val="20"/>
                <w:color w:val="auto"/>
              </w:rPr>
            </w:pPr>
            <w:r>
              <w:rPr>
                <w:rFonts w:ascii="Arial" w:cs="Arial" w:eastAsia="Arial" w:hAnsi="Arial"/>
                <w:sz w:val="15"/>
                <w:szCs w:val="15"/>
                <w:color w:val="auto"/>
                <w:w w:val="90"/>
              </w:rPr>
              <w:t>Weighted-average number of common shares outstanding used in computing basic</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5040" w:type="dxa"/>
            <w:vAlign w:val="bottom"/>
          </w:tcPr>
          <w:p>
            <w:pPr>
              <w:ind w:left="140"/>
              <w:spacing w:after="0"/>
              <w:rPr>
                <w:sz w:val="20"/>
                <w:szCs w:val="20"/>
                <w:color w:val="auto"/>
              </w:rPr>
            </w:pPr>
            <w:r>
              <w:rPr>
                <w:rFonts w:ascii="Arial" w:cs="Arial" w:eastAsia="Arial" w:hAnsi="Arial"/>
                <w:sz w:val="15"/>
                <w:szCs w:val="15"/>
                <w:color w:val="auto"/>
              </w:rPr>
              <w:t>and diluted net loss per common share</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189.6</w:t>
            </w:r>
          </w:p>
        </w:tc>
        <w:tc>
          <w:tcPr>
            <w:tcW w:w="80" w:type="dxa"/>
            <w:vAlign w:val="bottom"/>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common share, basic and diluted</w:t>
            </w:r>
          </w:p>
        </w:tc>
        <w:tc>
          <w:tcPr>
            <w:tcW w:w="18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(1.77)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5"/>
                <w:szCs w:val="15"/>
                <w:u w:val="single" w:color="auto"/>
                <w:color w:val="auto"/>
                <w:w w:val="71"/>
              </w:rPr>
              <w:t>$</w:t>
            </w:r>
          </w:p>
        </w:tc>
        <w:tc>
          <w:tcPr>
            <w:tcW w:w="3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86"/>
              </w:rPr>
              <w:t>(1.11)</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16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(0.57)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were as follows: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20" w:type="dxa"/>
            <w:vAlign w:val="bottom"/>
          </w:tcPr>
          <w:p>
            <w:pPr>
              <w:spacing w:after="0"/>
              <w:rPr>
                <w:sz w:val="12"/>
                <w:szCs w:val="12"/>
                <w:color w:val="auto"/>
              </w:rPr>
            </w:pPr>
          </w:p>
        </w:tc>
        <w:tc>
          <w:tcPr>
            <w:tcW w:w="1820" w:type="dxa"/>
            <w:vAlign w:val="bottom"/>
            <w:tcBorders>
              <w:bottom w:val="single" w:sz="8" w:color="auto"/>
            </w:tcBorders>
            <w:gridSpan w:val="5"/>
          </w:tcPr>
          <w:p>
            <w:pPr>
              <w:jc w:val="center"/>
              <w:ind w:left="329"/>
              <w:spacing w:after="0"/>
              <w:rPr>
                <w:sz w:val="20"/>
                <w:szCs w:val="20"/>
                <w:color w:val="auto"/>
              </w:rPr>
            </w:pPr>
            <w:r>
              <w:rPr>
                <w:rFonts w:ascii="Arial" w:cs="Arial" w:eastAsia="Arial" w:hAnsi="Arial"/>
                <w:sz w:val="12"/>
                <w:szCs w:val="12"/>
                <w:b w:val="1"/>
                <w:bCs w:val="1"/>
                <w:color w:val="auto"/>
                <w:w w:val="88"/>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920" w:type="dxa"/>
            <w:vAlign w:val="bottom"/>
          </w:tcPr>
          <w:p>
            <w:pPr>
              <w:spacing w:after="0"/>
              <w:rPr>
                <w:sz w:val="10"/>
                <w:szCs w:val="10"/>
                <w:color w:val="auto"/>
              </w:rPr>
            </w:pPr>
          </w:p>
        </w:tc>
        <w:tc>
          <w:tcPr>
            <w:tcW w:w="48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2015</w:t>
            </w:r>
          </w:p>
        </w:tc>
        <w:tc>
          <w:tcPr>
            <w:tcW w:w="880" w:type="dxa"/>
            <w:vAlign w:val="bottom"/>
            <w:tcBorders>
              <w:bottom w:val="single" w:sz="8" w:color="auto"/>
            </w:tcBorders>
            <w:gridSpan w:val="2"/>
          </w:tcPr>
          <w:p>
            <w:pPr>
              <w:jc w:val="center"/>
              <w:ind w:left="290"/>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r>
      <w:tr>
        <w:trPr>
          <w:trHeight w:val="127"/>
        </w:trPr>
        <w:tc>
          <w:tcPr>
            <w:tcW w:w="6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jc w:val="center"/>
              <w:ind w:right="80"/>
              <w:spacing w:after="0" w:line="127" w:lineRule="exact"/>
              <w:rPr>
                <w:sz w:val="20"/>
                <w:szCs w:val="20"/>
                <w:color w:val="auto"/>
              </w:rPr>
            </w:pPr>
            <w:r>
              <w:rPr>
                <w:rFonts w:ascii="Arial" w:cs="Arial" w:eastAsia="Arial" w:hAnsi="Arial"/>
                <w:sz w:val="12"/>
                <w:szCs w:val="12"/>
                <w:i w:val="1"/>
                <w:iCs w:val="1"/>
                <w:color w:val="auto"/>
                <w:w w:val="92"/>
              </w:rPr>
              <w:t>(Shares in millions)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preferred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5"/>
                <w:szCs w:val="15"/>
                <w:color w:val="auto"/>
              </w:rPr>
              <w:t>34.1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47.9</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52.7</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Options to purchase shares of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Co-Founder Grants</w:t>
            </w:r>
            <w:r>
              <w:rPr>
                <w:rFonts w:ascii="Arial" w:cs="Arial" w:eastAsia="Arial" w:hAnsi="Arial"/>
                <w:sz w:val="12"/>
                <w:szCs w:val="12"/>
                <w:color w:val="auto"/>
              </w:rPr>
              <w:t>(1)</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Shares subject to repurchase from early-exercised options and unvested restricted stock</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4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5"/>
                <w:szCs w:val="15"/>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5"/>
                <w:szCs w:val="15"/>
                <w:color w:val="auto"/>
              </w:rPr>
              <w:t>Total</w:t>
            </w:r>
          </w:p>
        </w:tc>
        <w:tc>
          <w:tcPr>
            <w:tcW w:w="480" w:type="dxa"/>
            <w:vAlign w:val="bottom"/>
          </w:tcPr>
          <w:p>
            <w:pPr>
              <w:jc w:val="right"/>
              <w:spacing w:after="0"/>
              <w:rPr>
                <w:sz w:val="20"/>
                <w:szCs w:val="20"/>
                <w:color w:val="auto"/>
              </w:rPr>
            </w:pPr>
            <w:r>
              <w:rPr>
                <w:rFonts w:ascii="Arial" w:cs="Arial" w:eastAsia="Arial" w:hAnsi="Arial"/>
                <w:sz w:val="15"/>
                <w:szCs w:val="15"/>
                <w:color w:val="auto"/>
              </w:rPr>
              <w:t>199.3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204.3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206.4</w:t>
            </w:r>
          </w:p>
        </w:tc>
        <w:tc>
          <w:tcPr>
            <w:tcW w:w="40" w:type="dxa"/>
            <w:vAlign w:val="bottom"/>
          </w:tcPr>
          <w:p>
            <w:pPr>
              <w:spacing w:after="0"/>
              <w:rPr>
                <w:sz w:val="15"/>
                <w:szCs w:val="15"/>
                <w:color w:val="auto"/>
              </w:rPr>
            </w:pPr>
          </w:p>
        </w:tc>
      </w:tr>
      <w:tr>
        <w:trPr>
          <w:trHeight w:val="20"/>
        </w:trPr>
        <w:tc>
          <w:tcPr>
            <w:tcW w:w="6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180" w:hanging="368"/>
        <w:spacing w:after="0" w:line="275" w:lineRule="auto"/>
        <w:tabs>
          <w:tab w:leader="none" w:pos="1480" w:val="left"/>
        </w:tabs>
        <w:numPr>
          <w:ilvl w:val="0"/>
          <w:numId w:val="112"/>
        </w:numPr>
        <w:rPr>
          <w:rFonts w:ascii="Arial" w:cs="Arial" w:eastAsia="Arial" w:hAnsi="Arial"/>
          <w:sz w:val="13"/>
          <w:szCs w:val="13"/>
          <w:color w:val="auto"/>
        </w:rPr>
      </w:pPr>
      <w:r>
        <w:rPr>
          <w:rFonts w:ascii="Arial" w:cs="Arial" w:eastAsia="Arial" w:hAnsi="Arial"/>
          <w:sz w:val="15"/>
          <w:szCs w:val="15"/>
          <w:color w:val="auto"/>
        </w:rPr>
        <w:t>A total of 14.7 million shares of Class A common stock associated with the Co-Founder Grants could potentially dilute earnings per share in the future if the requisite vesting conditions are met.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13. Unaudited Pro Forma Net Loss Per Share</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147,310,563 shares of convertible preferred stock will convert into an equivalent number of shares of Class B common stock. Further, pursuant to transfer agreements with certain of the Company’s stockholders, 258,620 shares of the Company’s preferred stock and 2,609,951 shares of the Company’s Class B common stock will automatically convert into an equivalent number of shares of Class A common stock. In addition, the pro forma share amounts give effect to the weighted-average issuance of two-tier RSUs that have satisfied the service-based vesting condition and the Performance Vesting Condition as of December 31, 2017. The Company’s Board of Directors has approved the acceleration of the Performance Vesting Condition for two-tier RSUs for which the service condition was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320"/>
          </w:cols>
          <w:pgMar w:left="240" w:top="408" w:right="133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55" w:lineRule="auto"/>
        <w:rPr>
          <w:sz w:val="20"/>
          <w:szCs w:val="20"/>
          <w:color w:val="auto"/>
        </w:rPr>
      </w:pPr>
      <w:r>
        <w:rPr>
          <w:rFonts w:ascii="Arial" w:cs="Arial" w:eastAsia="Arial" w:hAnsi="Arial"/>
          <w:sz w:val="15"/>
          <w:szCs w:val="15"/>
          <w:color w:val="auto"/>
        </w:rPr>
        <w:t>satisfied as of December 31, 2017, to occur upon the effectiveness of its registration statement related to this offering.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For two-tier RSUs for which the service-based vesting condition and the Performance Vesting Condition was satisfied as of December 31, 2017, the pro forma shares outstanding for the year ended December 31, 2017 includes the weighted-average issuance of 15,897,254 shares of Class B common stock, net of 10,163,817 shares repurchased to satisfy tax withholding obligations.</w:t>
      </w:r>
    </w:p>
    <w:p>
      <w:pPr>
        <w:spacing w:after="0" w:line="164"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December 31, 2017, the Company would have recognized approximately $415.6 million of stock-based compensation expense on the effective date, and would have approximately $5.6 million of additional future period expense that would be recognized over a weighted-average period of approximately one year if the requisite service is provided.</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calculation of pro forma net loss attributable to common stockholders per share, basic and diluted:</w:t>
      </w:r>
    </w:p>
    <w:p>
      <w:pPr>
        <w:spacing w:after="0" w:line="202" w:lineRule="exact"/>
        <w:rPr>
          <w:sz w:val="20"/>
          <w:szCs w:val="20"/>
          <w:color w:val="auto"/>
        </w:rPr>
      </w:pPr>
    </w:p>
    <w:p>
      <w:pPr>
        <w:jc w:val="center"/>
        <w:ind w:left="6340"/>
        <w:spacing w:after="0"/>
        <w:rPr>
          <w:sz w:val="20"/>
          <w:szCs w:val="20"/>
          <w:color w:val="auto"/>
        </w:rPr>
      </w:pPr>
      <w:r>
        <w:rPr>
          <w:rFonts w:ascii="Arial" w:cs="Arial" w:eastAsia="Arial" w:hAnsi="Arial"/>
          <w:sz w:val="12"/>
          <w:szCs w:val="12"/>
          <w:b w:val="1"/>
          <w:bCs w:val="1"/>
          <w:color w:val="auto"/>
        </w:rPr>
        <w:t>Year ended December 31,</w:t>
      </w:r>
    </w:p>
    <w:p>
      <w:pPr>
        <w:jc w:val="center"/>
        <w:ind w:left="6340"/>
        <w:spacing w:after="0" w:line="225" w:lineRule="auto"/>
        <w:rPr>
          <w:sz w:val="20"/>
          <w:szCs w:val="20"/>
          <w:color w:val="auto"/>
        </w:rPr>
      </w:pPr>
      <w:r>
        <w:rPr>
          <w:rFonts w:ascii="Arial" w:cs="Arial" w:eastAsia="Arial" w:hAnsi="Arial"/>
          <w:sz w:val="12"/>
          <w:szCs w:val="12"/>
          <w:b w:val="1"/>
          <w:bCs w:val="1"/>
          <w:color w:val="auto"/>
        </w:rPr>
        <w:t>2017</w:t>
      </w:r>
    </w:p>
    <w:tbl>
      <w:tblPr>
        <w:tblLayout w:type="fixed"/>
        <w:tblInd w:w="112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540" w:type="dxa"/>
            <w:vAlign w:val="bottom"/>
            <w:tcBorders>
              <w:top w:val="single" w:sz="8" w:color="auto"/>
              <w:bottom w:val="single" w:sz="8" w:color="auto"/>
            </w:tcBorders>
            <w:gridSpan w:val="5"/>
          </w:tcPr>
          <w:p>
            <w:pPr>
              <w:jc w:val="right"/>
              <w:ind w:right="346"/>
              <w:spacing w:after="0" w:line="115" w:lineRule="exact"/>
              <w:rPr>
                <w:sz w:val="20"/>
                <w:szCs w:val="20"/>
                <w:color w:val="auto"/>
              </w:rPr>
            </w:pPr>
            <w:r>
              <w:rPr>
                <w:rFonts w:ascii="Arial" w:cs="Arial" w:eastAsia="Arial" w:hAnsi="Arial"/>
                <w:sz w:val="12"/>
                <w:szCs w:val="12"/>
                <w:i w:val="1"/>
                <w:iCs w:val="1"/>
                <w:color w:val="auto"/>
              </w:rPr>
              <w:t>(In millions, except per share amounts)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740"/>
              <w:spacing w:after="0" w:line="115" w:lineRule="exact"/>
              <w:rPr>
                <w:sz w:val="20"/>
                <w:szCs w:val="20"/>
                <w:color w:val="auto"/>
              </w:rPr>
            </w:pPr>
            <w:r>
              <w:rPr>
                <w:rFonts w:ascii="Arial" w:cs="Arial" w:eastAsia="Arial" w:hAnsi="Arial"/>
                <w:sz w:val="12"/>
                <w:szCs w:val="12"/>
                <w:color w:val="auto"/>
              </w:rPr>
              <w:t>Class A</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86"/>
              <w:spacing w:after="0" w:line="115" w:lineRule="exact"/>
              <w:rPr>
                <w:sz w:val="20"/>
                <w:szCs w:val="20"/>
                <w:color w:val="auto"/>
              </w:rPr>
            </w:pPr>
            <w:r>
              <w:rPr>
                <w:rFonts w:ascii="Arial" w:cs="Arial" w:eastAsia="Arial" w:hAnsi="Arial"/>
                <w:sz w:val="12"/>
                <w:szCs w:val="12"/>
                <w:color w:val="auto"/>
              </w:rPr>
              <w:t>Class B</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5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300"/>
              <w:spacing w:after="0"/>
              <w:rPr>
                <w:sz w:val="20"/>
                <w:szCs w:val="20"/>
                <w:color w:val="auto"/>
              </w:rPr>
            </w:pPr>
            <w:r>
              <w:rPr>
                <w:rFonts w:ascii="Arial" w:cs="Arial" w:eastAsia="Arial" w:hAnsi="Arial"/>
                <w:sz w:val="15"/>
                <w:szCs w:val="15"/>
                <w:color w:val="auto"/>
              </w:rPr>
              <w:t>Net loss as reported</w:t>
            </w:r>
          </w:p>
        </w:tc>
        <w:tc>
          <w:tcPr>
            <w:tcW w:w="56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(3.6)</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Reallocation of net loss due to pro forma adjustments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Net loss attributable to common stockholders for pro forma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computation, basic and diluted</w:t>
            </w:r>
          </w:p>
        </w:tc>
        <w:tc>
          <w:tcPr>
            <w:tcW w:w="72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(2.9)</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Denominator:</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300"/>
              <w:spacing w:after="0" w:line="170" w:lineRule="exact"/>
              <w:rPr>
                <w:sz w:val="20"/>
                <w:szCs w:val="20"/>
                <w:color w:val="auto"/>
              </w:rPr>
            </w:pPr>
            <w:r>
              <w:rPr>
                <w:rFonts w:ascii="Arial" w:cs="Arial" w:eastAsia="Arial" w:hAnsi="Arial"/>
                <w:sz w:val="15"/>
                <w:szCs w:val="15"/>
                <w:color w:val="auto"/>
              </w:rPr>
              <w:t>Weighted-average shares of common stock used in computing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4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to reflect conversion of convertible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preferred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Weighted-average pro forma adjustment to reflect assumed vesting of two-tier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RSUs, net of shares repurchased to satisfy tax withholding obligations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of conversions of Class B to Class A</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common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600"/>
              <w:spacing w:after="0"/>
              <w:rPr>
                <w:sz w:val="20"/>
                <w:szCs w:val="20"/>
                <w:color w:val="auto"/>
              </w:rPr>
            </w:pPr>
            <w:r>
              <w:rPr>
                <w:rFonts w:ascii="Arial" w:cs="Arial" w:eastAsia="Arial" w:hAnsi="Arial"/>
                <w:sz w:val="15"/>
                <w:szCs w:val="15"/>
                <w:color w:val="auto"/>
              </w:rPr>
              <w:t>Weighted-average shares used in computing pro forma net loss per share</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attributable to common stockholders per share, basic and diluted</w:t>
            </w:r>
          </w:p>
        </w:tc>
        <w:tc>
          <w:tcPr>
            <w:tcW w:w="720" w:type="dxa"/>
            <w:vAlign w:val="bottom"/>
            <w:gridSpan w:val="2"/>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480"/>
              <w:spacing w:after="0" w:line="167" w:lineRule="exact"/>
              <w:rPr>
                <w:sz w:val="20"/>
                <w:szCs w:val="20"/>
                <w:color w:val="auto"/>
              </w:rPr>
            </w:pPr>
            <w:r>
              <w:rPr>
                <w:rFonts w:ascii="Arial" w:cs="Arial" w:eastAsia="Arial" w:hAnsi="Arial"/>
                <w:sz w:val="15"/>
                <w:szCs w:val="15"/>
                <w:color w:val="auto"/>
              </w:rPr>
              <w:t>(0.31)</w:t>
            </w:r>
          </w:p>
        </w:tc>
        <w:tc>
          <w:tcPr>
            <w:tcW w:w="640" w:type="dxa"/>
            <w:vAlign w:val="bottom"/>
            <w:gridSpan w:val="2"/>
            <w:shd w:val="clear" w:color="auto" w:fill="CCEEFF"/>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460"/>
              <w:spacing w:after="0"/>
              <w:rPr>
                <w:sz w:val="20"/>
                <w:szCs w:val="20"/>
                <w:color w:val="auto"/>
              </w:rPr>
            </w:pPr>
            <w:r>
              <w:rPr>
                <w:rFonts w:ascii="Arial" w:cs="Arial" w:eastAsia="Arial" w:hAnsi="Arial"/>
                <w:sz w:val="15"/>
                <w:szCs w:val="15"/>
                <w:color w:val="auto"/>
              </w:rPr>
              <w:t>F-31</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14. Income Taxes</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For the years ended December 31, 2015, 2016, and 2017 the Company’s loss from continuing operations before provision for income taxes was as follows:</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50"/>
              <w:spacing w:after="0" w:line="115"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2016</w:t>
            </w:r>
          </w:p>
        </w:tc>
        <w:tc>
          <w:tcPr>
            <w:tcW w:w="4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Domestic</w:t>
            </w:r>
          </w:p>
        </w:tc>
        <w:tc>
          <w:tcPr>
            <w:tcW w:w="15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 (176.9)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(76.9)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Foreign</w:t>
            </w:r>
          </w:p>
        </w:tc>
        <w:tc>
          <w:tcPr>
            <w:tcW w:w="15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(148.7)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w w:val="92"/>
              </w:rPr>
              <w:t>(110.6)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taxes</w:t>
            </w:r>
          </w:p>
        </w:tc>
        <w:tc>
          <w:tcPr>
            <w:tcW w:w="22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(325.6)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w w:val="92"/>
              </w:rPr>
              <w:t>(205.0)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components of the provision for income taxes in the years ended December 31, 2015,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(1.5)</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Income tax benefit attributable to loss from continuing operations differed from the amounts computed by applying the statutory U.S. federal income tax rate of 34% to pretax loss from continuing operations as a result of the following:</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w w:val="91"/>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2016</w:t>
            </w: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Tax benefit at federal statutory rate of 34%</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110.7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Foreign rate differential</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(50.7)</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Research and other credits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Permanent differences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Tax Cuts and Jobs Act impact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Other nondeductible items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5"/>
                <w:szCs w:val="15"/>
                <w:color w:val="auto"/>
              </w:rPr>
              <w:t>Provision for income taxes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(0.3)</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(5.2)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60" w:type="dxa"/>
            <w:vAlign w:val="bottom"/>
          </w:tcPr>
          <w:p>
            <w:pPr>
              <w:spacing w:after="0"/>
              <w:rPr>
                <w:sz w:val="24"/>
                <w:szCs w:val="24"/>
                <w:color w:val="auto"/>
              </w:rPr>
            </w:pPr>
          </w:p>
        </w:tc>
        <w:tc>
          <w:tcPr>
            <w:tcW w:w="1440" w:type="dxa"/>
            <w:vAlign w:val="bottom"/>
            <w:gridSpan w:val="2"/>
          </w:tcPr>
          <w:p>
            <w:pPr>
              <w:jc w:val="right"/>
              <w:ind w:right="685"/>
              <w:spacing w:after="0"/>
              <w:rPr>
                <w:sz w:val="20"/>
                <w:szCs w:val="20"/>
                <w:color w:val="auto"/>
              </w:rPr>
            </w:pPr>
            <w:r>
              <w:rPr>
                <w:rFonts w:ascii="Arial" w:cs="Arial" w:eastAsia="Arial" w:hAnsi="Arial"/>
                <w:sz w:val="15"/>
                <w:szCs w:val="15"/>
                <w:color w:val="auto"/>
              </w:rPr>
              <w:t>F-32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408" w:right="137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deferred tax assets and liabilities as of December 31,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97"/>
              </w:rPr>
              <w:t>2016</w:t>
            </w:r>
          </w:p>
        </w:tc>
        <w:tc>
          <w:tcPr>
            <w:tcW w:w="26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Deferred tax assets:</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Net operating loss carryforwards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127.9</w:t>
            </w: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credit carryforwards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Stock-based compensation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Accruals and reserves</w:t>
            </w:r>
          </w:p>
        </w:tc>
        <w:tc>
          <w:tcPr>
            <w:tcW w:w="1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Gross deferred tax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(259.7)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(233.7)</w:t>
            </w:r>
          </w:p>
        </w:tc>
        <w:tc>
          <w:tcPr>
            <w:tcW w:w="0" w:type="dxa"/>
            <w:vAlign w:val="bottom"/>
          </w:tcPr>
          <w:p>
            <w:pPr>
              <w:spacing w:after="0"/>
              <w:rPr>
                <w:sz w:val="1"/>
                <w:szCs w:val="1"/>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5"/>
                <w:szCs w:val="15"/>
                <w:color w:val="auto"/>
              </w:rPr>
              <w:t>Total deferred tax assets, net of valuation allowance</w:t>
            </w:r>
          </w:p>
        </w:tc>
        <w:tc>
          <w:tcPr>
            <w:tcW w:w="1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Fixed assets and intangible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Total deferred tax liability</w:t>
            </w:r>
          </w:p>
        </w:tc>
        <w:tc>
          <w:tcPr>
            <w:tcW w:w="1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For the years ended December 31, 2016 and 2017, based on all available objective evidence, including the existence of cumulative losses, the Company determined that it was not more likely than not that the U.S., Ireland, and Israel net deferred tax assets were fully realizable as of December 31, 2016 and 2017. Accordingly, the Company established a full valuation allowance against its U.S. and Ireland deferred tax assets and a partial valuation allowance against its Israeli deferred tax assets.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As of December 31, 2017, the Company had $312.2 million of federal and $143.0 million of state net operating loss carryforwards available to reduce future taxable income, which will begin to expire in 2031 for federal and 2030 for state tax purposes.</w:t>
      </w:r>
    </w:p>
    <w:p>
      <w:pPr>
        <w:spacing w:after="0" w:line="146"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As of December 31, 2017, the Company had research credit carryforwards of $59.2 million and $34.6 million for federal and state income tax purposes, respectively, of which $14.7 million and $8.6 million is the unrecognized tax benefit portion related to the research credit carryforwards for federal and state, respectively. The federal credit carryforward will begin to expire in 2027. The state research credits have no expiration date. The Company also had $3.7 million of state enterprise zone credit carryforwards, which will begin to expire in 2023.</w:t>
      </w:r>
    </w:p>
    <w:p>
      <w:pPr>
        <w:spacing w:after="0" w:line="143"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As of December 31, 2017, the Company also had $289.3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55"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December 31,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40"/>
          </w:cols>
          <w:pgMar w:left="240" w:top="408" w:right="141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354" w:lineRule="auto"/>
        <w:rPr>
          <w:sz w:val="20"/>
          <w:szCs w:val="20"/>
          <w:color w:val="auto"/>
        </w:rPr>
      </w:pPr>
      <w:r>
        <w:rPr>
          <w:rFonts w:ascii="Arial" w:cs="Arial" w:eastAsia="Arial" w:hAnsi="Arial"/>
          <w:sz w:val="13"/>
          <w:szCs w:val="13"/>
          <w:color w:val="auto"/>
        </w:rPr>
        <w:t>As of December 31, 2017, the balance of unrecognized tax benefits was $25.6 million of which $2.3 million, if recognized, would affect the effective tax rate and $23.3 million would result in adjustment to deferred tax assets with corresponding adjustments to the valuation allowance.</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amount of unrecognized tax benefit is as follows: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ind w:left="220"/>
              <w:spacing w:after="0"/>
              <w:rPr>
                <w:sz w:val="20"/>
                <w:szCs w:val="20"/>
                <w:color w:val="auto"/>
              </w:rPr>
            </w:pPr>
            <w:r>
              <w:rPr>
                <w:rFonts w:ascii="Arial" w:cs="Arial" w:eastAsia="Arial" w:hAnsi="Arial"/>
                <w:sz w:val="12"/>
                <w:szCs w:val="12"/>
                <w:b w:val="1"/>
                <w:bCs w:val="1"/>
                <w:color w:val="auto"/>
              </w:rPr>
              <w:t>Year ended December 31,</w:t>
            </w:r>
          </w:p>
        </w:tc>
      </w:tr>
      <w:tr>
        <w:trPr>
          <w:trHeight w:val="115"/>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820" w:type="dxa"/>
            <w:vAlign w:val="bottom"/>
            <w:tcBorders>
              <w:top w:val="single" w:sz="8" w:color="auto"/>
            </w:tcBorders>
            <w:gridSpan w:val="3"/>
          </w:tcPr>
          <w:p>
            <w:pPr>
              <w:jc w:val="right"/>
              <w:ind w:right="5"/>
              <w:spacing w:after="0" w:line="115" w:lineRule="exact"/>
              <w:rPr>
                <w:sz w:val="20"/>
                <w:szCs w:val="20"/>
                <w:color w:val="auto"/>
              </w:rPr>
            </w:pPr>
            <w:r>
              <w:rPr>
                <w:rFonts w:ascii="Arial" w:cs="Arial" w:eastAsia="Arial" w:hAnsi="Arial"/>
                <w:sz w:val="12"/>
                <w:szCs w:val="12"/>
                <w:b w:val="1"/>
                <w:bCs w:val="1"/>
                <w:color w:val="auto"/>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64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Balance of gross unrecognized tax benefits at the beginning of the fiscal year</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1"/>
              </w:rPr>
              <w:t>$ 15.7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Gross increases related to prior period tax positions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2.2</w:t>
            </w:r>
          </w:p>
        </w:tc>
        <w:tc>
          <w:tcPr>
            <w:tcW w:w="4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0"/>
        </w:trPr>
        <w:tc>
          <w:tcPr>
            <w:tcW w:w="20" w:type="dxa"/>
            <w:vAlign w:val="bottom"/>
          </w:tcPr>
          <w:p>
            <w:pPr>
              <w:spacing w:after="0"/>
              <w:rPr>
                <w:sz w:val="15"/>
                <w:szCs w:val="15"/>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Gross increases related to current period tax positions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4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40" w:type="dxa"/>
            <w:vAlign w:val="bottom"/>
            <w:shd w:val="clear" w:color="auto" w:fill="CCEEFF"/>
          </w:tcPr>
          <w:p>
            <w:pPr>
              <w:spacing w:after="0"/>
              <w:rPr>
                <w:sz w:val="15"/>
                <w:szCs w:val="15"/>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5"/>
                <w:szCs w:val="15"/>
                <w:color w:val="auto"/>
              </w:rPr>
              <w:t>Balance of gross unrecognized tax benefits at the end of the fiscal year</w:t>
            </w:r>
          </w:p>
        </w:tc>
        <w:tc>
          <w:tcPr>
            <w:tcW w:w="12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7.9</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82"/>
              </w:rPr>
              <w:t>15.7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$ 25.6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Company recognizes interest and/or penalties related to income tax matters as a component of income tax expense. As of December 31, 2017, the amount of accrued interest and penalties related to uncertain tax positions was $0.6 million. Interest and penalties recognized for the year ended December 31, 2016 and 2017, was $0.4 million and $0.2 million, respectively, and the Company did not recognize any interest and penalties for the year ended December 31, 2015.</w:t>
      </w:r>
    </w:p>
    <w:p>
      <w:pPr>
        <w:spacing w:after="0" w:line="15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4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2017,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Impact of The Tax Cuts and Jobs Act</w:t>
      </w:r>
    </w:p>
    <w:p>
      <w:pPr>
        <w:spacing w:after="0" w:line="98" w:lineRule="exact"/>
        <w:rPr>
          <w:sz w:val="20"/>
          <w:szCs w:val="20"/>
          <w:color w:val="auto"/>
        </w:rPr>
      </w:pPr>
    </w:p>
    <w:p>
      <w:pPr>
        <w:ind w:left="1120" w:right="20" w:firstLine="368"/>
        <w:spacing w:after="0" w:line="297" w:lineRule="auto"/>
        <w:rPr>
          <w:sz w:val="20"/>
          <w:szCs w:val="20"/>
          <w:color w:val="auto"/>
        </w:rPr>
      </w:pPr>
      <w:r>
        <w:rPr>
          <w:rFonts w:ascii="Arial" w:cs="Arial" w:eastAsia="Arial" w:hAnsi="Arial"/>
          <w:sz w:val="13"/>
          <w:szCs w:val="13"/>
          <w:color w:val="auto"/>
        </w:rPr>
        <w:t>The Tax Cuts and Jobs Act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the Company in future years. Since the Tax Reform Act was recently finalized and ongoing guidance and accounting interpretation is expected over the next twelve months,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Tax Reform Act will be applied or otherwise administered that is different from the Company’s interpretation. As the Company completes its analysis of the Tax Reform Act, collects and prepares necessary data, and interprets any additional guidance, the Company may make adjustments to provisional amounts that it has recorded that may be material in the period in which the adjustments are made. The final accounting analysis will occur no later than one year from the date the Tax Reform Act was enacted.</w:t>
      </w:r>
    </w:p>
    <w:p>
      <w:pPr>
        <w:spacing w:after="0" w:line="140"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As a result of the reduction in the corporate rate, the Company has remeasured its U.S. deferred tax assets and liabilities as of December 31, 2017 to reflect the lower rate expected to apply when these temporary differences reverse. The Company provisionally estimates that the remeasurement resulted in a reduction in deferred tax assets of $63.1 million, which was fully offset by a corresponding change to the Company’s</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300"/>
          </w:cols>
          <w:pgMar w:left="240" w:top="408" w:right="135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valuation allowance. Although the tax rate reduction is known, the Company has not collected all of the necessary data to complete its analysis of the effect of the Tax Reform Act on the underlying deferred taxes and as such, the amounts recorded as of December 31, 2017 are provisional. However, the Company anticipates that any adjustment to provisional amounts recorded would be fully offset by a corresponding change to the Company’s valuation allowance.</w:t>
      </w:r>
    </w:p>
    <w:p>
      <w:pPr>
        <w:spacing w:after="0" w:line="15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Tax Reform Act repeals the corporate alternative minimum tax (“AMT”) effective beginning in 2018 and permits AMT credit carryforwards to be refunded to the extent unused through 2021. Since the Company does not anticipate the use of these credits to reduce future federal taxes, it recognized an income tax benefit and established an income tax receivable to reflect anticipated refunds of $1.4 million for its 2016 AMT credit carryforward during the year ended December 31, 2017. The Company has not collected all of the necessary data to complete its analysis of the classification of the AMT tax credit as a receivable and as such, the amounts recorded as an income tax receivable as of December 31, 2017 are provisional.</w:t>
      </w:r>
    </w:p>
    <w:p>
      <w:pPr>
        <w:spacing w:after="0" w:line="164" w:lineRule="exact"/>
        <w:rPr>
          <w:sz w:val="20"/>
          <w:szCs w:val="20"/>
          <w:color w:val="auto"/>
        </w:rPr>
      </w:pPr>
    </w:p>
    <w:p>
      <w:pPr>
        <w:ind w:left="1120" w:right="36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estimates that it will have no Transition Tax inclusion.</w:t>
      </w:r>
    </w:p>
    <w:p>
      <w:pPr>
        <w:spacing w:after="0" w:line="155"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The Company continues to evaluate its accounting policy for recording deferred taxes, if any, that would arise as a result of other new provisions including the global intangible low-taxed income tax and the base erosion tax regimes established under the Tax Reform Act. This evaluation will be completed no later than one year from the date the Tax Reform Act was enacted.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15. Related Party Transactions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Dropbox Charitable Foundation</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164"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During the year ended December 31,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year ended December 31, 2017, the Company made cash contributions of $1.9 million to the Foundation.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Hewlett Packard Enterprise</w:t>
      </w:r>
    </w:p>
    <w:p>
      <w:pPr>
        <w:spacing w:after="0" w:line="98"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The Company has engaged in various commercial relationships with Hewlett Packard Enterprise (“HPE”), whose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From the date of appointment of HPE’s chief executive officer to the Dropbox Board of Directors through December 31, 2017, the Company made payments of</w:t>
      </w:r>
    </w:p>
    <w:p>
      <w:pPr>
        <w:spacing w:after="0" w:line="1" w:lineRule="exact"/>
        <w:rPr>
          <w:sz w:val="20"/>
          <w:szCs w:val="20"/>
          <w:color w:val="auto"/>
        </w:rPr>
      </w:pPr>
    </w:p>
    <w:p>
      <w:pPr>
        <w:ind w:left="1120" w:right="120"/>
        <w:spacing w:after="0" w:line="298" w:lineRule="auto"/>
        <w:rPr>
          <w:sz w:val="20"/>
          <w:szCs w:val="20"/>
          <w:color w:val="auto"/>
        </w:rPr>
      </w:pPr>
      <w:r>
        <w:rPr>
          <w:rFonts w:ascii="Arial" w:cs="Arial" w:eastAsia="Arial" w:hAnsi="Arial"/>
          <w:sz w:val="14"/>
          <w:szCs w:val="14"/>
          <w:color w:val="auto"/>
        </w:rPr>
        <w:t>$18.4 million for infrastructure equipment under capital leases and commercial products and services provided by HPE. As of December 31, 2017, the Company had a remaining obligation of $87.1 million for equipment under capital lease from HPE. Related to the multi-year</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80"/>
          </w:cols>
          <w:pgMar w:left="240" w:top="408"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subscription agreement, the Company recognized an immaterial amount of revenue from the date of appointment of HPE’s chief executive officer to the Dropbox Board of Directors through December 31, 2017, and had an immaterial balance of deferred revenue and outstanding trade receivables as of December 31, 2017.</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16. Geographic Areas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long-lived assets by geographic area:</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380" w:type="dxa"/>
            <w:vAlign w:val="bottom"/>
          </w:tcPr>
          <w:p>
            <w:pPr>
              <w:spacing w:after="0"/>
              <w:rPr>
                <w:sz w:val="12"/>
                <w:szCs w:val="12"/>
                <w:color w:val="auto"/>
              </w:rPr>
            </w:pPr>
          </w:p>
        </w:tc>
        <w:tc>
          <w:tcPr>
            <w:tcW w:w="1340" w:type="dxa"/>
            <w:vAlign w:val="bottom"/>
            <w:gridSpan w:val="5"/>
          </w:tcPr>
          <w:p>
            <w:pPr>
              <w:ind w:left="1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380" w:type="dxa"/>
            <w:vAlign w:val="bottom"/>
          </w:tcPr>
          <w:p>
            <w:pPr>
              <w:spacing w:after="0"/>
              <w:rPr>
                <w:sz w:val="10"/>
                <w:szCs w:val="10"/>
                <w:color w:val="auto"/>
              </w:rPr>
            </w:pPr>
          </w:p>
        </w:tc>
        <w:tc>
          <w:tcPr>
            <w:tcW w:w="420" w:type="dxa"/>
            <w:vAlign w:val="bottom"/>
            <w:tcBorders>
              <w:top w:val="single" w:sz="8" w:color="auto"/>
            </w:tcBorders>
          </w:tcPr>
          <w:p>
            <w:pPr>
              <w:jc w:val="right"/>
              <w:ind w:right="31"/>
              <w:spacing w:after="0" w:line="115"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5"/>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$425.1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$ 323.7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38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18.9</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18.2</w:t>
            </w:r>
          </w:p>
        </w:tc>
      </w:tr>
      <w:tr>
        <w:trPr>
          <w:trHeight w:val="23"/>
        </w:trPr>
        <w:tc>
          <w:tcPr>
            <w:tcW w:w="6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Total property and equipment, net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444.0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$ 341.9</w:t>
            </w:r>
          </w:p>
        </w:tc>
      </w:tr>
      <w:tr>
        <w:trPr>
          <w:trHeight w:val="20"/>
        </w:trPr>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75" w:lineRule="auto"/>
        <w:tabs>
          <w:tab w:leader="none" w:pos="148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No single country other than the United States had a property and equipment balance greater than 10% of total property and equipment, net, as of December 31, 2016 and 2017.</w:t>
      </w:r>
    </w:p>
    <w:p>
      <w:pPr>
        <w:spacing w:after="0" w:line="236" w:lineRule="exact"/>
        <w:rPr>
          <w:rFonts w:ascii="Arial" w:cs="Arial" w:eastAsia="Arial" w:hAnsi="Arial"/>
          <w:sz w:val="13"/>
          <w:szCs w:val="13"/>
          <w:color w:val="auto"/>
        </w:rPr>
      </w:pPr>
    </w:p>
    <w:p>
      <w:pPr>
        <w:ind w:left="1480"/>
        <w:spacing w:after="0"/>
        <w:rPr>
          <w:rFonts w:ascii="Arial" w:cs="Arial" w:eastAsia="Arial" w:hAnsi="Arial"/>
          <w:sz w:val="13"/>
          <w:szCs w:val="13"/>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Revenue by geography is generally based on the address of the customer as defined in the Company’s subscription agreement. The following table sets forth revenue by geographic area for the years ended December 31, 2015, 2016, and 2017.</w:t>
      </w:r>
    </w:p>
    <w:p>
      <w:pPr>
        <w:spacing w:after="0" w:line="160"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25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89"/>
              </w:rPr>
              <w:t>2015</w:t>
            </w:r>
          </w:p>
        </w:tc>
        <w:tc>
          <w:tcPr>
            <w:tcW w:w="4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89"/>
              </w:rPr>
              <w:t>2016</w:t>
            </w:r>
          </w:p>
        </w:tc>
        <w:tc>
          <w:tcPr>
            <w:tcW w:w="4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326.1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455.9</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575.7</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277.7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388.9</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531.1</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603.8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240" w:hanging="368"/>
        <w:spacing w:after="0" w:line="275" w:lineRule="auto"/>
        <w:tabs>
          <w:tab w:leader="none" w:pos="148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No single country outside of the United States accounted for more than 10 percent of total revenue during the years ended December 31, 2015, 2016, and 2017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17. Subsequent Events</w:t>
      </w:r>
    </w:p>
    <w:p>
      <w:pPr>
        <w:spacing w:after="0" w:line="102" w:lineRule="exact"/>
        <w:rPr>
          <w:sz w:val="20"/>
          <w:szCs w:val="20"/>
          <w:color w:val="auto"/>
        </w:rPr>
      </w:pPr>
    </w:p>
    <w:p>
      <w:pPr>
        <w:ind w:left="1120" w:right="260" w:firstLine="368"/>
        <w:spacing w:after="0" w:line="312" w:lineRule="auto"/>
        <w:rPr>
          <w:sz w:val="20"/>
          <w:szCs w:val="20"/>
          <w:color w:val="auto"/>
        </w:rPr>
      </w:pPr>
      <w:r>
        <w:rPr>
          <w:rFonts w:ascii="Arial" w:cs="Arial" w:eastAsia="Arial" w:hAnsi="Arial"/>
          <w:sz w:val="14"/>
          <w:szCs w:val="14"/>
          <w:color w:val="auto"/>
        </w:rPr>
        <w:t>The Company has evaluated subsequent events through February 23, 2018, the date that the independent auditor’s report as of and for the year ended December 31, 2017 was originally issued and the audited annual consolidated financial statements were available for issuance.</w:t>
      </w:r>
    </w:p>
    <w:p>
      <w:pPr>
        <w:spacing w:after="0" w:line="123"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also increased its borrowing capacity under the revolving credit facility from $600.0 million to $725.0 million. The Company may from time to time request increases in its borrowing capacity under its revolving credit facility of up to $275.0 million, provided no event of default has occurred or is continuing or would result from such increase.</w:t>
      </w:r>
    </w:p>
    <w:p>
      <w:pPr>
        <w:spacing w:after="0" w:line="159"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In February 2018, the Board of Directors approved grants of 9,909,986 RSUs. These RSUs will result in estimated stock-based compensation of $170.2 million, which is expected to be recognized over a weighted-average period of 3.9 years from the grant date.</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color w:val="auto"/>
        </w:rPr>
        <w:t>In February 2018, the Company’s Board of Directors also approved the acceleration of the Performance Vesting Condition for two-tier RSUs for which the service condition was satisfied, to occur upon the effectiveness of the registration statement related to this offering.</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300"/>
          </w:cols>
          <w:pgMar w:left="240" w:top="407" w:right="135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18. Subsequent Events (unaudited)</w:t>
      </w:r>
    </w:p>
    <w:p>
      <w:pPr>
        <w:spacing w:after="0" w:line="102"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color w:val="auto"/>
        </w:rPr>
        <w:t>The Company has evaluated subsequent events through March 22, 2018, the date the consolidated financial statements as of and for the years ended December 31, 2017 were available for issuance.</w:t>
      </w:r>
    </w:p>
    <w:p>
      <w:pPr>
        <w:spacing w:after="0" w:line="146"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In March 2018, the Board of Directors approved grants of 1,011,430 RSUs. These RSUs will result in estimated stock-based compensation of $17.4 million, which is expected to be recognized over a weighted-average period of 3.8 years from the grant date.</w:t>
      </w:r>
    </w:p>
    <w:p>
      <w:pPr>
        <w:spacing w:after="0" w:line="146" w:lineRule="exact"/>
        <w:rPr>
          <w:sz w:val="20"/>
          <w:szCs w:val="20"/>
          <w:color w:val="auto"/>
        </w:rPr>
      </w:pPr>
    </w:p>
    <w:p>
      <w:pPr>
        <w:jc w:val="both"/>
        <w:ind w:left="1120" w:right="260" w:firstLine="368"/>
        <w:spacing w:after="0" w:line="263" w:lineRule="auto"/>
        <w:rPr>
          <w:sz w:val="20"/>
          <w:szCs w:val="20"/>
          <w:color w:val="auto"/>
        </w:rPr>
      </w:pPr>
      <w:r>
        <w:rPr>
          <w:rFonts w:ascii="Arial" w:cs="Arial" w:eastAsia="Arial" w:hAnsi="Arial"/>
          <w:sz w:val="15"/>
          <w:szCs w:val="15"/>
          <w:color w:val="auto"/>
        </w:rPr>
        <w:t>In March 2018, the Company entered into a purchase agreement with Salesforce Ventures LLC to purchase $100.0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55" w:lineRule="exact"/>
        <w:rPr>
          <w:sz w:val="20"/>
          <w:szCs w:val="20"/>
          <w:color w:val="auto"/>
        </w:rPr>
      </w:pPr>
    </w:p>
    <w:p>
      <w:pPr>
        <w:jc w:val="both"/>
        <w:ind w:left="1120" w:firstLine="368"/>
        <w:spacing w:after="0" w:line="257" w:lineRule="auto"/>
        <w:rPr>
          <w:sz w:val="20"/>
          <w:szCs w:val="20"/>
          <w:color w:val="auto"/>
        </w:rPr>
      </w:pPr>
      <w:r>
        <w:rPr>
          <w:rFonts w:ascii="Arial" w:cs="Arial" w:eastAsia="Arial" w:hAnsi="Arial"/>
          <w:sz w:val="15"/>
          <w:szCs w:val="15"/>
          <w:color w:val="auto"/>
        </w:rPr>
        <w:t>In February 2018, the Board of Directors approved, and in March 2018 the Company’s stockholders approved, grants of RSUs with an aggregate value of $1.2 million to four of the Company’s non-employee directors. The awards will be effective as of immediately prior to the effectiveness of the registration statement related to this offering, subject to each director’s continued service with the Company. The number of RSUs subject to the award will equal the value of the award divided by the per share price of Class A common stock listed on the cover of the registration statement related to this offering.</w:t>
      </w:r>
    </w:p>
    <w:p>
      <w:pPr>
        <w:spacing w:after="0" w:line="159"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Additionally, in February 2018, the Board of Directors approved, and in March 2018 the Company’s stockholders approved, the Company’s amended and restated certificate of incorporation, which will become effective immediately prior to the completion of this offering, the increase in the total number of shares of Class A common stock reserved for issuance under the 2017 Plan by 1,333,333 shares, and the adoption of the 2018 Equity Incentive Plan, the 2018 Class C Stock Incentive Plan, the 2018 Employee Stock Purchase Plan, the 2018 Class C Employee Stock Purchase Plan, and the form of indemnification agreement the Company has entered into with its directors and executive officers.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240" w:top="408" w:right="143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sectPr>
      <w:pgSz w:w="11900" w:h="16838" w:orient="portrait"/>
      <w:cols w:equalWidth="0" w:num="1">
        <w:col w:w="10219"/>
      </w:cols>
      <w:pgMar w:left="240" w:top="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lvl w:ilvl="1">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2"/>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lvl w:ilvl="1">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lvl w:ilvl="1">
      <w:lvlJc w:val="left"/>
      <w:lvlText w:val="•"/>
      <w:numFmt w:val="bullet"/>
      <w:start w:val="1"/>
    </w:lvl>
  </w:abstractNum>
  <w:abstractNum w:abstractNumId="30">
    <w:nsid w:val="168E121F"/>
    <w:multiLevelType w:val="hybridMultilevel"/>
    <w:lvl w:ilvl="0">
      <w:lvlJc w:val="left"/>
      <w:lvlText w:val="•"/>
      <w:numFmt w:val="bullet"/>
      <w:start w:val="1"/>
    </w:lvl>
    <w:lvl w:ilvl="1">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decimal"/>
      <w:start w:val="2"/>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lvl w:ilvl="1">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1)"/>
      <w:numFmt w:val="lowerRoman"/>
      <w:start w:val="3"/>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1)"/>
      <w:numFmt w:val="lowerRoman"/>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2"/>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amp;"/>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4"/>
    </w:lvl>
  </w:abstractNum>
  <w:abstractNum w:abstractNumId="95">
    <w:nsid w:val="9DAF632"/>
    <w:multiLevelType w:val="hybridMultilevel"/>
    <w:lvl w:ilvl="0">
      <w:lvlJc w:val="left"/>
      <w:lvlText w:val="(%1)"/>
      <w:numFmt w:val="lowerRoman"/>
      <w:start w:val="3"/>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lowerRoman"/>
      <w:start w:val="8"/>
    </w:lvl>
  </w:abstractNum>
  <w:abstractNum w:abstractNumId="98">
    <w:nsid w:val="5092CA79"/>
    <w:multiLevelType w:val="hybridMultilevel"/>
    <w:lvl w:ilvl="0">
      <w:lvlJc w:val="left"/>
      <w:lvlText w:val="(%1)"/>
      <w:numFmt w:val="lowerLetter"/>
      <w:start w:val="9"/>
    </w:lvl>
    <w:lvl w:ilvl="1">
      <w:lvlJc w:val="left"/>
      <w:lvlText w:val="(%2)"/>
      <w:numFmt w:val="lowerLetter"/>
      <w:start w:val="1"/>
    </w:lvl>
  </w:abstractNum>
  <w:abstractNum w:abstractNumId="99">
    <w:nsid w:val="1D545C4D"/>
    <w:multiLevelType w:val="hybridMultilevel"/>
    <w:lvl w:ilvl="0">
      <w:lvlJc w:val="left"/>
      <w:lvlText w:val="(%1)"/>
      <w:numFmt w:val="lowerRoman"/>
      <w:start w:val="2"/>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2"/>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
      <w:numFmt w:val="bullet"/>
      <w:start w:val="1"/>
    </w:lvl>
    <w:lvl w:ilvl="1">
      <w:lvlJc w:val="left"/>
      <w:lvlText w:val="•"/>
      <w:numFmt w:val="bullet"/>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2019-12-07T16:29:01Z</dcterms:created>
  <dcterms:modified xsi:type="dcterms:W3CDTF">2019-12-07T16:29:01Z</dcterms:modified>
</cp:coreProperties>
</file>