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jc w:val="center"/>
              <w:ind w:right="27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24130</wp:posOffset>
            </wp:positionV>
            <wp:extent cx="732536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93814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480"/>
            <w:col w:w="8760"/>
          </w:cols>
          <w:pgMar w:left="240" w:top="216" w:right="139" w:bottom="2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 XII MANAGEMENT LLC</w:t>
        </w:r>
      </w:hyperlink>
    </w:p>
    <w:p>
      <w:pPr>
        <w:spacing w:after="0" w:line="29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SEQUOIA CAPITAL</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11/26/2018</w:t>
      </w:r>
    </w:p>
    <w:p>
      <w:pPr>
        <w:spacing w:after="0" w:line="20" w:lineRule="exact"/>
        <w:rPr>
          <w:sz w:val="24"/>
          <w:szCs w:val="24"/>
          <w:color w:val="auto"/>
        </w:rPr>
      </w:pPr>
      <w:r>
        <w:rPr>
          <w:sz w:val="24"/>
          <w:szCs w:val="24"/>
          <w:color w:val="auto"/>
        </w:rPr>
        <w:br w:type="column"/>
      </w:r>
    </w:p>
    <w:p>
      <w:pPr>
        <w:ind w:left="7" w:right="760" w:hanging="7"/>
        <w:spacing w:after="0" w:line="263"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47"/>
        <w:spacing w:after="0"/>
        <w:tabs>
          <w:tab w:leader="none" w:pos="1826" w:val="left"/>
          <w:tab w:leader="none" w:pos="21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1" w:lineRule="exact"/>
        <w:rPr>
          <w:sz w:val="24"/>
          <w:szCs w:val="24"/>
          <w:color w:val="auto"/>
        </w:rPr>
      </w:pPr>
    </w:p>
    <w:p>
      <w:pPr>
        <w:sectPr>
          <w:pgSz w:w="11900" w:h="16838" w:orient="portrait"/>
          <w:cols w:equalWidth="0" w:num="3">
            <w:col w:w="3340" w:space="720"/>
            <w:col w:w="3253" w:space="720"/>
            <w:col w:w="3487"/>
          </w:cols>
          <w:pgMar w:left="240" w:top="216" w:right="139" w:bottom="205" w:gutter="0" w:footer="0" w:header="0"/>
          <w:type w:val="continuous"/>
        </w:sectPr>
      </w:pPr>
    </w:p>
    <w:tbl>
      <w:tblPr>
        <w:tblLayout w:type="fixed"/>
        <w:tblInd w:w="8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800" w:type="dxa"/>
            <w:vAlign w:val="bottom"/>
          </w:tcPr>
          <w:p>
            <w:pPr>
              <w:ind w:left="160"/>
              <w:spacing w:after="0" w:line="130"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Pr>
          <w:p>
            <w:pPr>
              <w:ind w:left="340"/>
              <w:spacing w:after="0" w:line="130" w:lineRule="exact"/>
              <w:rPr>
                <w:sz w:val="20"/>
                <w:szCs w:val="20"/>
                <w:color w:val="auto"/>
              </w:rPr>
            </w:pPr>
            <w:r>
              <w:rPr>
                <w:rFonts w:ascii="Arial" w:cs="Arial" w:eastAsia="Arial" w:hAnsi="Arial"/>
                <w:sz w:val="13"/>
                <w:szCs w:val="13"/>
                <w:color w:val="auto"/>
                <w:w w:val="99"/>
              </w:rPr>
              <w:t>6. Individual or Joint/Group Filing (Check Applicable Line)</w:t>
            </w:r>
          </w:p>
        </w:tc>
      </w:tr>
      <w:tr>
        <w:trPr>
          <w:trHeight w:val="187"/>
        </w:trPr>
        <w:tc>
          <w:tcPr>
            <w:tcW w:w="762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40" w:type="dxa"/>
            <w:vAlign w:val="bottom"/>
          </w:tcPr>
          <w:p>
            <w:pPr>
              <w:ind w:left="900"/>
              <w:spacing w:after="0"/>
              <w:rPr>
                <w:sz w:val="20"/>
                <w:szCs w:val="20"/>
                <w:color w:val="auto"/>
              </w:rPr>
            </w:pPr>
            <w:r>
              <w:rPr>
                <w:rFonts w:ascii="Arial" w:cs="Arial" w:eastAsia="Arial" w:hAnsi="Arial"/>
                <w:sz w:val="13"/>
                <w:szCs w:val="13"/>
                <w:color w:val="auto"/>
              </w:rPr>
              <w:t>Form filed by One Reporting Person</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100"/>
              <w:spacing w:after="0"/>
              <w:rPr>
                <w:sz w:val="20"/>
                <w:szCs w:val="20"/>
                <w:color w:val="auto"/>
              </w:rPr>
            </w:pPr>
            <w:r>
              <w:rPr>
                <w:rFonts w:ascii="Arial" w:cs="Arial" w:eastAsia="Arial" w:hAnsi="Arial"/>
                <w:sz w:val="13"/>
                <w:szCs w:val="13"/>
                <w:color w:val="auto"/>
              </w:rPr>
              <w:t>(State)</w:t>
            </w:r>
          </w:p>
        </w:tc>
        <w:tc>
          <w:tcPr>
            <w:tcW w:w="226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44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jc w:val="center"/>
              <w:ind w:right="14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120" w:type="dxa"/>
            <w:vAlign w:val="bottom"/>
            <w:tcBorders>
              <w:bottom w:val="single" w:sz="8" w:color="2C2C2C"/>
            </w:tcBorders>
            <w:gridSpan w:val="3"/>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60" w:type="dxa"/>
            <w:vAlign w:val="bottom"/>
            <w:gridSpan w:val="2"/>
          </w:tcPr>
          <w:p>
            <w:pPr>
              <w:ind w:left="122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0"/>
                <w:szCs w:val="10"/>
                <w:color w:val="auto"/>
              </w:rPr>
            </w:pPr>
          </w:p>
        </w:tc>
        <w:tc>
          <w:tcPr>
            <w:tcW w:w="114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60" w:type="dxa"/>
            <w:vAlign w:val="bottom"/>
            <w:gridSpan w:val="2"/>
          </w:tcPr>
          <w:p>
            <w:pPr>
              <w:jc w:val="center"/>
              <w:ind w:left="106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58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Times New Roman" w:cs="Times New Roman" w:eastAsia="Times New Roman" w:hAnsi="Times New Roman"/>
                <w:sz w:val="17"/>
                <w:szCs w:val="17"/>
                <w:color w:val="0000FF"/>
              </w:rPr>
              <w:t>11/26/2018</w:t>
            </w:r>
          </w:p>
        </w:tc>
        <w:tc>
          <w:tcPr>
            <w:tcW w:w="1080" w:type="dxa"/>
            <w:vAlign w:val="bottom"/>
          </w:tcPr>
          <w:p>
            <w:pPr>
              <w:spacing w:after="0"/>
              <w:rPr>
                <w:sz w:val="18"/>
                <w:szCs w:val="18"/>
                <w:color w:val="auto"/>
              </w:rPr>
            </w:pPr>
          </w:p>
        </w:tc>
        <w:tc>
          <w:tcPr>
            <w:tcW w:w="80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w w:val="91"/>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3,808,957</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continue"/>
          </w:tcPr>
          <w:p>
            <w:pPr>
              <w:spacing w:after="0"/>
              <w:rPr>
                <w:sz w:val="18"/>
                <w:szCs w:val="18"/>
                <w:color w:val="auto"/>
              </w:rPr>
            </w:pPr>
          </w:p>
        </w:tc>
        <w:tc>
          <w:tcPr>
            <w:tcW w:w="126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color w:val="0000FF"/>
                <w:w w:val="99"/>
              </w:rPr>
              <w:t>3,808,957</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XII, LP</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vMerge w:val="restart"/>
          </w:tcPr>
          <w:p>
            <w:pPr>
              <w:jc w:val="center"/>
              <w:ind w:left="1084"/>
              <w:spacing w:after="0"/>
              <w:rPr>
                <w:sz w:val="20"/>
                <w:szCs w:val="20"/>
                <w:color w:val="auto"/>
              </w:rPr>
            </w:pPr>
            <w:r>
              <w:rPr>
                <w:rFonts w:ascii="Times New Roman" w:cs="Times New Roman" w:eastAsia="Times New Roman" w:hAnsi="Times New Roman"/>
                <w:sz w:val="17"/>
                <w:szCs w:val="17"/>
                <w:color w:val="0000FF"/>
              </w:rPr>
              <w:t>11/26/2018</w:t>
            </w:r>
          </w:p>
        </w:tc>
        <w:tc>
          <w:tcPr>
            <w:tcW w:w="1080" w:type="dxa"/>
            <w:vAlign w:val="bottom"/>
          </w:tcPr>
          <w:p>
            <w:pPr>
              <w:spacing w:after="0"/>
              <w:rPr>
                <w:sz w:val="18"/>
                <w:szCs w:val="18"/>
                <w:color w:val="auto"/>
              </w:rPr>
            </w:pPr>
          </w:p>
        </w:tc>
        <w:tc>
          <w:tcPr>
            <w:tcW w:w="80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w w:val="91"/>
              </w:rPr>
              <w:t>C</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142,525</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gridSpan w:val="2"/>
            <w:vMerge w:val="restart"/>
          </w:tcPr>
          <w:p>
            <w:pPr>
              <w:jc w:val="center"/>
              <w:ind w:left="56"/>
              <w:spacing w:after="0"/>
              <w:rPr>
                <w:sz w:val="20"/>
                <w:szCs w:val="20"/>
                <w:color w:val="auto"/>
              </w:rPr>
            </w:pPr>
            <w:r>
              <w:rPr>
                <w:rFonts w:ascii="Times New Roman" w:cs="Times New Roman" w:eastAsia="Times New Roman" w:hAnsi="Times New Roman"/>
                <w:sz w:val="17"/>
                <w:szCs w:val="17"/>
                <w:color w:val="0000FF"/>
              </w:rPr>
              <w:t>142,525</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XII, LP</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Times New Roman" w:cs="Times New Roman" w:eastAsia="Times New Roman" w:hAnsi="Times New Roman"/>
                <w:sz w:val="17"/>
                <w:szCs w:val="17"/>
                <w:color w:val="0000FF"/>
              </w:rPr>
              <w:t>11/26/2018</w:t>
            </w:r>
          </w:p>
        </w:tc>
        <w:tc>
          <w:tcPr>
            <w:tcW w:w="1080" w:type="dxa"/>
            <w:vAlign w:val="bottom"/>
          </w:tcPr>
          <w:p>
            <w:pPr>
              <w:spacing w:after="0"/>
              <w:rPr>
                <w:sz w:val="18"/>
                <w:szCs w:val="18"/>
                <w:color w:val="auto"/>
              </w:rPr>
            </w:pPr>
          </w:p>
        </w:tc>
        <w:tc>
          <w:tcPr>
            <w:tcW w:w="80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w w:val="91"/>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407,091</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continue"/>
          </w:tcPr>
          <w:p>
            <w:pPr>
              <w:spacing w:after="0"/>
              <w:rPr>
                <w:sz w:val="18"/>
                <w:szCs w:val="18"/>
                <w:color w:val="auto"/>
              </w:rPr>
            </w:pPr>
          </w:p>
        </w:tc>
        <w:tc>
          <w:tcPr>
            <w:tcW w:w="126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color w:val="0000FF"/>
              </w:rPr>
              <w:t>407,091</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Times New Roman" w:cs="Times New Roman" w:eastAsia="Times New Roman" w:hAnsi="Times New Roman"/>
                <w:sz w:val="17"/>
                <w:szCs w:val="17"/>
                <w:color w:val="0000FF"/>
              </w:rPr>
              <w:t>11/26/2018</w:t>
            </w:r>
          </w:p>
        </w:tc>
        <w:tc>
          <w:tcPr>
            <w:tcW w:w="1080" w:type="dxa"/>
            <w:vAlign w:val="bottom"/>
          </w:tcPr>
          <w:p>
            <w:pPr>
              <w:spacing w:after="0"/>
              <w:rPr>
                <w:sz w:val="18"/>
                <w:szCs w:val="18"/>
                <w:color w:val="auto"/>
              </w:rPr>
            </w:pPr>
          </w:p>
        </w:tc>
        <w:tc>
          <w:tcPr>
            <w:tcW w:w="800" w:type="dxa"/>
            <w:vAlign w:val="bottom"/>
          </w:tcPr>
          <w:p>
            <w:pPr>
              <w:jc w:val="center"/>
              <w:ind w:right="281"/>
              <w:spacing w:after="0" w:line="207"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3,808,957</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continue"/>
          </w:tcPr>
          <w:p>
            <w:pPr>
              <w:spacing w:after="0"/>
              <w:rPr>
                <w:sz w:val="18"/>
                <w:szCs w:val="18"/>
                <w:color w:val="auto"/>
              </w:rPr>
            </w:pPr>
          </w:p>
        </w:tc>
        <w:tc>
          <w:tcPr>
            <w:tcW w:w="126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XII, LP</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vMerge w:val="restart"/>
          </w:tcPr>
          <w:p>
            <w:pPr>
              <w:jc w:val="center"/>
              <w:ind w:left="1084"/>
              <w:spacing w:after="0"/>
              <w:rPr>
                <w:sz w:val="20"/>
                <w:szCs w:val="20"/>
                <w:color w:val="auto"/>
              </w:rPr>
            </w:pPr>
            <w:r>
              <w:rPr>
                <w:rFonts w:ascii="Times New Roman" w:cs="Times New Roman" w:eastAsia="Times New Roman" w:hAnsi="Times New Roman"/>
                <w:sz w:val="17"/>
                <w:szCs w:val="17"/>
                <w:color w:val="0000FF"/>
              </w:rPr>
              <w:t>11/26/2018</w:t>
            </w:r>
          </w:p>
        </w:tc>
        <w:tc>
          <w:tcPr>
            <w:tcW w:w="1080" w:type="dxa"/>
            <w:vAlign w:val="bottom"/>
          </w:tcPr>
          <w:p>
            <w:pPr>
              <w:spacing w:after="0"/>
              <w:rPr>
                <w:sz w:val="18"/>
                <w:szCs w:val="18"/>
                <w:color w:val="auto"/>
              </w:rPr>
            </w:pPr>
          </w:p>
        </w:tc>
        <w:tc>
          <w:tcPr>
            <w:tcW w:w="800" w:type="dxa"/>
            <w:vAlign w:val="bottom"/>
            <w:vMerge w:val="restart"/>
          </w:tcPr>
          <w:p>
            <w:pPr>
              <w:jc w:val="center"/>
              <w:ind w:right="281"/>
              <w:spacing w:after="0"/>
              <w:rPr>
                <w:sz w:val="20"/>
                <w:szCs w:val="20"/>
                <w:color w:val="auto"/>
              </w:rPr>
            </w:pPr>
            <w:r>
              <w:rPr>
                <w:rFonts w:ascii="Times New Roman" w:cs="Times New Roman" w:eastAsia="Times New Roman" w:hAnsi="Times New Roman"/>
                <w:sz w:val="25"/>
                <w:szCs w:val="25"/>
                <w:color w:val="0000FF"/>
                <w:w w:val="92"/>
                <w:vertAlign w:val="subscript"/>
              </w:rPr>
              <w:t>J</w:t>
            </w:r>
            <w:r>
              <w:rPr>
                <w:rFonts w:ascii="Times New Roman" w:cs="Times New Roman" w:eastAsia="Times New Roman" w:hAnsi="Times New Roman"/>
                <w:sz w:val="11"/>
                <w:szCs w:val="11"/>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142,525</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gridSpan w:val="2"/>
            <w:vMerge w:val="restart"/>
          </w:tcPr>
          <w:p>
            <w:pPr>
              <w:jc w:val="center"/>
              <w:ind w:left="56"/>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XII, LP</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Times New Roman" w:cs="Times New Roman" w:eastAsia="Times New Roman" w:hAnsi="Times New Roman"/>
                <w:sz w:val="17"/>
                <w:szCs w:val="17"/>
                <w:color w:val="0000FF"/>
              </w:rPr>
              <w:t>11/26/2018</w:t>
            </w:r>
          </w:p>
        </w:tc>
        <w:tc>
          <w:tcPr>
            <w:tcW w:w="1080" w:type="dxa"/>
            <w:vAlign w:val="bottom"/>
          </w:tcPr>
          <w:p>
            <w:pPr>
              <w:spacing w:after="0"/>
              <w:rPr>
                <w:sz w:val="18"/>
                <w:szCs w:val="18"/>
                <w:color w:val="auto"/>
              </w:rPr>
            </w:pPr>
          </w:p>
        </w:tc>
        <w:tc>
          <w:tcPr>
            <w:tcW w:w="800" w:type="dxa"/>
            <w:vAlign w:val="bottom"/>
          </w:tcPr>
          <w:p>
            <w:pPr>
              <w:jc w:val="center"/>
              <w:ind w:right="281"/>
              <w:spacing w:after="0" w:line="207"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407,091</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continue"/>
          </w:tcPr>
          <w:p>
            <w:pPr>
              <w:spacing w:after="0"/>
              <w:rPr>
                <w:sz w:val="18"/>
                <w:szCs w:val="18"/>
                <w:color w:val="auto"/>
              </w:rPr>
            </w:pPr>
          </w:p>
        </w:tc>
        <w:tc>
          <w:tcPr>
            <w:tcW w:w="126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100"/>
              <w:spacing w:after="0" w:line="272"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vMerge w:val="restart"/>
          </w:tcPr>
          <w:p>
            <w:pPr>
              <w:jc w:val="center"/>
              <w:ind w:left="76"/>
              <w:spacing w:after="0"/>
              <w:rPr>
                <w:sz w:val="20"/>
                <w:szCs w:val="20"/>
                <w:color w:val="auto"/>
              </w:rPr>
            </w:pPr>
            <w:r>
              <w:rPr>
                <w:rFonts w:ascii="Times New Roman" w:cs="Times New Roman" w:eastAsia="Times New Roman" w:hAnsi="Times New Roman"/>
                <w:sz w:val="17"/>
                <w:szCs w:val="17"/>
                <w:color w:val="0000FF"/>
                <w:w w:val="98"/>
              </w:rPr>
              <w:t>17,628</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U.S.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120" w:type="dxa"/>
            <w:vAlign w:val="bottom"/>
            <w:gridSpan w:val="3"/>
            <w:vMerge w:val="continue"/>
          </w:tcPr>
          <w:p>
            <w:pPr>
              <w:spacing w:after="0"/>
              <w:rPr>
                <w:sz w:val="19"/>
                <w:szCs w:val="19"/>
                <w:color w:val="auto"/>
              </w:rPr>
            </w:pPr>
          </w:p>
        </w:tc>
        <w:tc>
          <w:tcPr>
            <w:tcW w:w="1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bl>
    <w:p>
      <w:pPr>
        <w:ind w:left="10540"/>
        <w:spacing w:after="0"/>
        <w:rPr>
          <w:sz w:val="20"/>
          <w:szCs w:val="20"/>
          <w:color w:val="auto"/>
        </w:rPr>
      </w:pPr>
      <w:r>
        <w:rPr>
          <w:rFonts w:ascii="Times New Roman" w:cs="Times New Roman" w:eastAsia="Times New Roman" w:hAnsi="Times New Roman"/>
          <w:sz w:val="17"/>
          <w:szCs w:val="17"/>
          <w:color w:val="0000FF"/>
        </w:rPr>
        <w:t>2010-Seed</w:t>
      </w:r>
    </w:p>
    <w:p>
      <w:pPr>
        <w:spacing w:after="0" w:line="12" w:lineRule="exact"/>
        <w:rPr>
          <w:sz w:val="24"/>
          <w:szCs w:val="24"/>
          <w:color w:val="auto"/>
        </w:rPr>
      </w:pPr>
    </w:p>
    <w:p>
      <w:pPr>
        <w:ind w:left="10540"/>
        <w:spacing w:after="0"/>
        <w:rPr>
          <w:sz w:val="20"/>
          <w:szCs w:val="20"/>
          <w:color w:val="auto"/>
        </w:rPr>
      </w:pPr>
      <w:r>
        <w:rPr>
          <w:rFonts w:ascii="Times New Roman" w:cs="Times New Roman" w:eastAsia="Times New Roman" w:hAnsi="Times New Roman"/>
          <w:sz w:val="17"/>
          <w:szCs w:val="17"/>
          <w:color w:val="0000FF"/>
        </w:rPr>
        <w:t>Fund, L.P.</w:t>
      </w:r>
    </w:p>
    <w:p>
      <w:pPr>
        <w:spacing w:after="0" w:line="9" w:lineRule="exact"/>
        <w:rPr>
          <w:sz w:val="24"/>
          <w:szCs w:val="24"/>
          <w:color w:val="auto"/>
        </w:rPr>
      </w:pPr>
    </w:p>
    <w:p>
      <w:pPr>
        <w:ind w:left="10540"/>
        <w:spacing w:after="0"/>
        <w:rPr>
          <w:sz w:val="20"/>
          <w:szCs w:val="20"/>
          <w:color w:val="auto"/>
        </w:rPr>
      </w:pPr>
      <w:r>
        <w:rPr>
          <w:rFonts w:ascii="Times New Roman" w:cs="Times New Roman" w:eastAsia="Times New Roman" w:hAnsi="Times New Roman"/>
          <w:sz w:val="11"/>
          <w:szCs w:val="11"/>
          <w:color w:val="008000"/>
        </w:rPr>
        <w:t>(3)</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3,808,957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11/26/2018</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3,808,957</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68,561,230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Capital XII,</w:t>
            </w:r>
          </w:p>
        </w:tc>
        <w:tc>
          <w:tcPr>
            <w:tcW w:w="0" w:type="dxa"/>
            <w:vAlign w:val="bottom"/>
          </w:tcPr>
          <w:p>
            <w:pPr>
              <w:spacing w:after="0"/>
              <w:rPr>
                <w:sz w:val="1"/>
                <w:szCs w:val="1"/>
                <w:color w:val="auto"/>
              </w:rPr>
            </w:pPr>
          </w:p>
        </w:tc>
      </w:tr>
      <w:tr>
        <w:trPr>
          <w:trHeight w:val="234"/>
        </w:trPr>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808080"/>
            </w:tcBorders>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96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bl>
    <w:p>
      <w:pPr>
        <w:sectPr>
          <w:pgSz w:w="11900" w:h="16838" w:orient="portrait"/>
          <w:cols w:equalWidth="0" w:num="1">
            <w:col w:w="11520"/>
          </w:cols>
          <w:pgMar w:left="240" w:top="216" w:right="139" w:bottom="205"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360" cy="1051560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Sequoia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8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continue"/>
          </w:tcPr>
          <w:p>
            <w:pPr>
              <w:spacing w:after="0"/>
              <w:rPr>
                <w:sz w:val="6"/>
                <w:szCs w:val="6"/>
                <w:color w:val="auto"/>
              </w:rPr>
            </w:pPr>
          </w:p>
        </w:tc>
        <w:tc>
          <w:tcPr>
            <w:tcW w:w="820" w:type="dxa"/>
            <w:vAlign w:val="bottom"/>
            <w:vMerge w:val="restart"/>
          </w:tcPr>
          <w:p>
            <w:pPr>
              <w:jc w:val="right"/>
              <w:ind w:right="76"/>
              <w:spacing w:after="0" w:line="182" w:lineRule="exact"/>
              <w:rPr>
                <w:sz w:val="20"/>
                <w:szCs w:val="20"/>
                <w:color w:val="auto"/>
              </w:rPr>
            </w:pPr>
            <w:r>
              <w:rPr>
                <w:rFonts w:ascii="Times New Roman" w:cs="Times New Roman" w:eastAsia="Times New Roman" w:hAnsi="Times New Roman"/>
                <w:sz w:val="17"/>
                <w:szCs w:val="17"/>
                <w:color w:val="0000FF"/>
              </w:rPr>
              <w:t>142,525</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4"/>
            <w:vMerge w:val="restart"/>
          </w:tcPr>
          <w:p>
            <w:pPr>
              <w:ind w:left="60"/>
              <w:spacing w:after="0" w:line="104"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continue"/>
          </w:tcPr>
          <w:p>
            <w:pPr>
              <w:spacing w:after="0"/>
              <w:rPr>
                <w:sz w:val="6"/>
                <w:szCs w:val="6"/>
                <w:color w:val="auto"/>
              </w:rPr>
            </w:pPr>
          </w:p>
        </w:tc>
        <w:tc>
          <w:tcPr>
            <w:tcW w:w="1340" w:type="dxa"/>
            <w:vAlign w:val="bottom"/>
            <w:gridSpan w:val="3"/>
            <w:vMerge w:val="restart"/>
          </w:tcPr>
          <w:p>
            <w:pPr>
              <w:ind w:left="380"/>
              <w:spacing w:after="0" w:line="104" w:lineRule="exact"/>
              <w:rPr>
                <w:sz w:val="20"/>
                <w:szCs w:val="20"/>
                <w:color w:val="auto"/>
              </w:rPr>
            </w:pPr>
            <w:r>
              <w:rPr>
                <w:rFonts w:ascii="Times New Roman" w:cs="Times New Roman" w:eastAsia="Times New Roman" w:hAnsi="Times New Roman"/>
                <w:sz w:val="12"/>
                <w:szCs w:val="12"/>
                <w:color w:val="0000FF"/>
              </w:rPr>
              <w:t>11/26/2018</w:t>
            </w:r>
          </w:p>
        </w:tc>
        <w:tc>
          <w:tcPr>
            <w:tcW w:w="180" w:type="dxa"/>
            <w:vAlign w:val="bottom"/>
          </w:tcPr>
          <w:p>
            <w:pPr>
              <w:spacing w:after="0"/>
              <w:rPr>
                <w:sz w:val="6"/>
                <w:szCs w:val="6"/>
                <w:color w:val="auto"/>
              </w:rPr>
            </w:pPr>
          </w:p>
        </w:tc>
        <w:tc>
          <w:tcPr>
            <w:tcW w:w="1660" w:type="dxa"/>
            <w:vAlign w:val="bottom"/>
            <w:gridSpan w:val="5"/>
            <w:vMerge w:val="restart"/>
          </w:tcPr>
          <w:p>
            <w:pPr>
              <w:ind w:left="960"/>
              <w:spacing w:after="0" w:line="104"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vMerge w:val="restart"/>
          </w:tcPr>
          <w:p>
            <w:pPr>
              <w:jc w:val="right"/>
              <w:ind w:right="158"/>
              <w:spacing w:after="0" w:line="104" w:lineRule="exact"/>
              <w:rPr>
                <w:sz w:val="20"/>
                <w:szCs w:val="20"/>
                <w:color w:val="auto"/>
              </w:rPr>
            </w:pPr>
            <w:r>
              <w:rPr>
                <w:rFonts w:ascii="Times New Roman" w:cs="Times New Roman" w:eastAsia="Times New Roman" w:hAnsi="Times New Roman"/>
                <w:sz w:val="12"/>
                <w:szCs w:val="12"/>
                <w:color w:val="0000FF"/>
              </w:rPr>
              <w:t>142,525</w:t>
            </w: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restart"/>
          </w:tcPr>
          <w:p>
            <w:pPr>
              <w:jc w:val="center"/>
              <w:ind w:left="16"/>
              <w:spacing w:after="0" w:line="104"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6"/>
                <w:szCs w:val="6"/>
                <w:color w:val="auto"/>
              </w:rPr>
            </w:pPr>
          </w:p>
        </w:tc>
        <w:tc>
          <w:tcPr>
            <w:tcW w:w="660" w:type="dxa"/>
            <w:vAlign w:val="bottom"/>
            <w:vMerge w:val="restart"/>
          </w:tcPr>
          <w:p>
            <w:pPr>
              <w:jc w:val="right"/>
              <w:ind w:right="144"/>
              <w:spacing w:after="0" w:line="1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20" w:type="dxa"/>
            <w:vAlign w:val="bottom"/>
            <w:vMerge w:val="restart"/>
          </w:tcPr>
          <w:p>
            <w:pPr>
              <w:jc w:val="right"/>
              <w:ind w:right="218"/>
              <w:spacing w:after="0" w:line="104" w:lineRule="exact"/>
              <w:rPr>
                <w:sz w:val="20"/>
                <w:szCs w:val="20"/>
                <w:color w:val="auto"/>
              </w:rPr>
            </w:pPr>
            <w:r>
              <w:rPr>
                <w:rFonts w:ascii="Times New Roman" w:cs="Times New Roman" w:eastAsia="Times New Roman" w:hAnsi="Times New Roman"/>
                <w:sz w:val="12"/>
                <w:szCs w:val="12"/>
                <w:color w:val="0000FF"/>
              </w:rPr>
              <w:t>2,565,444</w:t>
            </w:r>
          </w:p>
        </w:tc>
        <w:tc>
          <w:tcPr>
            <w:tcW w:w="520" w:type="dxa"/>
            <w:vAlign w:val="bottom"/>
            <w:vMerge w:val="restart"/>
          </w:tcPr>
          <w:p>
            <w:pPr>
              <w:ind w:left="260"/>
              <w:spacing w:after="0" w:line="104" w:lineRule="exact"/>
              <w:rPr>
                <w:sz w:val="20"/>
                <w:szCs w:val="20"/>
                <w:color w:val="auto"/>
              </w:rPr>
            </w:pPr>
            <w:r>
              <w:rPr>
                <w:rFonts w:ascii="Times New Roman" w:cs="Times New Roman" w:eastAsia="Times New Roman" w:hAnsi="Times New Roman"/>
                <w:sz w:val="12"/>
                <w:szCs w:val="12"/>
                <w:color w:val="0000FF"/>
              </w:rPr>
              <w:t>I</w:t>
            </w: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00" w:type="dxa"/>
            <w:vAlign w:val="bottom"/>
          </w:tcPr>
          <w:p>
            <w:pPr>
              <w:ind w:left="200"/>
              <w:spacing w:after="0" w:line="26" w:lineRule="exact"/>
              <w:rPr>
                <w:sz w:val="20"/>
                <w:szCs w:val="20"/>
                <w:color w:val="auto"/>
              </w:rPr>
            </w:pPr>
            <w:r>
              <w:rPr>
                <w:rFonts w:ascii="Times New Roman" w:cs="Times New Roman" w:eastAsia="Times New Roman" w:hAnsi="Times New Roman"/>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XII, LP</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Times New Roman" w:cs="Times New Roman" w:eastAsia="Times New Roman" w:hAnsi="Times New Roman"/>
                <w:sz w:val="13"/>
                <w:szCs w:val="13"/>
                <w:color w:val="0000FF"/>
              </w:rPr>
              <w:t>Class B</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36"/>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407,091</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Capital XII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008000"/>
              </w:rPr>
              <w:t>(4)</w:t>
            </w:r>
          </w:p>
        </w:tc>
        <w:tc>
          <w:tcPr>
            <w:tcW w:w="1340" w:type="dxa"/>
            <w:vAlign w:val="bottom"/>
            <w:gridSpan w:val="3"/>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11/26/2018</w:t>
            </w:r>
          </w:p>
        </w:tc>
        <w:tc>
          <w:tcPr>
            <w:tcW w:w="180" w:type="dxa"/>
            <w:vAlign w:val="bottom"/>
          </w:tcPr>
          <w:p>
            <w:pPr>
              <w:spacing w:after="0"/>
              <w:rPr>
                <w:sz w:val="12"/>
                <w:szCs w:val="12"/>
                <w:color w:val="auto"/>
              </w:rPr>
            </w:pPr>
          </w:p>
        </w:tc>
        <w:tc>
          <w:tcPr>
            <w:tcW w:w="1660" w:type="dxa"/>
            <w:vAlign w:val="bottom"/>
            <w:gridSpan w:val="5"/>
          </w:tcPr>
          <w:p>
            <w:pPr>
              <w:ind w:left="960"/>
              <w:spacing w:after="0" w:line="143"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tcPr>
          <w:p>
            <w:pPr>
              <w:jc w:val="right"/>
              <w:ind w:right="158"/>
              <w:spacing w:after="0" w:line="143" w:lineRule="exact"/>
              <w:rPr>
                <w:sz w:val="20"/>
                <w:szCs w:val="20"/>
                <w:color w:val="auto"/>
              </w:rPr>
            </w:pPr>
            <w:r>
              <w:rPr>
                <w:rFonts w:ascii="Times New Roman" w:cs="Times New Roman" w:eastAsia="Times New Roman" w:hAnsi="Times New Roman"/>
                <w:sz w:val="13"/>
                <w:szCs w:val="13"/>
                <w:color w:val="0000FF"/>
              </w:rPr>
              <w:t>407,091</w:t>
            </w:r>
          </w:p>
        </w:tc>
        <w:tc>
          <w:tcPr>
            <w:tcW w:w="6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1380" w:type="dxa"/>
            <w:vAlign w:val="bottom"/>
            <w:gridSpan w:val="2"/>
          </w:tcPr>
          <w:p>
            <w:pPr>
              <w:ind w:left="320"/>
              <w:spacing w:after="0" w:line="143" w:lineRule="exact"/>
              <w:rPr>
                <w:sz w:val="20"/>
                <w:szCs w:val="20"/>
                <w:color w:val="auto"/>
              </w:rPr>
            </w:pPr>
            <w:r>
              <w:rPr>
                <w:rFonts w:ascii="Times New Roman" w:cs="Times New Roman" w:eastAsia="Times New Roman" w:hAnsi="Times New Roman"/>
                <w:sz w:val="16"/>
                <w:szCs w:val="16"/>
                <w:color w:val="008000"/>
                <w:w w:val="99"/>
                <w:vertAlign w:val="superscript"/>
              </w:rPr>
              <w:t>(4)</w:t>
            </w:r>
            <w:r>
              <w:rPr>
                <w:rFonts w:ascii="Times New Roman" w:cs="Times New Roman" w:eastAsia="Times New Roman" w:hAnsi="Times New Roman"/>
                <w:sz w:val="13"/>
                <w:szCs w:val="13"/>
                <w:color w:val="0000FF"/>
                <w:w w:val="99"/>
              </w:rPr>
              <w:t>Common</w:t>
            </w:r>
          </w:p>
        </w:tc>
        <w:tc>
          <w:tcPr>
            <w:tcW w:w="820" w:type="dxa"/>
            <w:vAlign w:val="bottom"/>
            <w:vMerge w:val="continue"/>
          </w:tcPr>
          <w:p>
            <w:pPr>
              <w:spacing w:after="0"/>
              <w:rPr>
                <w:sz w:val="12"/>
                <w:szCs w:val="12"/>
                <w:color w:val="auto"/>
              </w:rPr>
            </w:pPr>
          </w:p>
        </w:tc>
        <w:tc>
          <w:tcPr>
            <w:tcW w:w="660" w:type="dxa"/>
            <w:vAlign w:val="bottom"/>
          </w:tcPr>
          <w:p>
            <w:pPr>
              <w:jc w:val="right"/>
              <w:ind w:right="14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20" w:type="dxa"/>
            <w:vAlign w:val="bottom"/>
          </w:tcPr>
          <w:p>
            <w:pPr>
              <w:jc w:val="right"/>
              <w:ind w:right="218"/>
              <w:spacing w:after="0" w:line="143" w:lineRule="exact"/>
              <w:rPr>
                <w:sz w:val="20"/>
                <w:szCs w:val="20"/>
                <w:color w:val="auto"/>
              </w:rPr>
            </w:pPr>
            <w:r>
              <w:rPr>
                <w:rFonts w:ascii="Times New Roman" w:cs="Times New Roman" w:eastAsia="Times New Roman" w:hAnsi="Times New Roman"/>
                <w:sz w:val="13"/>
                <w:szCs w:val="13"/>
                <w:color w:val="0000FF"/>
              </w:rPr>
              <w:t>7,327,630</w:t>
            </w:r>
          </w:p>
        </w:tc>
        <w:tc>
          <w:tcPr>
            <w:tcW w:w="52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90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Principals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Fund,</w:t>
            </w:r>
          </w:p>
        </w:tc>
        <w:tc>
          <w:tcPr>
            <w:tcW w:w="0" w:type="dxa"/>
            <w:vAlign w:val="bottom"/>
          </w:tcPr>
          <w:p>
            <w:pPr>
              <w:spacing w:after="0"/>
              <w:rPr>
                <w:sz w:val="1"/>
                <w:szCs w:val="1"/>
                <w:color w:val="auto"/>
              </w:rPr>
            </w:pPr>
          </w:p>
        </w:tc>
      </w:tr>
      <w:tr>
        <w:trPr>
          <w:trHeight w:val="28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0"/>
              <w:spacing w:after="0" w:line="234" w:lineRule="exact"/>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880" w:type="dxa"/>
            <w:vAlign w:val="bottom"/>
            <w:tcBorders>
              <w:top w:val="single" w:sz="8" w:color="2C2C2C"/>
            </w:tcBorders>
            <w:gridSpan w:val="9"/>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7"/>
          </w:tcPr>
          <w:p>
            <w:pPr>
              <w:spacing w:after="0" w:line="222"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 XII MANAGEMENT LLC</w:t>
              </w:r>
            </w:hyperlink>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12"/>
          </w:tcPr>
          <w:p>
            <w:pPr>
              <w:spacing w:after="0" w:line="222"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SEQUOIA CAPITAL XII A DELAWARE L P</w:t>
              </w:r>
            </w:hyperlink>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12"/>
          </w:tcPr>
          <w:p>
            <w:pPr>
              <w:spacing w:after="0" w:line="222"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SEQUOIA CAPITAL XII PRINCIPALS FUND</w:t>
              </w:r>
            </w:hyperlink>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0000EE"/>
            </w:tcBorders>
            <w:gridSpan w:val="2"/>
          </w:tcPr>
          <w:p>
            <w:pPr>
              <w:spacing w:after="0" w:line="214"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LLC</w:t>
              </w:r>
            </w:hyperlink>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12"/>
          </w:tcPr>
          <w:p>
            <w:pPr>
              <w:spacing w:after="0" w:line="222"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SEQUOIA TECHNOLOGY PARTNERS XII A</w:t>
              </w:r>
            </w:hyperlink>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Borders>
              <w:top w:val="single" w:sz="8" w:color="0000EE"/>
            </w:tcBorders>
            <w:gridSpan w:val="7"/>
          </w:tcPr>
          <w:p>
            <w:pPr>
              <w:spacing w:after="0" w:line="214"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DELAWARE L P</w:t>
              </w:r>
            </w:hyperlink>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7"/>
          </w:tcPr>
          <w:p>
            <w:pPr>
              <w:spacing w:after="0" w:line="222"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SC US (TTGP), LTD.</w:t>
              </w:r>
            </w:hyperlink>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520"/>
          </w:cols>
          <w:pgMar w:left="240" w:top="184" w:right="139" w:bottom="0" w:gutter="0" w:footer="0" w:header="0"/>
        </w:sectPr>
      </w:pPr>
    </w:p>
    <w:p>
      <w:pPr>
        <w:ind w:left="120"/>
        <w:spacing w:after="0"/>
        <w:rPr>
          <w:sz w:val="20"/>
          <w:szCs w:val="20"/>
          <w:color w:val="auto"/>
        </w:rPr>
      </w:pPr>
      <w:r>
        <w:rPr>
          <w:rFonts w:ascii="Times New Roman" w:cs="Times New Roman" w:eastAsia="Times New Roman" w:hAnsi="Times New Roman"/>
          <w:sz w:val="16"/>
          <w:szCs w:val="16"/>
          <w:color w:val="0000FF"/>
        </w:rPr>
        <w:t>C/O SEQUOIA CAPITAL</w:t>
      </w:r>
    </w:p>
    <w:p>
      <w:pPr>
        <w:sectPr>
          <w:pgSz w:w="11900" w:h="16838" w:orient="portrait"/>
          <w:cols w:equalWidth="0" w:num="1">
            <w:col w:w="11520"/>
          </w:cols>
          <w:pgMar w:left="240" w:top="184" w:right="139" w:bottom="0" w:gutter="0" w:footer="0" w:header="0"/>
          <w:type w:val="continuous"/>
        </w:sectPr>
      </w:pPr>
    </w:p>
    <w:bookmarkStart w:id="2" w:name="page3"/>
    <w:bookmarkEnd w:id="2"/>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2800 SAND HILL ROAD, SUITE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-115570</wp:posOffset>
            </wp:positionV>
            <wp:extent cx="2921000" cy="4558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921000" cy="4558665"/>
                    </a:xfrm>
                    <a:prstGeom prst="rect">
                      <a:avLst/>
                    </a:prstGeom>
                    <a:noFill/>
                  </pic:spPr>
                </pic:pic>
              </a:graphicData>
            </a:graphic>
          </wp:anchor>
        </w:drawing>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11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96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SC U.S. VENTURE 2010 MANAGEMENT, L.P.</w:t>
        </w:r>
      </w:hyperlink>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63"/>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1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2"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SEQUOIA CAPITAL U.S. VENTURE 2010-SEED</w:t>
        </w:r>
      </w:hyperlink>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FUND, L.P.</w:t>
        </w:r>
      </w:hyperlink>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63"/>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1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jc w:val="both"/>
        <w:ind w:firstLine="3"/>
        <w:spacing w:after="0" w:line="23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 XII Management, LLC ("SC XII Management") is the general partner of Sequoia Capital XII, L.P. and Sequoia Technology Partners XII, L.P. and is the managing member of Sequoia Capital XII Principals Fund, LLC. As a result, SC XII Management may be deemed to share voting and dispositive power with respect to the shares held by Sequoia Capital XII, L.P., Sequoia Technology Partners XII, L.P. and Sequoia Capital XII Principals Fund, LLC.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8"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distribution of Class A Common Stock of the Issuer to partners or members and includes subsequent distributions by general partners or managing members to their respective partners or members.</w:t>
      </w:r>
    </w:p>
    <w:p>
      <w:pPr>
        <w:spacing w:after="0" w:line="45" w:lineRule="exact"/>
        <w:rPr>
          <w:rFonts w:ascii="Times New Roman" w:cs="Times New Roman" w:eastAsia="Times New Roman" w:hAnsi="Times New Roman"/>
          <w:sz w:val="13"/>
          <w:szCs w:val="13"/>
          <w:color w:val="008000"/>
        </w:rPr>
      </w:pPr>
    </w:p>
    <w:p>
      <w:pPr>
        <w:ind w:firstLine="3"/>
        <w:spacing w:after="0" w:line="23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 US (TTGP), Ltd. is the general partner of SC U.S. Venture 2010 Management, L.P., which is the general partner of Sequoia Capital U.S. Venture 2010-Seed Fund, L.P. As a result, SC US (TTGP), Ltd. may be deemed to share voting and dispositive power with respect the shares held by Sequoia Capital U.S. Venture 2010-Seed Fund, L.P.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8"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52" w:orient="portrait"/>
          <w:cols w:equalWidth="0" w:num="1">
            <w:col w:w="11320"/>
          </w:cols>
          <w:pgMar w:left="280" w:top="127" w:right="299" w:bottom="0" w:gutter="0" w:footer="0" w:header="0"/>
        </w:sectPr>
      </w:pPr>
    </w:p>
    <w:p>
      <w:pPr>
        <w:spacing w:after="0" w:line="13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815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344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665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Partner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37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670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344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000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Managing Member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1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Capital XII Principals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417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344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66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Partner of Sequoia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2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Partners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747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344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91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45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45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45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45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45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83" w:lineRule="exact"/>
        <w:rPr>
          <w:sz w:val="20"/>
          <w:szCs w:val="20"/>
          <w:color w:val="auto"/>
        </w:rPr>
      </w:pPr>
    </w:p>
    <w:p>
      <w:pPr>
        <w:sectPr>
          <w:pgSz w:w="11900" w:h="16852" w:orient="portrait"/>
          <w:cols w:equalWidth="0" w:num="2">
            <w:col w:w="9060" w:space="60"/>
            <w:col w:w="2200"/>
          </w:cols>
          <w:pgMar w:left="280" w:top="127" w:right="299" w:bottom="0" w:gutter="0" w:footer="0" w:header="0"/>
          <w:type w:val="continuous"/>
        </w:sectPr>
      </w:pPr>
    </w:p>
    <w:p>
      <w:pPr>
        <w:ind w:left="6820"/>
        <w:spacing w:after="0"/>
        <w:rPr>
          <w:sz w:val="20"/>
          <w:szCs w:val="20"/>
          <w:color w:val="auto"/>
        </w:rPr>
      </w:pPr>
      <w:r>
        <w:rPr>
          <w:rFonts w:ascii="Times New Roman" w:cs="Times New Roman" w:eastAsia="Times New Roman" w:hAnsi="Times New Roman"/>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344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Director of SC US (TTGP), Ltd., 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936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95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817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34" w:lineRule="exact"/>
        <w:rPr>
          <w:sz w:val="20"/>
          <w:szCs w:val="20"/>
          <w:color w:val="auto"/>
        </w:rPr>
      </w:pPr>
    </w:p>
    <w:p>
      <w:pPr>
        <w:ind w:left="6820"/>
        <w:spacing w:after="0"/>
        <w:tabs>
          <w:tab w:leader="none" w:pos="9100" w:val="left"/>
        </w:tabs>
        <w:rPr>
          <w:sz w:val="20"/>
          <w:szCs w:val="20"/>
          <w:color w:val="auto"/>
        </w:rPr>
      </w:pPr>
      <w:r>
        <w:rPr>
          <w:rFonts w:ascii="Times New Roman" w:cs="Times New Roman" w:eastAsia="Times New Roman" w:hAnsi="Times New Roman"/>
          <w:sz w:val="17"/>
          <w:szCs w:val="17"/>
          <w:color w:val="0000FF"/>
        </w:rPr>
        <w:t>/s/ Jung Yeon Son, by power of</w:t>
      </w:r>
      <w:r>
        <w:rPr>
          <w:sz w:val="20"/>
          <w:szCs w:val="20"/>
          <w:color w:val="auto"/>
        </w:rPr>
        <w:tab/>
      </w:r>
      <w:r>
        <w:rPr>
          <w:rFonts w:ascii="Times New Roman" w:cs="Times New Roman" w:eastAsia="Times New Roman" w:hAnsi="Times New Roman"/>
          <w:sz w:val="16"/>
          <w:szCs w:val="16"/>
          <w:color w:val="0000FF"/>
        </w:rPr>
        <w:t>11/28/2018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936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417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ectPr>
          <w:pgSz w:w="11900" w:h="16852" w:orient="portrait"/>
          <w:cols w:equalWidth="0" w:num="1">
            <w:col w:w="11320"/>
          </w:cols>
          <w:pgMar w:left="280" w:top="127" w:right="299" w:bottom="0" w:gutter="0" w:footer="0" w:header="0"/>
          <w:type w:val="continuous"/>
        </w:sectPr>
      </w:pPr>
    </w:p>
    <w:bookmarkStart w:id="3" w:name="page4"/>
    <w:bookmarkEnd w:id="3"/>
    <w:p>
      <w:pPr>
        <w:ind w:left="6820"/>
        <w:spacing w:after="0"/>
        <w:rPr>
          <w:sz w:val="20"/>
          <w:szCs w:val="20"/>
          <w:color w:val="auto"/>
        </w:rPr>
      </w:pPr>
      <w:r>
        <w:rPr>
          <w:rFonts w:ascii="Times New Roman" w:cs="Times New Roman" w:eastAsia="Times New Roman" w:hAnsi="Times New Roman"/>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-8255</wp:posOffset>
            </wp:positionV>
            <wp:extent cx="1295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409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92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Capital U.S. Venture 2010-Seed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7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0000FF"/>
        </w:rPr>
        <w:t>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440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40690" cy="8255"/>
                    </a:xfrm>
                    <a:prstGeom prst="rect">
                      <a:avLst/>
                    </a:prstGeom>
                    <a:noFill/>
                  </pic:spPr>
                </pic:pic>
              </a:graphicData>
            </a:graphic>
          </wp:anchor>
        </w:drawing>
      </w:r>
    </w:p>
    <w:p>
      <w:pPr>
        <w:spacing w:after="0" w:line="30"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12" Type="http://schemas.openxmlformats.org/officeDocument/2006/relationships/hyperlink" Target="http://www.sec.gov/cgi-bin/browse-edgar?action=getcompany&amp;CIK=0001374246" TargetMode="External"/><Relationship Id="rId13" Type="http://schemas.openxmlformats.org/officeDocument/2006/relationships/hyperlink" Target="http://www.sec.gov/cgi-bin/browse-edgar?action=getcompany&amp;CIK=0001467623" TargetMode="External"/><Relationship Id="rId15" Type="http://schemas.openxmlformats.org/officeDocument/2006/relationships/hyperlink" Target="http://www.sec.gov/cgi-bin/browse-edgar?action=getcompany&amp;CIK=0001367770" TargetMode="External"/><Relationship Id="rId16" Type="http://schemas.openxmlformats.org/officeDocument/2006/relationships/hyperlink" Target="http://www.sec.gov/cgi-bin/browse-edgar?action=getcompany&amp;CIK=0001447932" TargetMode="External"/><Relationship Id="rId17" Type="http://schemas.openxmlformats.org/officeDocument/2006/relationships/hyperlink" Target="http://www.sec.gov/cgi-bin/browse-edgar?action=getcompany&amp;CIK=0001380096" TargetMode="External"/><Relationship Id="rId18" Type="http://schemas.openxmlformats.org/officeDocument/2006/relationships/hyperlink" Target="http://www.sec.gov/cgi-bin/browse-edgar?action=getcompany&amp;CIK=0001607841" TargetMode="External"/><Relationship Id="rId20" Type="http://schemas.openxmlformats.org/officeDocument/2006/relationships/hyperlink" Target="http://www.sec.gov/cgi-bin/browse-edgar?action=getcompany&amp;CIK=0001611355" TargetMode="External"/><Relationship Id="rId21" Type="http://schemas.openxmlformats.org/officeDocument/2006/relationships/hyperlink" Target="http://www.sec.gov/cgi-bin/browse-edgar?action=getcompany&amp;CIK=0001563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2019-12-23T15:59:35Z</dcterms:created>
  <dcterms:modified xsi:type="dcterms:W3CDTF">2019-12-23T15:59:35Z</dcterms:modified>
</cp:coreProperties>
</file>