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7084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08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Houston Andrew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OWENS STREET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DBX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16"/>
        <w:spacing w:after="0"/>
        <w:tabs>
          <w:tab w:leader="none" w:pos="171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1100" w:type="dxa"/>
            <w:vAlign w:val="bottom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6720" w:type="dxa"/>
            <w:vAlign w:val="bottom"/>
            <w:vMerge w:val="restart"/>
          </w:tcPr>
          <w:p>
            <w:pPr>
              <w:ind w:left="4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20" w:type="dxa"/>
            <w:vAlign w:val="bottom"/>
          </w:tcPr>
          <w:p>
            <w:pPr>
              <w:ind w:left="45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20" w:type="dxa"/>
            <w:vAlign w:val="bottom"/>
          </w:tcPr>
          <w:p>
            <w:pPr>
              <w:ind w:left="45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184,000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28.4826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851,728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28.4827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716,728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444,444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184,000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67,559,629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135,000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7,608,764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5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500,500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(10)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-2437765</wp:posOffset>
            </wp:positionV>
            <wp:extent cx="28575" cy="2442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4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184,000 shares of Class B Common Stock were converted into 184,000 shares of Class A Common Stock at the election of the Reporting Person and had no expiration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Andrew Houston Revocable Trust u/a/d 9/7/2011, for which Reporting Person serves as trustee.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Rule 10b5-1 trading plan adopted by the Reporting Person on March 12,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$28.07 to $28.87.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135,000 shares of Class B Common Stock were converted into 135,000 shares of Class A Common Stock at the election of the Reporting Person and had no expiration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Houston Remainder Trust u/a/d 12/30/2010, for which reporting Person serves as trustee.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200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Houston 2012 Irrevocable Children's Trust u/a/d 4/12/2012, for which Reporting Person serves as trustee.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6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Cara Angelmar,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4164330</wp:posOffset>
            </wp:positionH>
            <wp:positionV relativeFrom="paragraph">
              <wp:posOffset>-26035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4164330</wp:posOffset>
            </wp:positionH>
            <wp:positionV relativeFrom="paragraph">
              <wp:posOffset>-21590</wp:posOffset>
            </wp:positionV>
            <wp:extent cx="180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5563235</wp:posOffset>
            </wp:positionH>
            <wp:positionV relativeFrom="paragraph">
              <wp:posOffset>-86360</wp:posOffset>
            </wp:positionV>
            <wp:extent cx="4787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32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2025-06-13T15:30:28Z</dcterms:created>
  <dcterms:modified xsi:type="dcterms:W3CDTF">2025-06-13T15:30:28Z</dcterms:modified>
</cp:coreProperties>
</file>