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Cox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11/15/2024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11,970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27.67</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324,201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11/18/2024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2,330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26.4058</w:t>
            </w:r>
            <w:r>
              <w:rPr>
                <w:rFonts w:ascii="Times New Roman" w:cs="Times New Roman" w:eastAsia="Times New Roman" w:hAnsi="Times New Roman"/>
                <w:sz w:val="22"/>
                <w:szCs w:val="22"/>
                <w:color w:val="008000"/>
                <w:w w:val="92"/>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321,871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units previously reported.</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November 15, 2027. In the event the Reporting Person ceases to be a Service Provider, the unvested restricted stock units will be cancelled by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March 11,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$26.16 to $27.02.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11/19/2024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4" w:lineRule="exact"/>
        <w:rPr>
          <w:sz w:val="20"/>
          <w:szCs w:val="20"/>
          <w:color w:val="auto"/>
        </w:rPr>
      </w:pPr>
    </w:p>
    <w:p>
      <w:pPr>
        <w:ind w:right="3659" w:firstLine="832"/>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65"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1" w:lineRule="exact"/>
        <w:rPr>
          <w:sz w:val="20"/>
          <w:szCs w:val="20"/>
          <w:color w:val="auto"/>
        </w:rPr>
      </w:pPr>
    </w:p>
    <w:p>
      <w:pPr>
        <w:ind w:right="3859" w:firstLine="832"/>
        <w:spacing w:after="0" w:line="26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spacing w:after="0" w:line="1" w:lineRule="exact"/>
        <w:rPr>
          <w:sz w:val="20"/>
          <w:szCs w:val="20"/>
          <w:color w:val="auto"/>
        </w:rPr>
      </w:pPr>
    </w:p>
    <w:p>
      <w:pPr>
        <w:ind w:right="4699"/>
        <w:spacing w:after="0" w:line="277"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78" w:lineRule="exact"/>
        <w:rPr>
          <w:sz w:val="20"/>
          <w:szCs w:val="20"/>
          <w:color w:val="auto"/>
        </w:rPr>
      </w:pPr>
    </w:p>
    <w:p>
      <w:pPr>
        <w:ind w:right="457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Eric Cox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Eric Cox</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12/12/2023</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3472"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2024-11-19T15:17:30Z</dcterms:created>
  <dcterms:modified xsi:type="dcterms:W3CDTF">2024-11-19T15:17:30Z</dcterms:modified>
</cp:coreProperties>
</file>