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178435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May 23, 2019</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DROPBOX,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517" w:right="419" w:bottom="1440" w:gutter="0" w:footer="0" w:header="0"/>
        </w:sectPr>
      </w:pPr>
    </w:p>
    <w:p>
      <w:pPr>
        <w:spacing w:after="0" w:line="394"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001-38434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26-0138832</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(I. R. S. Employer</w:t>
      </w:r>
    </w:p>
    <w:p>
      <w:pPr>
        <w:spacing w:after="0" w:line="21"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860" w:space="720"/>
            <w:col w:w="3260" w:space="720"/>
            <w:col w:w="2480"/>
          </w:cols>
          <w:pgMar w:left="440" w:top="517" w:right="419" w:bottom="1440" w:gutter="0" w:footer="0" w:header="0"/>
          <w:type w:val="continuous"/>
        </w:sectPr>
      </w:pP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Brannan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166370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517" w:right="419" w:bottom="1440" w:gutter="0" w:footer="0" w:header="0"/>
          <w:type w:val="continuous"/>
        </w:sectPr>
      </w:pPr>
    </w:p>
    <w:p>
      <w:pPr>
        <w:spacing w:after="0" w:line="36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vMerge w:val="continue"/>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of</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DBX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$0.00001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517" w:right="41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23, 2019, at the 2019 Annual Meeting of Stockholders (the “Annual Meeting”) of Dropbox, Inc. (the “Company”), the Company’s stockholders voted upon the following proposals described in the Company’s definitive proxy statement filed with the Securities and Exchange Commission on April 9, 2019: (1) to elect eight directors to the Board of Directors of the Company (the “Board”); (2) to ratify the appointment of Ernst &amp; Young LLP, an independent registered public accounting firm, as auditors for the fiscal year ending December 31, 2019; (3) to approve a non-binding advisory vote regarding executive compensation; and (4) to approve, on an advisory basis, the frequency of future stockholder advisory votes on the compensation of our named executive officers.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nominated directors were elected and the other proposals were approved by the required stockholder vote. The final voting results with respect to each proposal is as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Proposal for election of eight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2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For</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Withhold</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Donald Blair</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1,891,395,077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32,303,736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Paul E. Jacobs</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1,887,289,860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36,408,953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Robert J. Mylod, Jr.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1,891,430,782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32,268,031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Condoleezza Rice</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1,891,031,552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32,667,261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 Bryan Schreier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1,891,378,036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32,320,777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Margaret C. Whitman</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1,887,162,663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36,536,150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Andrew W. Houston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1,890,786,580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32,912,233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Arash Ferdowsi</w:t>
            </w: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1,891,344,148</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32,354,665</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64,579,546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7680" w:type="dxa"/>
            <w:vAlign w:val="bottom"/>
            <w:gridSpan w:val="14"/>
          </w:tcPr>
          <w:p>
            <w:pPr>
              <w:ind w:left="20"/>
              <w:spacing w:after="0"/>
              <w:rPr>
                <w:sz w:val="20"/>
                <w:szCs w:val="20"/>
                <w:color w:val="auto"/>
              </w:rPr>
            </w:pPr>
            <w:r>
              <w:rPr>
                <w:rFonts w:ascii="Arial" w:cs="Arial" w:eastAsia="Arial" w:hAnsi="Arial"/>
                <w:sz w:val="18"/>
                <w:szCs w:val="18"/>
                <w:color w:val="auto"/>
              </w:rPr>
              <w:t>Proposal to ratify Ernst &amp; Young LLP as auditors for the fiscal year ending December 31, 2019:</w:t>
            </w: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05"/>
        </w:trPr>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For</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gridSpan w:val="6"/>
          </w:tcPr>
          <w:p>
            <w:pPr>
              <w:jc w:val="center"/>
              <w:ind w:right="1960"/>
              <w:spacing w:after="0"/>
              <w:rPr>
                <w:sz w:val="20"/>
                <w:szCs w:val="20"/>
                <w:color w:val="auto"/>
              </w:rPr>
            </w:pPr>
            <w:r>
              <w:rPr>
                <w:rFonts w:ascii="Arial" w:cs="Arial" w:eastAsia="Arial" w:hAnsi="Arial"/>
                <w:sz w:val="14"/>
                <w:szCs w:val="14"/>
                <w:b w:val="1"/>
                <w:bCs w:val="1"/>
                <w:color w:val="auto"/>
                <w:w w:val="89"/>
              </w:rPr>
              <w:t>Against</w:t>
            </w:r>
          </w:p>
        </w:tc>
        <w:tc>
          <w:tcPr>
            <w:tcW w:w="22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3"/>
              </w:rPr>
              <w:t>Abstain</w:t>
            </w:r>
          </w:p>
        </w:tc>
      </w:tr>
      <w:tr>
        <w:trPr>
          <w:trHeight w:val="210"/>
        </w:trPr>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2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1,986,965,322</w:t>
            </w: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gridSpan w:val="3"/>
            <w:shd w:val="clear" w:color="auto" w:fill="CCEEFF"/>
          </w:tcPr>
          <w:p>
            <w:pPr>
              <w:jc w:val="right"/>
              <w:ind w:right="799"/>
              <w:spacing w:after="0"/>
              <w:rPr>
                <w:sz w:val="20"/>
                <w:szCs w:val="20"/>
                <w:color w:val="auto"/>
              </w:rPr>
            </w:pPr>
            <w:r>
              <w:rPr>
                <w:rFonts w:ascii="Arial" w:cs="Arial" w:eastAsia="Arial" w:hAnsi="Arial"/>
                <w:sz w:val="18"/>
                <w:szCs w:val="18"/>
                <w:b w:val="1"/>
                <w:bCs w:val="1"/>
                <w:color w:val="auto"/>
              </w:rPr>
              <w:t>489,081</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86"/>
              </w:rPr>
              <w:t>823,956</w:t>
            </w:r>
          </w:p>
        </w:tc>
        <w:tc>
          <w:tcPr>
            <w:tcW w:w="660" w:type="dxa"/>
            <w:vAlign w:val="bottom"/>
          </w:tcPr>
          <w:p>
            <w:pPr>
              <w:spacing w:after="0"/>
              <w:rPr>
                <w:sz w:val="18"/>
                <w:szCs w:val="18"/>
                <w:color w:val="auto"/>
              </w:rPr>
            </w:pPr>
          </w:p>
        </w:tc>
      </w:tr>
      <w:tr>
        <w:trPr>
          <w:trHeight w:val="432"/>
        </w:trPr>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9900" w:type="dxa"/>
            <w:vAlign w:val="bottom"/>
            <w:gridSpan w:val="16"/>
          </w:tcPr>
          <w:p>
            <w:pPr>
              <w:ind w:left="20"/>
              <w:spacing w:after="0"/>
              <w:rPr>
                <w:sz w:val="20"/>
                <w:szCs w:val="20"/>
                <w:color w:val="auto"/>
              </w:rPr>
            </w:pPr>
            <w:r>
              <w:rPr>
                <w:rFonts w:ascii="Arial" w:cs="Arial" w:eastAsia="Arial" w:hAnsi="Arial"/>
                <w:sz w:val="18"/>
                <w:szCs w:val="18"/>
                <w:color w:val="auto"/>
                <w:w w:val="99"/>
              </w:rPr>
              <w:t>Proposal to approve a non-binding advisory resolution on the compensation of the named executive officers of the Company:</w:t>
            </w:r>
          </w:p>
        </w:tc>
      </w:tr>
      <w:tr>
        <w:trPr>
          <w:trHeight w:val="405"/>
        </w:trPr>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7"/>
              </w:rPr>
              <w:t>For</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Abstain</w:t>
            </w:r>
          </w:p>
        </w:tc>
        <w:tc>
          <w:tcPr>
            <w:tcW w:w="2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jc w:val="right"/>
              <w:ind w:right="562"/>
              <w:spacing w:after="0"/>
              <w:rPr>
                <w:sz w:val="20"/>
                <w:szCs w:val="20"/>
                <w:color w:val="auto"/>
              </w:rPr>
            </w:pPr>
            <w:r>
              <w:rPr>
                <w:rFonts w:ascii="Arial" w:cs="Arial" w:eastAsia="Arial" w:hAnsi="Arial"/>
                <w:sz w:val="18"/>
                <w:szCs w:val="18"/>
                <w:b w:val="1"/>
                <w:bCs w:val="1"/>
                <w:color w:val="auto"/>
              </w:rPr>
              <w:t>1,920,394,228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2,003,697</w:t>
            </w: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1,300,888</w:t>
            </w: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64,579,546</w:t>
            </w:r>
          </w:p>
        </w:tc>
        <w:tc>
          <w:tcPr>
            <w:tcW w:w="660" w:type="dxa"/>
            <w:vAlign w:val="bottom"/>
            <w:tcBorders>
              <w:top w:val="single" w:sz="8" w:color="auto"/>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(4) Proposal to approve, on an advisory basis, the frequency of future stockholder advisory votes on the compensation of our named executive officers: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1 Year</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2 Years</w:t>
            </w: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3 Years</w:t>
            </w:r>
          </w:p>
        </w:tc>
        <w:tc>
          <w:tcPr>
            <w:tcW w:w="2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Abstain</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10"/>
        </w:trPr>
        <w:tc>
          <w:tcPr>
            <w:tcW w:w="222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b w:val="1"/>
                <w:bCs w:val="1"/>
                <w:color w:val="auto"/>
              </w:rPr>
              <w:t>1,921,863,976</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b w:val="1"/>
                <w:bCs w:val="1"/>
                <w:color w:val="auto"/>
              </w:rPr>
              <w:t>131,848</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b w:val="1"/>
                <w:bCs w:val="1"/>
                <w:color w:val="auto"/>
              </w:rPr>
              <w:t>1,065,501</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rPr>
              <w:t>637,488</w:t>
            </w:r>
          </w:p>
        </w:tc>
        <w:tc>
          <w:tcPr>
            <w:tcW w:w="36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b w:val="1"/>
                <w:bCs w:val="1"/>
                <w:color w:val="auto"/>
              </w:rPr>
              <w:t>64,579,546</w:t>
            </w:r>
          </w:p>
        </w:tc>
      </w:tr>
    </w:tbl>
    <w:p>
      <w:pPr>
        <w:spacing w:after="0" w:line="20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Based on the results of the vote, and consistent with the Board’s recommendation, the Board has determined to hold a non-binding advisory vote regarding executive compensation every year until the next required non-binding advisory vote on the frequency of holding future votes regarding executive compensation.</w:t>
      </w:r>
    </w:p>
    <w:p>
      <w:pPr>
        <w:sectPr>
          <w:pgSz w:w="11900" w:h="16838" w:orient="portrait"/>
          <w:cols w:equalWidth="0" w:num="1">
            <w:col w:w="11040"/>
          </w:cols>
          <w:pgMar w:left="440" w:top="270"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29,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Dropbox,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Bart Volkmer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2019-12-02T06:58:29Z</dcterms:created>
  <dcterms:modified xsi:type="dcterms:W3CDTF">2019-12-02T06:58:29Z</dcterms:modified>
</cp:coreProperties>
</file>