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Cox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Customer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10,520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24.02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359,007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and remittance obligations in connection with the vesting and net settlement of restricted stock units previously reported.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units. Each restricted stock unit represents the Reporting Person's right to receive one share of Class A Common Stock, subject to the applicable vesting schedule through November 15, 2027.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riccox.txt"/>
      <w:bookmarkStart w:id="3" w:name="ksericcox"/>
      <w:bookmarkEnd w:id="2"/>
      <w:bookmarkEnd w:id="3"/>
      <w:r>
        <w:rPr/>
        <w:t>LIMITED POWER OF ATTORNEY - SECURITIES LAW COMPLIANCE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undersigned, as an officer or director of Dropbox,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"Corporation"), herby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Timothy Regan, Bart Volkmer and Cara Angelmar, each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and agent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complete and execute such Forms 144, Form ID, Forms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 and 5 and other forms as such attorney shall in his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 discretion determine to be required or advisable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Rule 144 promulgated under the Securities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1933, as amended,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promulgated thereunder, or any successor laws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regulations, as a consequence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acquisition or disposition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Corporation, and to do all acts necessary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order to file such forms with the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Commission,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national association, the Corporation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or agency as the attorney shall deem 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ratifies and confirms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said attorneys-in-fact and agents shall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hereof.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 (as amended).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Limited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the 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Forms 3, 4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Corporation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is executed as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/s/ Eric Cox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Eric Cox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12/12/2023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73472" TargetMode="External"/><Relationship Id="rId4" Type="http://schemas.openxmlformats.org/officeDocument/2006/relationships/hyperlink" Target="http://www.sec.gov/cgi-bin/browse-edgar?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957</Words>
  <Characters>5186</Characters>
  <CharactersWithSpaces>6070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