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243840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44450</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November 8, 2018</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243840</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21590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678" w:right="1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678"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678"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678" w:right="139" w:bottom="1440" w:gutter="0" w:footer="0" w:header="0"/>
          <w:type w:val="continuous"/>
        </w:sectPr>
      </w:pP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7"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520"/>
          </w:cols>
          <w:pgMar w:left="240" w:top="678"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On November 8, 2018, Dropbox, Inc. (“Dropbox”) issued a press release and will hold a conference call announcing its financial results for the quarter ended September 30, 2018. A copy of the press release is attached as Exhibit 99.1 to this current report on Form 8-K and is incorporated by reference herein.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November 8, 2018,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83"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Press Release entitled “Dropbox Announces Fiscal 2018 Third Quarter Results” dated November 8, 2018</w:t>
              </w:r>
            </w:hyperlink>
          </w:p>
        </w:tc>
        <w:tc>
          <w:tcPr>
            <w:tcW w:w="2420" w:type="dxa"/>
            <w:vAlign w:val="bottom"/>
          </w:tcPr>
          <w:p>
            <w:pPr>
              <w:spacing w:after="0"/>
              <w:rPr>
                <w:sz w:val="17"/>
                <w:szCs w:val="17"/>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2018</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60"/>
          </w:cols>
          <w:pgMar w:left="240" w:top="580"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Dropbox Announces Fiscal 2018 Third Quarter Results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Revenue of $360.3 Million, Up 26% Year-over-year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Net Cash Provided by Operating Activities of $128.0 Million and Free Cash Flow of $120.0 Million</w:t>
      </w:r>
    </w:p>
    <w:p>
      <w:pPr>
        <w:spacing w:after="0" w:line="206" w:lineRule="exact"/>
        <w:rPr>
          <w:sz w:val="20"/>
          <w:szCs w:val="20"/>
          <w:color w:val="auto"/>
        </w:rPr>
      </w:pPr>
    </w:p>
    <w:p>
      <w:pPr>
        <w:ind w:right="500"/>
        <w:spacing w:after="0" w:line="281"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November 8, 2018 - Dropbox, Inc. (NASDAQ: DBX), a leading global collaboration platform,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third fiscal quarter ended September 30, 2018.</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delivered another quarter of strong execution in Q3, driving healthy top line growth and expanding free cash flow margins," said Dropbox Co-founder and Chief Executive Officer Drew Houston. "We’re shipping product features and updates our users love, based on a deep understanding of our customers and the tools they need to do their best work. Combined with our ecosystem of best-in-class partners, Dropbox is becoming an even more central part of our customers’ workflows."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2018 Results</w:t>
      </w:r>
    </w:p>
    <w:p>
      <w:pPr>
        <w:spacing w:after="0" w:line="229"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$360.3 million, an increase of 26% from the same period last year.</w:t>
      </w:r>
    </w:p>
    <w:p>
      <w:pPr>
        <w:spacing w:after="0" w:line="224" w:lineRule="exact"/>
        <w:rPr>
          <w:rFonts w:ascii="Arial" w:cs="Arial" w:eastAsia="Arial" w:hAnsi="Arial"/>
          <w:sz w:val="18"/>
          <w:szCs w:val="18"/>
          <w:color w:val="auto"/>
        </w:rPr>
      </w:pPr>
    </w:p>
    <w:p>
      <w:pPr>
        <w:ind w:left="660" w:right="58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totaled 12.3 million, as compared to 10.4 million for the same period last year. Average revenue per paying user was $118.60, as compared to $112.05 for the same period last year.</w:t>
      </w:r>
    </w:p>
    <w:p>
      <w:pPr>
        <w:spacing w:after="0" w:line="169"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75.0%, as compared to 68.1% in the same period last year. Non-GAAP gross margin was 75.9%, as compared to 69.1% in the same period last year.</w:t>
      </w:r>
    </w:p>
    <w:p>
      <w:pPr>
        <w:spacing w:after="0" w:line="169"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(2.5%), as compared to (5.7%) in the same period last year. Non-GAAP operating margin was 12.8%, as compared to 8.2% in the same period last year.</w:t>
      </w:r>
    </w:p>
    <w:p>
      <w:pPr>
        <w:spacing w:after="0" w:line="169" w:lineRule="exact"/>
        <w:rPr>
          <w:rFonts w:ascii="Arial" w:cs="Arial" w:eastAsia="Arial" w:hAnsi="Arial"/>
          <w:sz w:val="18"/>
          <w:szCs w:val="18"/>
          <w:color w:val="auto"/>
        </w:rPr>
      </w:pPr>
    </w:p>
    <w:p>
      <w:pPr>
        <w:ind w:left="660" w:right="6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loss was ($5.8) million, as compared to ($14.1) million in the same period last year. Non-GAAP net income was $45.0 million, as compared to $23.5 million in the same period last year.</w:t>
      </w:r>
    </w:p>
    <w:p>
      <w:pPr>
        <w:spacing w:after="0" w:line="169"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$128.0 million, as compared to $111.5 million in the same period last year. Free cash flow was $120.0 million, as compared to $108.3 million in the same period last year.</w:t>
      </w:r>
    </w:p>
    <w:p>
      <w:pPr>
        <w:spacing w:after="0" w:line="169" w:lineRule="exact"/>
        <w:rPr>
          <w:rFonts w:ascii="Arial" w:cs="Arial" w:eastAsia="Arial" w:hAnsi="Arial"/>
          <w:sz w:val="18"/>
          <w:szCs w:val="18"/>
          <w:color w:val="auto"/>
        </w:rPr>
      </w:pPr>
    </w:p>
    <w:p>
      <w:pPr>
        <w:ind w:left="660" w:right="40" w:hanging="328"/>
        <w:spacing w:after="0" w:line="28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GAAP basic and diluted net loss per share was ($0.01), as compared to ($0.07) in the same period last year. Non-GAAP diluted net income per share was $0.11, as compared to $0.07 in the same period last year. </w:t>
      </w:r>
      <w:r>
        <w:rPr>
          <w:rFonts w:ascii="Arial" w:cs="Arial" w:eastAsia="Arial" w:hAnsi="Arial"/>
          <w:sz w:val="25"/>
          <w:szCs w:val="25"/>
          <w:color w:val="auto"/>
          <w:vertAlign w:val="superscript"/>
        </w:rPr>
        <w:t>(1)</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$1,039.1 million at the end of the third quarter of 2018.</w:t>
      </w:r>
    </w:p>
    <w:p>
      <w:pPr>
        <w:spacing w:after="0" w:line="337" w:lineRule="exact"/>
        <w:rPr>
          <w:rFonts w:ascii="Arial" w:cs="Arial" w:eastAsia="Arial" w:hAnsi="Arial"/>
          <w:sz w:val="18"/>
          <w:szCs w:val="18"/>
          <w:color w:val="auto"/>
        </w:rPr>
      </w:pPr>
    </w:p>
    <w:p>
      <w:pPr>
        <w:ind w:right="220" w:firstLine="8"/>
        <w:spacing w:after="0" w:line="308" w:lineRule="auto"/>
        <w:tabs>
          <w:tab w:leader="none" w:pos="178"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per share is calculated based upon 420.0 million and 350.4 million diluted weighted-average shares of common stock for the three months ended September 30, 2018 and 2017, respectively.</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Dropbox will provide forward-looking guidance in connection with this quarterly earnings announcement on our conference call, webcast, and on our investor relations website at investors.dropbox.com.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Dropbox plans to host a conference call today to review its third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Eastern Time on November 15, 2018 at (855) 859-2056 from the United States or (404) 537-3406 internationally with recording access code 8056959.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29" w:lineRule="exact"/>
        <w:rPr>
          <w:sz w:val="20"/>
          <w:szCs w:val="20"/>
          <w:color w:val="auto"/>
        </w:rPr>
      </w:pPr>
    </w:p>
    <w:p>
      <w:pPr>
        <w:jc w:val="both"/>
        <w:ind w:left="660" w:right="34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Ajay Vashee, Chief Financial Officer, will be presenting at the 2018 RBC Capital Markets Technology, Internet, Media and Telecommunications Conference in New York, NY, on Tuesday, November 13, 2018 at 1:20 p.m. ET. At that time, a live webcast will be accessible from the Dropbox investor relations website at http://investors.dropbox.com. Following the event, a replay will be made available at the same location.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Dropbox is a leading global collaboration platform that's transforming the way people work together, from the smallest business to the largest enterprise. With more than 500 million registered users across more than 180 countries, our products are designed to help unleash the world’s creative energy and establish a more enlightened way of working. Headquartered in San Francisco, CA, Dropbox has 12 offices around the world. For more information on our mission and products, visit dropbox.com.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 things, statements regarding Dropbox's future operational performance, the demand for our platform and product features, and the benefits from new product experiences.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and (xii)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June 30, 2018.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w:t>
      </w:r>
    </w:p>
    <w:p>
      <w:pPr>
        <w:sectPr>
          <w:pgSz w:w="11900" w:h="16838" w:orient="portrait"/>
          <w:cols w:equalWidth="0" w:num="1">
            <w:col w:w="11420"/>
          </w:cols>
          <w:pgMar w:left="240" w:top="580"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380"/>
          </w:cols>
          <w:pgMar w:left="240" w:top="58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5"/>
              </w:rPr>
              <w:t>September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Net loss per share attributable to common stockholders,</w:t>
            </w:r>
          </w:p>
        </w:tc>
        <w:tc>
          <w:tcPr>
            <w:tcW w:w="1140" w:type="dxa"/>
            <w:vAlign w:val="bottom"/>
            <w:vMerge w:val="restart"/>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w w:val="91"/>
              </w:rPr>
              <w:t>Weighted-average shares used in computing net loss per</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w w:val="94"/>
              </w:rPr>
              <w:t>share attributable to common stockholders, basic and</w:t>
            </w:r>
          </w:p>
        </w:tc>
        <w:tc>
          <w:tcPr>
            <w:tcW w:w="1140" w:type="dxa"/>
            <w:vAlign w:val="bottom"/>
          </w:tcPr>
          <w:p>
            <w:pPr>
              <w:spacing w:after="0"/>
              <w:rPr>
                <w:sz w:val="18"/>
                <w:szCs w:val="18"/>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88"/>
              </w:rPr>
              <w:t>Nine months ended</w:t>
            </w:r>
          </w:p>
        </w:tc>
        <w:tc>
          <w:tcPr>
            <w:tcW w:w="54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4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87"/>
              </w:rPr>
              <w:t>September 30,</w:t>
            </w:r>
          </w:p>
        </w:tc>
        <w:tc>
          <w:tcPr>
            <w:tcW w:w="5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18.6</w:t>
            </w:r>
          </w:p>
        </w:tc>
      </w:tr>
    </w:tbl>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6"/>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30"/>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Capital lease obligation</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Deferred rent, non-current</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615.3</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(1,049.7)</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2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0"/>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88"/>
              </w:rPr>
              <w:t>Nine months ended</w:t>
            </w:r>
          </w:p>
        </w:tc>
        <w:tc>
          <w:tcPr>
            <w:tcW w:w="960" w:type="dxa"/>
            <w:vAlign w:val="bottom"/>
          </w:tcPr>
          <w:p>
            <w:pPr>
              <w:spacing w:after="0"/>
              <w:rPr>
                <w:sz w:val="17"/>
                <w:szCs w:val="17"/>
                <w:color w:val="auto"/>
              </w:rPr>
            </w:pPr>
          </w:p>
        </w:tc>
      </w:tr>
      <w:tr>
        <w:trPr>
          <w:trHeight w:val="210"/>
        </w:trPr>
        <w:tc>
          <w:tcPr>
            <w:tcW w:w="4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w w:val="91"/>
              </w:rPr>
              <w:t>September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(475.4)</w:t>
            </w:r>
          </w:p>
        </w:tc>
        <w:tc>
          <w:tcPr>
            <w:tcW w:w="10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Adjustments to reconcile net loss to net cash provided by operating</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138.9</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Amortization of deferred commissions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Donation of common stock to charitable foundation</w:t>
            </w: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Accrued and other current liabilities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52.5</w:t>
            </w:r>
          </w:p>
        </w:tc>
      </w:tr>
      <w:tr>
        <w:trPr>
          <w:trHeight w:val="33"/>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301.7</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259.2</w:t>
            </w:r>
          </w:p>
        </w:tc>
      </w:tr>
      <w:tr>
        <w:trPr>
          <w:trHeight w:val="33"/>
        </w:trPr>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3"/>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6"/>
        </w:trPr>
        <w:tc>
          <w:tcPr>
            <w:tcW w:w="46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584" w:right="239" w:bottom="1440" w:gutter="0" w:footer="0" w:header="0"/>
        </w:sectPr>
      </w:pPr>
    </w:p>
    <w:p>
      <w:pPr>
        <w:ind w:left="2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received from equipment rebates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maturities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short-term investments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from financing activities</w:t>
      </w:r>
    </w:p>
    <w:p>
      <w:pPr>
        <w:spacing w:after="0" w:line="90" w:lineRule="exact"/>
        <w:rPr>
          <w:sz w:val="20"/>
          <w:szCs w:val="20"/>
          <w:color w:val="auto"/>
        </w:rPr>
      </w:pPr>
    </w:p>
    <w:p>
      <w:pPr>
        <w:ind w:left="280"/>
        <w:spacing w:after="0" w:line="292" w:lineRule="auto"/>
        <w:rPr>
          <w:sz w:val="20"/>
          <w:szCs w:val="20"/>
          <w:color w:val="auto"/>
        </w:rPr>
      </w:pPr>
      <w:r>
        <w:rPr>
          <w:rFonts w:ascii="Arial" w:cs="Arial" w:eastAsia="Arial" w:hAnsi="Arial"/>
          <w:sz w:val="16"/>
          <w:szCs w:val="16"/>
          <w:color w:val="auto"/>
        </w:rPr>
        <w:t>Proceeds from initial public offering and private placement, net of underwriters' discounts and commissions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86" w:lineRule="exact"/>
        <w:rPr>
          <w:sz w:val="20"/>
          <w:szCs w:val="20"/>
          <w:color w:val="auto"/>
        </w:rPr>
      </w:pPr>
    </w:p>
    <w:p>
      <w:pPr>
        <w:ind w:left="280" w:right="160"/>
        <w:spacing w:after="0" w:line="292" w:lineRule="auto"/>
        <w:rPr>
          <w:sz w:val="20"/>
          <w:szCs w:val="20"/>
          <w:color w:val="auto"/>
        </w:rPr>
      </w:pPr>
      <w:r>
        <w:rPr>
          <w:rFonts w:ascii="Arial" w:cs="Arial" w:eastAsia="Arial" w:hAnsi="Arial"/>
          <w:sz w:val="16"/>
          <w:szCs w:val="16"/>
          <w:color w:val="auto"/>
        </w:rPr>
        <w:t>Shares repurchased for tax withholdings on release of restricted stock</w:t>
      </w:r>
    </w:p>
    <w:p>
      <w:pPr>
        <w:spacing w:after="0" w:line="11" w:lineRule="exact"/>
        <w:rPr>
          <w:sz w:val="20"/>
          <w:szCs w:val="20"/>
          <w:color w:val="auto"/>
        </w:rPr>
      </w:pPr>
    </w:p>
    <w:p>
      <w:pPr>
        <w:ind w:left="280" w:right="340"/>
        <w:spacing w:after="0" w:line="344" w:lineRule="auto"/>
        <w:rPr>
          <w:sz w:val="20"/>
          <w:szCs w:val="20"/>
          <w:color w:val="auto"/>
        </w:rPr>
      </w:pPr>
      <w:r>
        <w:rPr>
          <w:rFonts w:ascii="Arial" w:cs="Arial" w:eastAsia="Arial" w:hAnsi="Arial"/>
          <w:sz w:val="16"/>
          <w:szCs w:val="16"/>
          <w:color w:val="auto"/>
        </w:rPr>
        <w:t>Proceeds from issuance of common stock, net of repurchases Principal payments against capital lease obligations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(664.3)</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62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675"/>
        </w:trPr>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746.6</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62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-2445385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-2102485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-1760220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-1417320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-955040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-492125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-149860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4560" w:space="120"/>
            <w:col w:w="674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335.0</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(181.1)</w:t>
            </w:r>
          </w:p>
        </w:tc>
      </w:tr>
      <w:tr>
        <w:trPr>
          <w:trHeight w:val="33"/>
        </w:trPr>
        <w:tc>
          <w:tcPr>
            <w:tcW w:w="4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w:t>
            </w:r>
          </w:p>
        </w:tc>
      </w:tr>
      <w:tr>
        <w:trPr>
          <w:trHeight w:val="33"/>
        </w:trPr>
        <w:tc>
          <w:tcPr>
            <w:tcW w:w="4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equivalents—end of period</w:t>
            </w: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536.2</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536.2</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422.7</w:t>
            </w:r>
          </w:p>
        </w:tc>
      </w:tr>
      <w:tr>
        <w:trPr>
          <w:trHeight w:val="73"/>
        </w:trPr>
        <w:tc>
          <w:tcPr>
            <w:tcW w:w="468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64"/>
        </w:trPr>
        <w:tc>
          <w:tcPr>
            <w:tcW w:w="4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3"/>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6"/>
        </w:trPr>
        <w:tc>
          <w:tcPr>
            <w:tcW w:w="4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1"/>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under capital leases</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September 30,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740" w:type="dxa"/>
            <w:vAlign w:val="bottom"/>
          </w:tcPr>
          <w:p>
            <w:pPr>
              <w:jc w:val="right"/>
              <w:ind w:right="110"/>
              <w:spacing w:after="0"/>
              <w:rPr>
                <w:sz w:val="20"/>
                <w:szCs w:val="20"/>
                <w:color w:val="auto"/>
              </w:rPr>
            </w:pPr>
            <w:r>
              <w:rPr>
                <w:rFonts w:ascii="Arial" w:cs="Arial" w:eastAsia="Arial" w:hAnsi="Arial"/>
                <w:sz w:val="18"/>
                <w:szCs w:val="18"/>
                <w:b w:val="1"/>
                <w:bCs w:val="1"/>
                <w:color w:val="auto"/>
              </w:rPr>
              <w:t>GAAP</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Stock-based compensation</w:t>
            </w:r>
          </w:p>
        </w:tc>
        <w:tc>
          <w:tcPr>
            <w:tcW w:w="460" w:type="dxa"/>
            <w:vAlign w:val="bottom"/>
          </w:tcPr>
          <w:p>
            <w:pPr>
              <w:spacing w:after="0"/>
              <w:rPr>
                <w:sz w:val="20"/>
                <w:szCs w:val="20"/>
                <w:color w:val="auto"/>
              </w:rPr>
            </w:pPr>
          </w:p>
        </w:tc>
        <w:tc>
          <w:tcPr>
            <w:tcW w:w="2040" w:type="dxa"/>
            <w:vAlign w:val="bottom"/>
          </w:tcPr>
          <w:p>
            <w:pPr>
              <w:jc w:val="right"/>
              <w:ind w:right="71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5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87.0</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7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273.3</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7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
        </w:trPr>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105.0</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7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86.9</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7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35.3</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7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46.1</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7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September 30, 2017</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GAAP</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Stock-based compensation</w:t>
            </w:r>
          </w:p>
        </w:tc>
        <w:tc>
          <w:tcPr>
            <w:tcW w:w="460" w:type="dxa"/>
            <w:vAlign w:val="bottom"/>
          </w:tcPr>
          <w:p>
            <w:pPr>
              <w:spacing w:after="0"/>
              <w:rPr>
                <w:sz w:val="20"/>
                <w:szCs w:val="20"/>
                <w:color w:val="auto"/>
              </w:rPr>
            </w:pPr>
          </w:p>
        </w:tc>
        <w:tc>
          <w:tcPr>
            <w:tcW w:w="2040" w:type="dxa"/>
            <w:vAlign w:val="bottom"/>
          </w:tcPr>
          <w:p>
            <w:pPr>
              <w:jc w:val="right"/>
              <w:ind w:right="71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57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Nine months ended September 30,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Employer payroll taxes</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Stock-based</w:t>
            </w: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related to the release of</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compensation</w:t>
            </w:r>
          </w:p>
        </w:tc>
        <w:tc>
          <w:tcPr>
            <w:tcW w:w="28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two-tier RSUs</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760.5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284.1</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99.1</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Nine months ended September 30, 2017</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Donation of common</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Stock-based</w:t>
            </w:r>
          </w:p>
        </w:tc>
        <w:tc>
          <w:tcPr>
            <w:tcW w:w="16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stock to the Dropbox</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compensation</w:t>
            </w:r>
          </w:p>
        </w:tc>
        <w:tc>
          <w:tcPr>
            <w:tcW w:w="16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Foundation</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267.9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524.1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533.4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85.1</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57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nine months ended September 30, 2018 and 2017</w:t>
      </w:r>
    </w:p>
    <w:p>
      <w:pPr>
        <w:jc w:val="center"/>
        <w:spacing w:after="0"/>
        <w:rPr>
          <w:sz w:val="20"/>
          <w:szCs w:val="20"/>
          <w:color w:val="auto"/>
        </w:rPr>
      </w:pPr>
      <w:r>
        <w:rPr>
          <w:rFonts w:ascii="Arial" w:cs="Arial" w:eastAsia="Arial" w:hAnsi="Arial"/>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596.6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Employer payroll taxes related to the release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two-tier RSUs</w:t>
            </w:r>
          </w:p>
        </w:tc>
        <w:tc>
          <w:tcPr>
            <w:tcW w:w="1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320" w:type="dxa"/>
            <w:vAlign w:val="bottom"/>
          </w:tcPr>
          <w:p>
            <w:pPr>
              <w:ind w:left="40"/>
              <w:spacing w:after="0"/>
              <w:rPr>
                <w:sz w:val="20"/>
                <w:szCs w:val="20"/>
                <w:color w:val="auto"/>
              </w:rPr>
            </w:pPr>
            <w:r>
              <w:rPr>
                <w:rFonts w:ascii="Arial" w:cs="Arial" w:eastAsia="Arial" w:hAnsi="Arial"/>
                <w:sz w:val="18"/>
                <w:szCs w:val="18"/>
                <w:color w:val="auto"/>
                <w:w w:val="96"/>
              </w:rPr>
              <w:t>Donation of common stock to the Dropbox</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Foundation</w:t>
            </w:r>
          </w:p>
        </w:tc>
        <w:tc>
          <w:tcPr>
            <w:tcW w:w="13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effects of non-GAAP</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net income per share</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8"/>
                <w:szCs w:val="18"/>
                <w:color w:val="auto"/>
                <w:w w:val="94"/>
              </w:rPr>
              <w:t>Weighted-average shares used to compute</w:t>
            </w: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350.4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Non-GAAP diluted net income per share</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nine months ended September 30, 2018 and 2017</w:t>
      </w:r>
    </w:p>
    <w:p>
      <w:pPr>
        <w:jc w:val="center"/>
        <w:spacing w:after="0"/>
        <w:rPr>
          <w:sz w:val="20"/>
          <w:szCs w:val="20"/>
          <w:color w:val="auto"/>
        </w:rPr>
      </w:pPr>
      <w:r>
        <w:rPr>
          <w:rFonts w:ascii="Arial" w:cs="Arial" w:eastAsia="Arial" w:hAnsi="Arial"/>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reconciliation:</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w w:val="97"/>
              </w:rPr>
              <w:t>Net cash provided by operating activities</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111.5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108.3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i w:val="1"/>
                <w:iCs w:val="1"/>
                <w:color w:val="auto"/>
              </w:rPr>
              <w:t>Free cash flow margin</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20" w:type="dxa"/>
            <w:vAlign w:val="bottom"/>
          </w:tcPr>
          <w:p>
            <w:pPr>
              <w:ind w:left="280"/>
              <w:spacing w:after="0"/>
              <w:rPr>
                <w:sz w:val="20"/>
                <w:szCs w:val="20"/>
                <w:color w:val="auto"/>
              </w:rPr>
            </w:pPr>
            <w:r>
              <w:rPr>
                <w:rFonts w:ascii="Arial" w:cs="Arial" w:eastAsia="Arial" w:hAnsi="Arial"/>
                <w:sz w:val="18"/>
                <w:szCs w:val="18"/>
                <w:color w:val="auto"/>
                <w:w w:val="93"/>
              </w:rPr>
              <w:t>Capital expenditures related to our new</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80"/>
              <w:spacing w:after="0"/>
              <w:rPr>
                <w:sz w:val="20"/>
                <w:szCs w:val="20"/>
                <w:color w:val="auto"/>
              </w:rPr>
            </w:pPr>
            <w:r>
              <w:rPr>
                <w:rFonts w:ascii="Arial" w:cs="Arial" w:eastAsia="Arial" w:hAnsi="Arial"/>
                <w:sz w:val="18"/>
                <w:szCs w:val="18"/>
                <w:color w:val="auto"/>
                <w:w w:val="98"/>
              </w:rPr>
              <w:t>corporate headquarters, net of tenant</w:t>
            </w:r>
          </w:p>
        </w:tc>
        <w:tc>
          <w:tcPr>
            <w:tcW w:w="1260" w:type="dxa"/>
            <w:vAlign w:val="bottom"/>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340" w:type="dxa"/>
            <w:vAlign w:val="bottom"/>
            <w:vMerge w:val="restart"/>
          </w:tcPr>
          <w:p>
            <w:pPr>
              <w:jc w:val="right"/>
              <w:ind w:right="1130"/>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220" w:type="dxa"/>
            <w:vAlign w:val="bottom"/>
          </w:tcPr>
          <w:p>
            <w:pPr>
              <w:ind w:left="280"/>
              <w:spacing w:after="0" w:line="244" w:lineRule="exact"/>
              <w:rPr>
                <w:sz w:val="20"/>
                <w:szCs w:val="20"/>
                <w:color w:val="auto"/>
              </w:rPr>
            </w:pPr>
            <w:r>
              <w:rPr>
                <w:rFonts w:ascii="Arial" w:cs="Arial" w:eastAsia="Arial" w:hAnsi="Arial"/>
                <w:sz w:val="18"/>
                <w:szCs w:val="18"/>
                <w:color w:val="auto"/>
              </w:rPr>
              <w:t>improvement allowances</w:t>
            </w:r>
            <w:r>
              <w:rPr>
                <w:rFonts w:ascii="Arial" w:cs="Arial" w:eastAsia="Arial" w:hAnsi="Arial"/>
                <w:sz w:val="25"/>
                <w:szCs w:val="25"/>
                <w:color w:val="auto"/>
                <w:vertAlign w:val="superscript"/>
              </w:rPr>
              <w:t>(1)</w:t>
            </w:r>
          </w:p>
        </w:tc>
        <w:tc>
          <w:tcPr>
            <w:tcW w:w="12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8"/>
        <w:spacing w:after="0" w:line="268" w:lineRule="auto"/>
        <w:tabs>
          <w:tab w:leader="none" w:pos="192"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 There was no cash received from our landlord related to our new corporate headquarters in the periods presented.</w:t>
      </w:r>
    </w:p>
    <w:p>
      <w:pPr>
        <w:sectPr>
          <w:pgSz w:w="11900" w:h="16838" w:orient="portrait"/>
          <w:cols w:equalWidth="0" w:num="1">
            <w:col w:w="11420"/>
          </w:cols>
          <w:pgMar w:left="240" w:top="57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and employer payroll tax expense relating to the release of two-tier RSUs with respect to the three months ended March 31, 2018. Non-GAAP general and administrative expense also excludes expense related to a donation of common stock to the Dropbox Foundation with respect to the three months ended June 30, 2017. Non-GAAP net income also includes the income tax effect of these adjustments.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 Asheer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press@dropbox.com</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2019-12-28T18:00:38Z</dcterms:created>
  <dcterms:modified xsi:type="dcterms:W3CDTF">2019-12-28T18:00:38Z</dcterms:modified>
</cp:coreProperties>
</file>