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February 21, 2025</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76200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38735</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26035</wp:posOffset>
            </wp:positionV>
            <wp:extent cx="1594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DROPBOX,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33020</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1">
            <w:col w:w="10760"/>
          </w:cols>
          <w:pgMar w:left="560" w:top="533" w:right="579" w:bottom="1440" w:gutter="0" w:footer="0" w:header="0"/>
        </w:sectPr>
      </w:pPr>
    </w:p>
    <w:p>
      <w:pPr>
        <w:spacing w:after="0" w:line="184"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26-0138832</w:t>
      </w:r>
    </w:p>
    <w:p>
      <w:pPr>
        <w:spacing w:after="0" w:line="28" w:lineRule="exact"/>
        <w:rPr>
          <w:sz w:val="24"/>
          <w:szCs w:val="24"/>
          <w:color w:val="auto"/>
        </w:rPr>
      </w:pPr>
    </w:p>
    <w:p>
      <w:pPr>
        <w:sectPr>
          <w:pgSz w:w="11900" w:h="16838" w:orient="portrait"/>
          <w:cols w:equalWidth="0" w:num="2">
            <w:col w:w="8240" w:space="720"/>
            <w:col w:w="1800"/>
          </w:cols>
          <w:pgMar w:left="560" w:top="533" w:right="57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2"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1" w:lineRule="exact"/>
        <w:rPr>
          <w:sz w:val="24"/>
          <w:szCs w:val="24"/>
          <w:color w:val="auto"/>
        </w:rPr>
      </w:pPr>
    </w:p>
    <w:p>
      <w:pPr>
        <w:sectPr>
          <w:pgSz w:w="11900" w:h="16838" w:orient="portrait"/>
          <w:cols w:equalWidth="0" w:num="2">
            <w:col w:w="8140" w:space="720"/>
            <w:col w:w="1900"/>
          </w:cols>
          <w:pgMar w:left="560" w:top="533" w:right="5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Dropbox,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1800 Owens Street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San Francisco, California 94158</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(415) 930-7766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45085</wp:posOffset>
            </wp:positionV>
            <wp:extent cx="1594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ectPr>
          <w:pgSz w:w="11900" w:h="16838" w:orient="portrait"/>
          <w:cols w:equalWidth="0" w:num="1">
            <w:col w:w="10760"/>
          </w:cols>
          <w:pgMar w:left="560" w:top="533" w:right="579" w:bottom="1440" w:gutter="0" w:footer="0" w:header="0"/>
          <w:type w:val="continuous"/>
        </w:sectPr>
      </w:pPr>
    </w:p>
    <w:p>
      <w:pPr>
        <w:spacing w:after="0" w:line="188" w:lineRule="exact"/>
        <w:rPr>
          <w:sz w:val="24"/>
          <w:szCs w:val="24"/>
          <w:color w:val="auto"/>
        </w:rPr>
      </w:pPr>
    </w:p>
    <w:tbl>
      <w:tblPr>
        <w:tblLayout w:type="fixed"/>
        <w:tblInd w:w="1080" w:type="dxa"/>
        <w:tblCellMar>
          <w:top w:w="0" w:type="dxa"/>
          <w:left w:w="0" w:type="dxa"/>
          <w:bottom w:w="0" w:type="dxa"/>
          <w:right w:w="0" w:type="dxa"/>
        </w:tblCellMar>
      </w:tblPr>
      <w:tr>
        <w:trPr>
          <w:trHeight w:val="281"/>
        </w:trPr>
        <w:tc>
          <w:tcPr>
            <w:tcW w:w="2900" w:type="dxa"/>
            <w:vAlign w:val="bottom"/>
          </w:tcPr>
          <w:p>
            <w:pPr>
              <w:spacing w:after="0"/>
              <w:rPr>
                <w:sz w:val="24"/>
                <w:szCs w:val="24"/>
                <w:color w:val="auto"/>
              </w:rPr>
            </w:pPr>
          </w:p>
        </w:tc>
        <w:tc>
          <w:tcPr>
            <w:tcW w:w="5200" w:type="dxa"/>
            <w:vAlign w:val="bottom"/>
          </w:tcPr>
          <w:p>
            <w:pPr>
              <w:jc w:val="center"/>
              <w:ind w:right="2322"/>
              <w:spacing w:after="0"/>
              <w:rPr>
                <w:sz w:val="20"/>
                <w:szCs w:val="20"/>
                <w:color w:val="auto"/>
              </w:rPr>
            </w:pPr>
            <w:r>
              <w:rPr>
                <w:rFonts w:ascii="Times New Roman" w:cs="Times New Roman" w:eastAsia="Times New Roman" w:hAnsi="Times New Roman"/>
                <w:sz w:val="22"/>
                <w:szCs w:val="22"/>
                <w:b w:val="1"/>
                <w:bCs w:val="1"/>
                <w:color w:val="auto"/>
                <w:w w:val="97"/>
              </w:rPr>
              <w:t>2018 Equity Incentive Plan</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5200" w:type="dxa"/>
            <w:vAlign w:val="bottom"/>
          </w:tcPr>
          <w:p>
            <w:pPr>
              <w:jc w:val="center"/>
              <w:ind w:right="2302"/>
              <w:spacing w:after="0"/>
              <w:rPr>
                <w:sz w:val="20"/>
                <w:szCs w:val="20"/>
                <w:color w:val="auto"/>
              </w:rPr>
            </w:pPr>
            <w:r>
              <w:rPr>
                <w:rFonts w:ascii="Times New Roman" w:cs="Times New Roman" w:eastAsia="Times New Roman" w:hAnsi="Times New Roman"/>
                <w:sz w:val="13"/>
                <w:szCs w:val="13"/>
                <w:b w:val="1"/>
                <w:bCs w:val="1"/>
                <w:color w:val="auto"/>
                <w:w w:val="96"/>
              </w:rPr>
              <w:t>(Full title of the plan)</w:t>
            </w:r>
          </w:p>
        </w:tc>
        <w:tc>
          <w:tcPr>
            <w:tcW w:w="0" w:type="dxa"/>
            <w:vAlign w:val="bottom"/>
          </w:tcPr>
          <w:p>
            <w:pPr>
              <w:spacing w:after="0"/>
              <w:rPr>
                <w:sz w:val="1"/>
                <w:szCs w:val="1"/>
                <w:color w:val="auto"/>
              </w:rPr>
            </w:pPr>
          </w:p>
        </w:tc>
      </w:tr>
      <w:tr>
        <w:trPr>
          <w:trHeight w:val="356"/>
        </w:trPr>
        <w:tc>
          <w:tcPr>
            <w:tcW w:w="2900" w:type="dxa"/>
            <w:vAlign w:val="bottom"/>
          </w:tcPr>
          <w:p>
            <w:pPr>
              <w:spacing w:after="0"/>
              <w:rPr>
                <w:sz w:val="24"/>
                <w:szCs w:val="24"/>
                <w:color w:val="auto"/>
              </w:rPr>
            </w:pPr>
          </w:p>
        </w:tc>
        <w:tc>
          <w:tcPr>
            <w:tcW w:w="5200" w:type="dxa"/>
            <w:vAlign w:val="bottom"/>
          </w:tcPr>
          <w:p>
            <w:pPr>
              <w:jc w:val="center"/>
              <w:ind w:right="2322"/>
              <w:spacing w:after="0"/>
              <w:rPr>
                <w:sz w:val="20"/>
                <w:szCs w:val="20"/>
                <w:color w:val="auto"/>
              </w:rPr>
            </w:pPr>
            <w:r>
              <w:rPr>
                <w:rFonts w:ascii="Times New Roman" w:cs="Times New Roman" w:eastAsia="Times New Roman" w:hAnsi="Times New Roman"/>
                <w:sz w:val="14"/>
                <w:szCs w:val="14"/>
                <w:b w:val="1"/>
                <w:bCs w:val="1"/>
                <w:color w:val="auto"/>
              </w:rPr>
              <w:t>Andrew W. Houston</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5200" w:type="dxa"/>
            <w:vAlign w:val="bottom"/>
          </w:tcPr>
          <w:p>
            <w:pPr>
              <w:jc w:val="center"/>
              <w:ind w:right="2322"/>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5200" w:type="dxa"/>
            <w:vAlign w:val="bottom"/>
          </w:tcPr>
          <w:p>
            <w:pPr>
              <w:jc w:val="center"/>
              <w:ind w:right="2322"/>
              <w:spacing w:after="0"/>
              <w:rPr>
                <w:sz w:val="20"/>
                <w:szCs w:val="20"/>
                <w:color w:val="auto"/>
              </w:rPr>
            </w:pPr>
            <w:r>
              <w:rPr>
                <w:rFonts w:ascii="Times New Roman" w:cs="Times New Roman" w:eastAsia="Times New Roman" w:hAnsi="Times New Roman"/>
                <w:sz w:val="14"/>
                <w:szCs w:val="14"/>
                <w:b w:val="1"/>
                <w:bCs w:val="1"/>
                <w:color w:val="auto"/>
              </w:rPr>
              <w:t>Dropbox, Inc.</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5200" w:type="dxa"/>
            <w:vAlign w:val="bottom"/>
          </w:tcPr>
          <w:p>
            <w:pPr>
              <w:jc w:val="center"/>
              <w:ind w:right="2302"/>
              <w:spacing w:after="0"/>
              <w:rPr>
                <w:sz w:val="20"/>
                <w:szCs w:val="20"/>
                <w:color w:val="auto"/>
              </w:rPr>
            </w:pPr>
            <w:r>
              <w:rPr>
                <w:rFonts w:ascii="Times New Roman" w:cs="Times New Roman" w:eastAsia="Times New Roman" w:hAnsi="Times New Roman"/>
                <w:sz w:val="14"/>
                <w:szCs w:val="14"/>
                <w:b w:val="1"/>
                <w:bCs w:val="1"/>
                <w:color w:val="auto"/>
              </w:rPr>
              <w:t>1800 Owens Street</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5200" w:type="dxa"/>
            <w:vAlign w:val="bottom"/>
          </w:tcPr>
          <w:p>
            <w:pPr>
              <w:jc w:val="center"/>
              <w:ind w:right="2322"/>
              <w:spacing w:after="0"/>
              <w:rPr>
                <w:sz w:val="20"/>
                <w:szCs w:val="20"/>
                <w:color w:val="auto"/>
              </w:rPr>
            </w:pPr>
            <w:r>
              <w:rPr>
                <w:rFonts w:ascii="Times New Roman" w:cs="Times New Roman" w:eastAsia="Times New Roman" w:hAnsi="Times New Roman"/>
                <w:sz w:val="14"/>
                <w:szCs w:val="14"/>
                <w:b w:val="1"/>
                <w:bCs w:val="1"/>
                <w:color w:val="auto"/>
              </w:rPr>
              <w:t>San Francisco, California 94158</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5200" w:type="dxa"/>
            <w:vAlign w:val="bottom"/>
          </w:tcPr>
          <w:p>
            <w:pPr>
              <w:jc w:val="center"/>
              <w:ind w:right="2302"/>
              <w:spacing w:after="0"/>
              <w:rPr>
                <w:sz w:val="20"/>
                <w:szCs w:val="20"/>
                <w:color w:val="auto"/>
              </w:rPr>
            </w:pPr>
            <w:r>
              <w:rPr>
                <w:rFonts w:ascii="Times New Roman" w:cs="Times New Roman" w:eastAsia="Times New Roman" w:hAnsi="Times New Roman"/>
                <w:sz w:val="14"/>
                <w:szCs w:val="14"/>
                <w:b w:val="1"/>
                <w:bCs w:val="1"/>
                <w:color w:val="auto"/>
              </w:rPr>
              <w:t>(415) 930-7766</w:t>
            </w:r>
          </w:p>
        </w:tc>
        <w:tc>
          <w:tcPr>
            <w:tcW w:w="0" w:type="dxa"/>
            <w:vAlign w:val="bottom"/>
          </w:tcPr>
          <w:p>
            <w:pPr>
              <w:spacing w:after="0"/>
              <w:rPr>
                <w:sz w:val="1"/>
                <w:szCs w:val="1"/>
                <w:color w:val="auto"/>
              </w:rPr>
            </w:pPr>
          </w:p>
        </w:tc>
      </w:tr>
      <w:tr>
        <w:trPr>
          <w:trHeight w:val="196"/>
        </w:trPr>
        <w:tc>
          <w:tcPr>
            <w:tcW w:w="8100" w:type="dxa"/>
            <w:vAlign w:val="bottom"/>
            <w:gridSpan w:val="2"/>
          </w:tcPr>
          <w:p>
            <w:pPr>
              <w:jc w:val="center"/>
              <w:ind w:left="442"/>
              <w:spacing w:after="0"/>
              <w:rPr>
                <w:sz w:val="20"/>
                <w:szCs w:val="20"/>
                <w:color w:val="auto"/>
              </w:rPr>
            </w:pPr>
            <w:r>
              <w:rPr>
                <w:rFonts w:ascii="Times New Roman" w:cs="Times New Roman" w:eastAsia="Times New Roman" w:hAnsi="Times New Roman"/>
                <w:sz w:val="13"/>
                <w:szCs w:val="13"/>
                <w:b w:val="1"/>
                <w:bCs w:val="1"/>
                <w:color w:val="auto"/>
                <w:w w:val="96"/>
              </w:rPr>
              <w:t>(Name, address and telephone number, including area code, of agent for service)</w:t>
            </w:r>
          </w:p>
        </w:tc>
        <w:tc>
          <w:tcPr>
            <w:tcW w:w="0" w:type="dxa"/>
            <w:vAlign w:val="bottom"/>
          </w:tcPr>
          <w:p>
            <w:pPr>
              <w:spacing w:after="0"/>
              <w:rPr>
                <w:sz w:val="1"/>
                <w:szCs w:val="1"/>
                <w:color w:val="auto"/>
              </w:rPr>
            </w:pPr>
          </w:p>
        </w:tc>
      </w:tr>
      <w:tr>
        <w:trPr>
          <w:trHeight w:val="388"/>
        </w:trPr>
        <w:tc>
          <w:tcPr>
            <w:tcW w:w="2900" w:type="dxa"/>
            <w:vAlign w:val="bottom"/>
          </w:tcPr>
          <w:p>
            <w:pPr>
              <w:spacing w:after="0"/>
              <w:rPr>
                <w:sz w:val="24"/>
                <w:szCs w:val="24"/>
                <w:color w:val="auto"/>
              </w:rPr>
            </w:pPr>
          </w:p>
        </w:tc>
        <w:tc>
          <w:tcPr>
            <w:tcW w:w="5200" w:type="dxa"/>
            <w:vAlign w:val="bottom"/>
          </w:tcPr>
          <w:p>
            <w:pPr>
              <w:ind w:left="1200"/>
              <w:spacing w:after="0"/>
              <w:rPr>
                <w:sz w:val="20"/>
                <w:szCs w:val="20"/>
                <w:color w:val="auto"/>
              </w:rPr>
            </w:pPr>
            <w:r>
              <w:rPr>
                <w:rFonts w:ascii="Times New Roman" w:cs="Times New Roman" w:eastAsia="Times New Roman" w:hAnsi="Times New Roman"/>
                <w:sz w:val="16"/>
                <w:szCs w:val="16"/>
                <w:i w:val="1"/>
                <w:iCs w:val="1"/>
                <w:color w:val="auto"/>
              </w:rPr>
              <w:t>Copies to:</w:t>
            </w:r>
          </w:p>
        </w:tc>
        <w:tc>
          <w:tcPr>
            <w:tcW w:w="0" w:type="dxa"/>
            <w:vAlign w:val="bottom"/>
          </w:tcPr>
          <w:p>
            <w:pPr>
              <w:spacing w:after="0"/>
              <w:rPr>
                <w:sz w:val="1"/>
                <w:szCs w:val="1"/>
                <w:color w:val="auto"/>
              </w:rPr>
            </w:pPr>
          </w:p>
        </w:tc>
      </w:tr>
      <w:tr>
        <w:trPr>
          <w:trHeight w:val="182"/>
        </w:trPr>
        <w:tc>
          <w:tcPr>
            <w:tcW w:w="2900" w:type="dxa"/>
            <w:vAlign w:val="bottom"/>
          </w:tcPr>
          <w:p>
            <w:pPr>
              <w:jc w:val="center"/>
              <w:ind w:right="82"/>
              <w:spacing w:after="0" w:line="181" w:lineRule="exact"/>
              <w:rPr>
                <w:sz w:val="20"/>
                <w:szCs w:val="20"/>
                <w:color w:val="auto"/>
              </w:rPr>
            </w:pPr>
            <w:r>
              <w:rPr>
                <w:rFonts w:ascii="Times New Roman" w:cs="Times New Roman" w:eastAsia="Times New Roman" w:hAnsi="Times New Roman"/>
                <w:sz w:val="16"/>
                <w:szCs w:val="16"/>
                <w:b w:val="1"/>
                <w:bCs w:val="1"/>
                <w:color w:val="auto"/>
              </w:rPr>
              <w:t>Lisa L. Stimmell, Esq.</w:t>
            </w:r>
          </w:p>
        </w:tc>
        <w:tc>
          <w:tcPr>
            <w:tcW w:w="5200" w:type="dxa"/>
            <w:vAlign w:val="bottom"/>
          </w:tcPr>
          <w:p>
            <w:pPr>
              <w:jc w:val="center"/>
              <w:ind w:left="2902"/>
              <w:spacing w:after="0" w:line="181" w:lineRule="exact"/>
              <w:rPr>
                <w:sz w:val="20"/>
                <w:szCs w:val="20"/>
                <w:color w:val="auto"/>
              </w:rPr>
            </w:pPr>
            <w:r>
              <w:rPr>
                <w:rFonts w:ascii="Times New Roman" w:cs="Times New Roman" w:eastAsia="Times New Roman" w:hAnsi="Times New Roman"/>
                <w:sz w:val="16"/>
                <w:szCs w:val="16"/>
                <w:b w:val="1"/>
                <w:bCs w:val="1"/>
                <w:color w:val="auto"/>
                <w:w w:val="98"/>
              </w:rPr>
              <w:t>Bart E. Volkmer, Esq.</w:t>
            </w:r>
          </w:p>
        </w:tc>
        <w:tc>
          <w:tcPr>
            <w:tcW w:w="0" w:type="dxa"/>
            <w:vAlign w:val="bottom"/>
          </w:tcPr>
          <w:p>
            <w:pPr>
              <w:spacing w:after="0"/>
              <w:rPr>
                <w:sz w:val="1"/>
                <w:szCs w:val="1"/>
                <w:color w:val="auto"/>
              </w:rPr>
            </w:pPr>
          </w:p>
        </w:tc>
      </w:tr>
      <w:tr>
        <w:trPr>
          <w:trHeight w:val="148"/>
        </w:trPr>
        <w:tc>
          <w:tcPr>
            <w:tcW w:w="2900" w:type="dxa"/>
            <w:vAlign w:val="bottom"/>
          </w:tcPr>
          <w:p>
            <w:pPr>
              <w:jc w:val="center"/>
              <w:ind w:right="62"/>
              <w:spacing w:after="0" w:line="148" w:lineRule="exact"/>
              <w:rPr>
                <w:sz w:val="20"/>
                <w:szCs w:val="20"/>
                <w:color w:val="auto"/>
              </w:rPr>
            </w:pPr>
            <w:r>
              <w:rPr>
                <w:rFonts w:ascii="Times New Roman" w:cs="Times New Roman" w:eastAsia="Times New Roman" w:hAnsi="Times New Roman"/>
                <w:sz w:val="16"/>
                <w:szCs w:val="16"/>
                <w:b w:val="1"/>
                <w:bCs w:val="1"/>
                <w:color w:val="auto"/>
              </w:rPr>
              <w:t>Andrew S. Gillman, Esq.</w:t>
            </w:r>
          </w:p>
        </w:tc>
        <w:tc>
          <w:tcPr>
            <w:tcW w:w="5200" w:type="dxa"/>
            <w:vAlign w:val="bottom"/>
            <w:vMerge w:val="restart"/>
          </w:tcPr>
          <w:p>
            <w:pPr>
              <w:jc w:val="center"/>
              <w:ind w:left="2902"/>
              <w:spacing w:after="0"/>
              <w:rPr>
                <w:sz w:val="20"/>
                <w:szCs w:val="20"/>
                <w:color w:val="auto"/>
              </w:rPr>
            </w:pPr>
            <w:r>
              <w:rPr>
                <w:rFonts w:ascii="Times New Roman" w:cs="Times New Roman" w:eastAsia="Times New Roman" w:hAnsi="Times New Roman"/>
                <w:sz w:val="16"/>
                <w:szCs w:val="16"/>
                <w:b w:val="1"/>
                <w:bCs w:val="1"/>
                <w:color w:val="auto"/>
              </w:rPr>
              <w:t>Cara M. Angelmar, Esq.</w:t>
            </w:r>
          </w:p>
        </w:tc>
        <w:tc>
          <w:tcPr>
            <w:tcW w:w="0" w:type="dxa"/>
            <w:vAlign w:val="bottom"/>
          </w:tcPr>
          <w:p>
            <w:pPr>
              <w:spacing w:after="0"/>
              <w:rPr>
                <w:sz w:val="1"/>
                <w:szCs w:val="1"/>
                <w:color w:val="auto"/>
              </w:rPr>
            </w:pPr>
          </w:p>
        </w:tc>
      </w:tr>
      <w:tr>
        <w:trPr>
          <w:trHeight w:val="79"/>
        </w:trPr>
        <w:tc>
          <w:tcPr>
            <w:tcW w:w="2900" w:type="dxa"/>
            <w:vAlign w:val="bottom"/>
            <w:vMerge w:val="restart"/>
          </w:tcPr>
          <w:p>
            <w:pPr>
              <w:jc w:val="center"/>
              <w:ind w:right="82"/>
              <w:spacing w:after="0" w:line="162" w:lineRule="exact"/>
              <w:rPr>
                <w:sz w:val="20"/>
                <w:szCs w:val="20"/>
                <w:color w:val="auto"/>
              </w:rPr>
            </w:pPr>
            <w:r>
              <w:rPr>
                <w:rFonts w:ascii="Times New Roman" w:cs="Times New Roman" w:eastAsia="Times New Roman" w:hAnsi="Times New Roman"/>
                <w:sz w:val="16"/>
                <w:szCs w:val="16"/>
                <w:b w:val="1"/>
                <w:bCs w:val="1"/>
                <w:color w:val="auto"/>
              </w:rPr>
              <w:t>Wilson Sonsini Goodrich &amp; Rosati, P.C.</w:t>
            </w: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900" w:type="dxa"/>
            <w:vAlign w:val="bottom"/>
            <w:vMerge w:val="continue"/>
          </w:tcPr>
          <w:p>
            <w:pPr>
              <w:spacing w:after="0"/>
              <w:rPr>
                <w:sz w:val="7"/>
                <w:szCs w:val="7"/>
                <w:color w:val="auto"/>
              </w:rPr>
            </w:pPr>
          </w:p>
        </w:tc>
        <w:tc>
          <w:tcPr>
            <w:tcW w:w="5200" w:type="dxa"/>
            <w:vAlign w:val="bottom"/>
            <w:vMerge w:val="restart"/>
          </w:tcPr>
          <w:p>
            <w:pPr>
              <w:jc w:val="center"/>
              <w:ind w:left="2902"/>
              <w:spacing w:after="0"/>
              <w:rPr>
                <w:sz w:val="20"/>
                <w:szCs w:val="20"/>
                <w:color w:val="auto"/>
              </w:rPr>
            </w:pPr>
            <w:r>
              <w:rPr>
                <w:rFonts w:ascii="Times New Roman" w:cs="Times New Roman" w:eastAsia="Times New Roman" w:hAnsi="Times New Roman"/>
                <w:sz w:val="16"/>
                <w:szCs w:val="16"/>
                <w:b w:val="1"/>
                <w:bCs w:val="1"/>
                <w:color w:val="auto"/>
                <w:w w:val="99"/>
              </w:rPr>
              <w:t>Dropbox, Inc.</w:t>
            </w:r>
          </w:p>
        </w:tc>
        <w:tc>
          <w:tcPr>
            <w:tcW w:w="0" w:type="dxa"/>
            <w:vAlign w:val="bottom"/>
          </w:tcPr>
          <w:p>
            <w:pPr>
              <w:spacing w:after="0"/>
              <w:rPr>
                <w:sz w:val="1"/>
                <w:szCs w:val="1"/>
                <w:color w:val="auto"/>
              </w:rPr>
            </w:pPr>
          </w:p>
        </w:tc>
      </w:tr>
      <w:tr>
        <w:trPr>
          <w:trHeight w:val="106"/>
        </w:trPr>
        <w:tc>
          <w:tcPr>
            <w:tcW w:w="2900" w:type="dxa"/>
            <w:vAlign w:val="bottom"/>
            <w:vMerge w:val="restart"/>
          </w:tcPr>
          <w:p>
            <w:pPr>
              <w:jc w:val="center"/>
              <w:ind w:right="62"/>
              <w:spacing w:after="0" w:line="162" w:lineRule="exact"/>
              <w:rPr>
                <w:sz w:val="20"/>
                <w:szCs w:val="20"/>
                <w:color w:val="auto"/>
              </w:rPr>
            </w:pPr>
            <w:r>
              <w:rPr>
                <w:rFonts w:ascii="Times New Roman" w:cs="Times New Roman" w:eastAsia="Times New Roman" w:hAnsi="Times New Roman"/>
                <w:sz w:val="16"/>
                <w:szCs w:val="16"/>
                <w:b w:val="1"/>
                <w:bCs w:val="1"/>
                <w:color w:val="auto"/>
              </w:rPr>
              <w:t>650 Page Mill Road</w:t>
            </w:r>
          </w:p>
        </w:tc>
        <w:tc>
          <w:tcPr>
            <w:tcW w:w="5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900" w:type="dxa"/>
            <w:vAlign w:val="bottom"/>
            <w:vMerge w:val="continue"/>
          </w:tcPr>
          <w:p>
            <w:pPr>
              <w:spacing w:after="0"/>
              <w:rPr>
                <w:sz w:val="4"/>
                <w:szCs w:val="4"/>
                <w:color w:val="auto"/>
              </w:rPr>
            </w:pPr>
          </w:p>
        </w:tc>
        <w:tc>
          <w:tcPr>
            <w:tcW w:w="5200" w:type="dxa"/>
            <w:vAlign w:val="bottom"/>
            <w:vMerge w:val="restart"/>
          </w:tcPr>
          <w:p>
            <w:pPr>
              <w:jc w:val="center"/>
              <w:ind w:left="2902"/>
              <w:spacing w:after="0"/>
              <w:rPr>
                <w:sz w:val="20"/>
                <w:szCs w:val="20"/>
                <w:color w:val="auto"/>
              </w:rPr>
            </w:pPr>
            <w:r>
              <w:rPr>
                <w:rFonts w:ascii="Times New Roman" w:cs="Times New Roman" w:eastAsia="Times New Roman" w:hAnsi="Times New Roman"/>
                <w:sz w:val="16"/>
                <w:szCs w:val="16"/>
                <w:b w:val="1"/>
                <w:bCs w:val="1"/>
                <w:color w:val="auto"/>
              </w:rPr>
              <w:t>1800 Owens Street</w:t>
            </w:r>
          </w:p>
        </w:tc>
        <w:tc>
          <w:tcPr>
            <w:tcW w:w="0" w:type="dxa"/>
            <w:vAlign w:val="bottom"/>
          </w:tcPr>
          <w:p>
            <w:pPr>
              <w:spacing w:after="0"/>
              <w:rPr>
                <w:sz w:val="1"/>
                <w:szCs w:val="1"/>
                <w:color w:val="auto"/>
              </w:rPr>
            </w:pPr>
          </w:p>
        </w:tc>
      </w:tr>
      <w:tr>
        <w:trPr>
          <w:trHeight w:val="162"/>
        </w:trPr>
        <w:tc>
          <w:tcPr>
            <w:tcW w:w="2900" w:type="dxa"/>
            <w:vAlign w:val="bottom"/>
          </w:tcPr>
          <w:p>
            <w:pPr>
              <w:jc w:val="center"/>
              <w:ind w:right="62"/>
              <w:spacing w:after="0" w:line="162" w:lineRule="exact"/>
              <w:rPr>
                <w:sz w:val="20"/>
                <w:szCs w:val="20"/>
                <w:color w:val="auto"/>
              </w:rPr>
            </w:pPr>
            <w:r>
              <w:rPr>
                <w:rFonts w:ascii="Times New Roman" w:cs="Times New Roman" w:eastAsia="Times New Roman" w:hAnsi="Times New Roman"/>
                <w:sz w:val="16"/>
                <w:szCs w:val="16"/>
                <w:b w:val="1"/>
                <w:bCs w:val="1"/>
                <w:color w:val="auto"/>
              </w:rPr>
              <w:t>Palo Alto, California 94304</w:t>
            </w:r>
          </w:p>
        </w:tc>
        <w:tc>
          <w:tcPr>
            <w:tcW w:w="5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00" w:type="dxa"/>
            <w:vAlign w:val="bottom"/>
          </w:tcPr>
          <w:p>
            <w:pPr>
              <w:jc w:val="center"/>
              <w:ind w:right="82"/>
              <w:spacing w:after="0" w:line="173" w:lineRule="exact"/>
              <w:rPr>
                <w:sz w:val="20"/>
                <w:szCs w:val="20"/>
                <w:color w:val="auto"/>
              </w:rPr>
            </w:pPr>
            <w:r>
              <w:rPr>
                <w:rFonts w:ascii="Times New Roman" w:cs="Times New Roman" w:eastAsia="Times New Roman" w:hAnsi="Times New Roman"/>
                <w:sz w:val="16"/>
                <w:szCs w:val="16"/>
                <w:b w:val="1"/>
                <w:bCs w:val="1"/>
                <w:color w:val="auto"/>
              </w:rPr>
              <w:t>(650) 493-9300</w:t>
            </w:r>
          </w:p>
        </w:tc>
        <w:tc>
          <w:tcPr>
            <w:tcW w:w="5200" w:type="dxa"/>
            <w:vAlign w:val="bottom"/>
          </w:tcPr>
          <w:p>
            <w:pPr>
              <w:jc w:val="center"/>
              <w:ind w:left="2902"/>
              <w:spacing w:after="0" w:line="173" w:lineRule="exact"/>
              <w:rPr>
                <w:sz w:val="20"/>
                <w:szCs w:val="20"/>
                <w:color w:val="auto"/>
              </w:rPr>
            </w:pPr>
            <w:r>
              <w:rPr>
                <w:rFonts w:ascii="Times New Roman" w:cs="Times New Roman" w:eastAsia="Times New Roman" w:hAnsi="Times New Roman"/>
                <w:sz w:val="16"/>
                <w:szCs w:val="16"/>
                <w:b w:val="1"/>
                <w:bCs w:val="1"/>
                <w:color w:val="auto"/>
              </w:rPr>
              <w:t>San Francisco, California 94158</w:t>
            </w:r>
          </w:p>
        </w:tc>
        <w:tc>
          <w:tcPr>
            <w:tcW w:w="0" w:type="dxa"/>
            <w:vAlign w:val="bottom"/>
          </w:tcPr>
          <w:p>
            <w:pPr>
              <w:spacing w:after="0"/>
              <w:rPr>
                <w:sz w:val="1"/>
                <w:szCs w:val="1"/>
                <w:color w:val="auto"/>
              </w:rPr>
            </w:pPr>
          </w:p>
        </w:tc>
      </w:tr>
      <w:tr>
        <w:trPr>
          <w:trHeight w:val="212"/>
        </w:trPr>
        <w:tc>
          <w:tcPr>
            <w:tcW w:w="2900" w:type="dxa"/>
            <w:vAlign w:val="bottom"/>
          </w:tcPr>
          <w:p>
            <w:pPr>
              <w:spacing w:after="0"/>
              <w:rPr>
                <w:sz w:val="18"/>
                <w:szCs w:val="18"/>
                <w:color w:val="auto"/>
              </w:rPr>
            </w:pPr>
          </w:p>
        </w:tc>
        <w:tc>
          <w:tcPr>
            <w:tcW w:w="5200" w:type="dxa"/>
            <w:vAlign w:val="bottom"/>
          </w:tcPr>
          <w:p>
            <w:pPr>
              <w:jc w:val="center"/>
              <w:ind w:left="2902"/>
              <w:spacing w:after="0"/>
              <w:rPr>
                <w:sz w:val="20"/>
                <w:szCs w:val="20"/>
                <w:color w:val="auto"/>
              </w:rPr>
            </w:pPr>
            <w:r>
              <w:rPr>
                <w:rFonts w:ascii="Times New Roman" w:cs="Times New Roman" w:eastAsia="Times New Roman" w:hAnsi="Times New Roman"/>
                <w:sz w:val="16"/>
                <w:szCs w:val="16"/>
                <w:b w:val="1"/>
                <w:bCs w:val="1"/>
                <w:color w:val="auto"/>
              </w:rPr>
              <w:t>(415) 930-7766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-1890395</wp:posOffset>
            </wp:positionV>
            <wp:extent cx="1594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8890"/>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-981710</wp:posOffset>
            </wp:positionV>
            <wp:extent cx="1594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63500</wp:posOffset>
            </wp:positionV>
            <wp:extent cx="1594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6" w:lineRule="exact"/>
        <w:rPr>
          <w:sz w:val="24"/>
          <w:szCs w:val="24"/>
          <w:color w:val="auto"/>
        </w:rPr>
      </w:pPr>
    </w:p>
    <w:p>
      <w:pPr>
        <w:jc w:val="cente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760"/>
          </w:cols>
          <w:pgMar w:left="560" w:top="533" w:right="579" w:bottom="1440" w:gutter="0" w:footer="0" w:header="0"/>
          <w:type w:val="continuous"/>
        </w:sectPr>
      </w:pPr>
    </w:p>
    <w:p>
      <w:pPr>
        <w:spacing w:after="0" w:line="24" w:lineRule="exact"/>
        <w:rPr>
          <w:sz w:val="24"/>
          <w:szCs w:val="24"/>
          <w:color w:val="auto"/>
        </w:rPr>
      </w:pPr>
    </w:p>
    <w:p>
      <w:pPr>
        <w:ind w:left="22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2">
            <w:col w:w="7280" w:space="720"/>
            <w:col w:w="2760"/>
          </w:cols>
          <w:pgMar w:left="560" w:top="533" w:right="579" w:bottom="1440" w:gutter="0" w:footer="0" w:header="0"/>
          <w:type w:val="continuous"/>
        </w:sectPr>
      </w:pPr>
    </w:p>
    <w:p>
      <w:pPr>
        <w:ind w:left="226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sectPr>
          <w:pgSz w:w="11900" w:h="16838" w:orient="portrait"/>
          <w:cols w:equalWidth="0" w:num="2">
            <w:col w:w="6980" w:space="720"/>
            <w:col w:w="3060"/>
          </w:cols>
          <w:pgMar w:left="560" w:top="533" w:right="579" w:bottom="1440" w:gutter="0" w:footer="0" w:header="0"/>
          <w:type w:val="continuous"/>
        </w:sectPr>
      </w:pPr>
    </w:p>
    <w:p>
      <w:pPr>
        <w:ind w:left="208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760"/>
          </w:cols>
          <w:pgMar w:left="560" w:top="533" w:right="579" w:bottom="1440" w:gutter="0" w:footer="0" w:header="0"/>
          <w:type w:val="continuous"/>
        </w:sectPr>
      </w:pPr>
    </w:p>
    <w:p>
      <w:pPr>
        <w:spacing w:after="0" w:line="69" w:lineRule="exact"/>
        <w:rPr>
          <w:sz w:val="24"/>
          <w:szCs w:val="24"/>
          <w:color w:val="auto"/>
        </w:rPr>
      </w:pPr>
    </w:p>
    <w:p>
      <w:pPr>
        <w:jc w:val="center"/>
        <w:ind w:left="60" w:right="40"/>
        <w:spacing w:after="0" w:line="250"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0760"/>
          </w:cols>
          <w:pgMar w:left="560" w:top="533" w:right="5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2"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registers additional shares of Class A common stock of Dropbox,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reserved for issuance under the Registrant’s 2018 Equity Incentive Plan (the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The number of shares of the Registrant’s Class A common stock available for grant and issuance under the 2018 Plan is subject to an annual increase on the first day of each fiscal year starting on January 1, 2019, by an amount equal to the least of (i) 41,368,326 shares, (ii) five percent (5%) of the outstanding shares of all classes of the Registrant’s common stock on the last day of the immediately preceding fiscal year or (iii) such number of shares determined by the Registrant’s board of directors.</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Statement registers an aggregate of 14,797,761 shares of the Registrant’s Class A common stock available for grant and issuance under the 2018 Plan, all of which became available for grant and issuance under the 2018 Plan on January 1, 2025.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3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Registrant’s Annual Report on Form 10-K for the fiscal year ended December 31, 2024, filed with the Commission on February 21,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34" w:lineRule="exact"/>
        <w:rPr>
          <w:sz w:val="20"/>
          <w:szCs w:val="20"/>
          <w:color w:val="auto"/>
        </w:rPr>
      </w:pPr>
    </w:p>
    <w:p>
      <w:pPr>
        <w:ind w:right="400" w:firstLine="656"/>
        <w:spacing w:after="0" w:line="266" w:lineRule="auto"/>
        <w:tabs>
          <w:tab w:leader="none" w:pos="90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Class A Common Stock filed as Exhibit 4.1 to its Quarterly Report on Form 10-Q for the fiscal quarter ended June 30, 2020, filed with the Commission on August 7, 2020, and any subsequent amendment or report filed for the purpose of updating such descriptions.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Securities Exchange Act of 1934, as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or after the date of this Registration Statement and prior to the filing of a post-effective amendment to this Registration Statement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that all securities offered have been sold or that deregisters all securities then remaining unsold shall be deemed to be incorporated by reference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furnished and not filed in accordance with the rules of the Commission shall not be deemed incorporated by reference into this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Any statement contained in a document incorporated or deemed to be incorporated by reference herein shall be deemed to be modified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superseded for purposes of this Registration Statement to the extent that a statement contained herein or in any subsequently filed document which also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incorporated by reference herein modifies or supersedes such statement. Any such statement so modified or superseded shall not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so modified or superseded, to constitute a part of this Registration Statement.</w:t>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20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Registrant or its stockholders;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5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20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219"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214"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w:t>
      </w:r>
    </w:p>
    <w:p>
      <w:pPr>
        <w:sectPr>
          <w:pgSz w:w="11900" w:h="16838" w:orient="portrait"/>
          <w:cols w:equalWidth="0" w:num="1">
            <w:col w:w="11240"/>
          </w:cols>
          <w:pgMar w:left="320" w:top="1089" w:right="339" w:bottom="1440" w:gutter="0" w:footer="0" w:header="0"/>
        </w:sectPr>
      </w:pPr>
    </w:p>
    <w:bookmarkStart w:id="3" w:name="page4"/>
    <w:bookmarkEnd w:id="3"/>
    <w:p>
      <w:pPr>
        <w:ind w:right="140"/>
        <w:spacing w:after="0" w:line="258" w:lineRule="auto"/>
        <w:rPr>
          <w:sz w:val="20"/>
          <w:szCs w:val="20"/>
          <w:color w:val="auto"/>
        </w:rPr>
      </w:pPr>
      <w:r>
        <w:rPr>
          <w:rFonts w:ascii="Times New Roman" w:cs="Times New Roman" w:eastAsia="Times New Roman" w:hAnsi="Times New Roman"/>
          <w:sz w:val="18"/>
          <w:szCs w:val="18"/>
          <w:color w:val="auto"/>
        </w:rPr>
        <w:t>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21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207"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460" w:type="dxa"/>
            <w:vAlign w:val="bottom"/>
          </w:tcPr>
          <w:p>
            <w:pPr>
              <w:jc w:val="center"/>
              <w:spacing w:after="0" w:line="210" w:lineRule="exact"/>
              <w:rPr>
                <w:sz w:val="20"/>
                <w:szCs w:val="20"/>
                <w:color w:val="auto"/>
              </w:rPr>
            </w:pPr>
            <w:r>
              <w:rPr>
                <w:rFonts w:ascii="Times New Roman" w:cs="Times New Roman" w:eastAsia="Times New Roman" w:hAnsi="Times New Roman"/>
                <w:sz w:val="18"/>
                <w:szCs w:val="18"/>
                <w:color w:val="auto"/>
                <w:w w:val="89"/>
              </w:rPr>
              <w:t>4.1</w:t>
            </w:r>
            <w:r>
              <w:rPr>
                <w:rFonts w:ascii="Times New Roman" w:cs="Times New Roman" w:eastAsia="Times New Roman" w:hAnsi="Times New Roman"/>
                <w:sz w:val="23"/>
                <w:szCs w:val="23"/>
                <w:color w:val="auto"/>
                <w:w w:val="89"/>
                <w:vertAlign w:val="superscript"/>
              </w:rPr>
              <w:t>(1)</w:t>
            </w:r>
          </w:p>
        </w:tc>
        <w:tc>
          <w:tcPr>
            <w:tcW w:w="20" w:type="dxa"/>
            <w:vAlign w:val="bottom"/>
          </w:tcPr>
          <w:p>
            <w:pPr>
              <w:spacing w:after="0"/>
              <w:rPr>
                <w:sz w:val="18"/>
                <w:szCs w:val="18"/>
                <w:color w:val="auto"/>
              </w:rPr>
            </w:pPr>
          </w:p>
        </w:tc>
        <w:tc>
          <w:tcPr>
            <w:tcW w:w="7100" w:type="dxa"/>
            <w:vAlign w:val="bottom"/>
            <w:gridSpan w:val="6"/>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Form of Class A common stock certificate.</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9"/>
              </w:rPr>
              <w:t>4.2</w:t>
            </w:r>
            <w:r>
              <w:rPr>
                <w:rFonts w:ascii="Times New Roman" w:cs="Times New Roman" w:eastAsia="Times New Roman" w:hAnsi="Times New Roman"/>
                <w:sz w:val="23"/>
                <w:szCs w:val="23"/>
                <w:color w:val="auto"/>
                <w:w w:val="89"/>
                <w:vertAlign w:val="superscript"/>
              </w:rPr>
              <w:t>(2)</w:t>
            </w: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Dropbox, Inc. 2018 Equity Incentive Plan and related form agreements, as amended.</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20" w:type="dxa"/>
            <w:vAlign w:val="bottom"/>
          </w:tcPr>
          <w:p>
            <w:pPr>
              <w:spacing w:after="0"/>
              <w:rPr>
                <w:sz w:val="21"/>
                <w:szCs w:val="21"/>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 P.C.</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4"/>
                <w:szCs w:val="24"/>
                <w:color w:val="auto"/>
              </w:rPr>
            </w:pPr>
          </w:p>
        </w:tc>
        <w:tc>
          <w:tcPr>
            <w:tcW w:w="7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21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480" w:hanging="878"/>
        <w:spacing w:after="0"/>
        <w:tabs>
          <w:tab w:leader="none" w:pos="1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90" w:lineRule="exact"/>
        <w:rPr>
          <w:rFonts w:ascii="Times New Roman" w:cs="Times New Roman" w:eastAsia="Times New Roman" w:hAnsi="Times New Roman"/>
          <w:sz w:val="18"/>
          <w:szCs w:val="18"/>
          <w:color w:val="auto"/>
        </w:rPr>
      </w:pPr>
    </w:p>
    <w:p>
      <w:pPr>
        <w:ind w:left="180" w:right="120" w:hanging="172"/>
        <w:spacing w:after="0" w:line="233" w:lineRule="auto"/>
        <w:tabs>
          <w:tab w:leader="none" w:pos="183"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Incorporated by reference to Exhibit 4.1 filed with the Registrant’s Registration Statement on Form S-1/A (Registration No. 333-223182), filed with the Commission on March 12, 2018.</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193"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Incorporated by reference to Exhibit 10.2 filed with the Registrant’s Annual Report on Form 10-K, filed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on February 21, 2025.</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79" w:lineRule="exact"/>
        <w:rPr>
          <w:sz w:val="20"/>
          <w:szCs w:val="20"/>
          <w:color w:val="auto"/>
        </w:rPr>
      </w:pPr>
    </w:p>
    <w:p>
      <w:pPr>
        <w:ind w:left="920" w:hanging="264"/>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79" w:lineRule="exact"/>
        <w:rPr>
          <w:rFonts w:ascii="Times New Roman" w:cs="Times New Roman" w:eastAsia="Times New Roman" w:hAnsi="Times New Roman"/>
          <w:sz w:val="18"/>
          <w:szCs w:val="18"/>
          <w:color w:val="auto"/>
        </w:rPr>
      </w:pPr>
    </w:p>
    <w:p>
      <w:pPr>
        <w:ind w:right="60" w:firstLine="1304"/>
        <w:spacing w:after="0" w:line="238" w:lineRule="auto"/>
        <w:tabs>
          <w:tab w:leader="none" w:pos="157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53" w:lineRule="exact"/>
        <w:rPr>
          <w:rFonts w:ascii="Times New Roman" w:cs="Times New Roman" w:eastAsia="Times New Roman" w:hAnsi="Times New Roman"/>
          <w:sz w:val="18"/>
          <w:szCs w:val="18"/>
          <w:color w:val="auto"/>
        </w:rPr>
      </w:pPr>
    </w:p>
    <w:p>
      <w:pPr>
        <w:ind w:right="40" w:firstLine="1304"/>
        <w:spacing w:after="0" w:line="246" w:lineRule="auto"/>
        <w:tabs>
          <w:tab w:leader="none" w:pos="16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ind w:right="2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252" w:lineRule="exact"/>
        <w:rPr>
          <w:rFonts w:ascii="Times New Roman" w:cs="Times New Roman" w:eastAsia="Times New Roman" w:hAnsi="Times New Roman"/>
          <w:sz w:val="18"/>
          <w:szCs w:val="18"/>
          <w:color w:val="auto"/>
        </w:rPr>
      </w:pPr>
    </w:p>
    <w:p>
      <w:pPr>
        <w:ind w:right="300" w:firstLine="656"/>
        <w:spacing w:after="0" w:line="250" w:lineRule="auto"/>
        <w:tabs>
          <w:tab w:leader="none" w:pos="9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44" w:lineRule="exact"/>
        <w:rPr>
          <w:rFonts w:ascii="Times New Roman" w:cs="Times New Roman" w:eastAsia="Times New Roman" w:hAnsi="Times New Roman"/>
          <w:sz w:val="18"/>
          <w:szCs w:val="18"/>
          <w:color w:val="auto"/>
        </w:rPr>
      </w:pPr>
    </w:p>
    <w:p>
      <w:pPr>
        <w:ind w:right="340" w:firstLine="656"/>
        <w:spacing w:after="0" w:line="266" w:lineRule="auto"/>
        <w:tabs>
          <w:tab w:leader="none" w:pos="9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216" w:lineRule="exact"/>
        <w:rPr>
          <w:rFonts w:ascii="Times New Roman" w:cs="Times New Roman" w:eastAsia="Times New Roman" w:hAnsi="Times New Roman"/>
          <w:sz w:val="18"/>
          <w:szCs w:val="18"/>
          <w:color w:val="auto"/>
        </w:rPr>
      </w:pPr>
    </w:p>
    <w:p>
      <w:pPr>
        <w:ind w:right="300" w:firstLine="8"/>
        <w:spacing w:after="0" w:line="242"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52" w:lineRule="exact"/>
        <w:rPr>
          <w:rFonts w:ascii="Times New Roman" w:cs="Times New Roman" w:eastAsia="Times New Roman" w:hAnsi="Times New Roman"/>
          <w:sz w:val="18"/>
          <w:szCs w:val="18"/>
          <w:color w:val="auto"/>
        </w:rPr>
      </w:pPr>
    </w:p>
    <w:p>
      <w:pPr>
        <w:ind w:firstLine="8"/>
        <w:spacing w:after="0" w:line="247"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w:t>
      </w:r>
    </w:p>
    <w:p>
      <w:pPr>
        <w:sectPr>
          <w:pgSz w:w="11900" w:h="16838" w:orient="portrait"/>
          <w:cols w:equalWidth="0" w:num="1">
            <w:col w:w="11180"/>
          </w:cols>
          <w:pgMar w:left="320" w:top="1076"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indemnification by it is against public policy as expressed in the Securities Act and will be governed by the final adjudication of such issue.</w:t>
      </w:r>
    </w:p>
    <w:p>
      <w:pPr>
        <w:sectPr>
          <w:pgSz w:w="11900" w:h="16838" w:orient="portrait"/>
          <w:cols w:equalWidth="0" w:num="1">
            <w:col w:w="10139"/>
          </w:cols>
          <w:pgMar w:left="320" w:top="1080" w:right="1440" w:bottom="1440" w:gutter="0" w:footer="0" w:header="0"/>
        </w:sectPr>
      </w:pPr>
    </w:p>
    <w:bookmarkStart w:id="6" w:name="page7"/>
    <w:bookmarkEnd w:id="6"/>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648"/>
        <w:spacing w:after="0" w:line="25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of February, 2025.</w:t>
      </w:r>
    </w:p>
    <w:p>
      <w:pPr>
        <w:spacing w:after="0" w:line="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-7620</wp:posOffset>
            </wp:positionV>
            <wp:extent cx="1062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4720"/>
        <w:spacing w:after="0"/>
        <w:rPr>
          <w:sz w:val="20"/>
          <w:szCs w:val="20"/>
          <w:color w:val="auto"/>
        </w:rPr>
      </w:pPr>
      <w:r>
        <w:rPr>
          <w:rFonts w:ascii="Times New Roman" w:cs="Times New Roman" w:eastAsia="Times New Roman" w:hAnsi="Times New Roman"/>
          <w:sz w:val="18"/>
          <w:szCs w:val="18"/>
          <w:color w:val="auto"/>
        </w:rPr>
        <w:t>Timothy J. Regan</w:t>
      </w:r>
    </w:p>
    <w:p>
      <w:pPr>
        <w:ind w:left="4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W. Houston, Timothy J. Regan,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ectPr>
          <w:pgSz w:w="11900" w:h="16838" w:orient="portrait"/>
          <w:cols w:equalWidth="0" w:num="1">
            <w:col w:w="11220"/>
          </w:cols>
          <w:pgMar w:left="320" w:top="1440" w:right="359" w:bottom="1440" w:gutter="0" w:footer="0" w:header="0"/>
        </w:sectPr>
      </w:pPr>
    </w:p>
    <w:bookmarkStart w:id="7" w:name="page8"/>
    <w:bookmarkEnd w:id="7"/>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620" w:type="dxa"/>
            <w:vAlign w:val="bottom"/>
            <w:gridSpan w:val="18"/>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468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68"/>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Andrew W. Houston</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2060" w:type="dxa"/>
            <w:vAlign w:val="bottom"/>
            <w:tcBorders>
              <w:top w:val="single" w:sz="8" w:color="auto"/>
            </w:tcBorders>
            <w:gridSpan w:val="18"/>
          </w:tcPr>
          <w:p>
            <w:pPr>
              <w:spacing w:after="0" w:line="169" w:lineRule="exact"/>
              <w:rPr>
                <w:sz w:val="20"/>
                <w:szCs w:val="20"/>
                <w:color w:val="auto"/>
              </w:rPr>
            </w:pPr>
            <w:r>
              <w:rPr>
                <w:rFonts w:ascii="Times New Roman" w:cs="Times New Roman" w:eastAsia="Times New Roman" w:hAnsi="Times New Roman"/>
                <w:sz w:val="18"/>
                <w:szCs w:val="18"/>
                <w:color w:val="auto"/>
              </w:rPr>
              <w:t>Andrew W. Houston</w:t>
            </w:r>
          </w:p>
        </w:tc>
        <w:tc>
          <w:tcPr>
            <w:tcW w:w="2320" w:type="dxa"/>
            <w:vAlign w:val="bottom"/>
          </w:tcPr>
          <w:p>
            <w:pPr>
              <w:spacing w:after="0"/>
              <w:rPr>
                <w:sz w:val="14"/>
                <w:szCs w:val="14"/>
                <w:color w:val="auto"/>
              </w:rPr>
            </w:pPr>
          </w:p>
        </w:tc>
        <w:tc>
          <w:tcPr>
            <w:tcW w:w="5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7"/>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Timothy J. Regan</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860" w:type="dxa"/>
            <w:vAlign w:val="bottom"/>
            <w:tcBorders>
              <w:top w:val="single" w:sz="8" w:color="auto"/>
            </w:tcBorders>
            <w:gridSpan w:val="17"/>
          </w:tcPr>
          <w:p>
            <w:pPr>
              <w:spacing w:after="0" w:line="169" w:lineRule="exact"/>
              <w:rPr>
                <w:sz w:val="20"/>
                <w:szCs w:val="20"/>
                <w:color w:val="auto"/>
              </w:rPr>
            </w:pPr>
            <w:r>
              <w:rPr>
                <w:rFonts w:ascii="Times New Roman" w:cs="Times New Roman" w:eastAsia="Times New Roman" w:hAnsi="Times New Roman"/>
                <w:sz w:val="18"/>
                <w:szCs w:val="18"/>
                <w:color w:val="auto"/>
              </w:rPr>
              <w:t>Timothy J. Regan</w:t>
            </w:r>
          </w:p>
        </w:tc>
        <w:tc>
          <w:tcPr>
            <w:tcW w:w="2520" w:type="dxa"/>
            <w:vAlign w:val="bottom"/>
            <w:gridSpan w:val="2"/>
          </w:tcPr>
          <w:p>
            <w:pPr>
              <w:spacing w:after="0"/>
              <w:rPr>
                <w:sz w:val="14"/>
                <w:szCs w:val="14"/>
                <w:color w:val="auto"/>
              </w:rPr>
            </w:pPr>
          </w:p>
        </w:tc>
        <w:tc>
          <w:tcPr>
            <w:tcW w:w="50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(Principal Accounting and Financial Officer)</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6"/>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Donald W. Blair</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760" w:type="dxa"/>
            <w:vAlign w:val="bottom"/>
            <w:tcBorders>
              <w:top w:val="single" w:sz="8" w:color="auto"/>
            </w:tcBorders>
            <w:gridSpan w:val="13"/>
          </w:tcPr>
          <w:p>
            <w:pPr>
              <w:spacing w:after="0" w:line="169" w:lineRule="exact"/>
              <w:rPr>
                <w:sz w:val="20"/>
                <w:szCs w:val="20"/>
                <w:color w:val="auto"/>
              </w:rPr>
            </w:pPr>
            <w:r>
              <w:rPr>
                <w:rFonts w:ascii="Times New Roman" w:cs="Times New Roman" w:eastAsia="Times New Roman" w:hAnsi="Times New Roman"/>
                <w:sz w:val="18"/>
                <w:szCs w:val="18"/>
                <w:color w:val="auto"/>
              </w:rPr>
              <w:t>Donald W. Blair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3"/>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7"/>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Lisa Campbell</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840" w:type="dxa"/>
            <w:vAlign w:val="bottom"/>
            <w:tcBorders>
              <w:top w:val="single" w:sz="8" w:color="auto"/>
            </w:tcBorders>
            <w:gridSpan w:val="16"/>
          </w:tcPr>
          <w:p>
            <w:pPr>
              <w:spacing w:after="0" w:line="169" w:lineRule="exact"/>
              <w:rPr>
                <w:sz w:val="20"/>
                <w:szCs w:val="20"/>
                <w:color w:val="auto"/>
              </w:rPr>
            </w:pPr>
            <w:r>
              <w:rPr>
                <w:rFonts w:ascii="Times New Roman" w:cs="Times New Roman" w:eastAsia="Times New Roman" w:hAnsi="Times New Roman"/>
                <w:sz w:val="18"/>
                <w:szCs w:val="18"/>
                <w:color w:val="auto"/>
              </w:rPr>
              <w:t>Lisa Campbell</w:t>
            </w:r>
          </w:p>
        </w:tc>
        <w:tc>
          <w:tcPr>
            <w:tcW w:w="2540" w:type="dxa"/>
            <w:vAlign w:val="bottom"/>
            <w:gridSpan w:val="3"/>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20"/>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Paul E. Jacobs</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060" w:type="dxa"/>
            <w:vAlign w:val="bottom"/>
            <w:tcBorders>
              <w:top w:val="single" w:sz="8" w:color="auto"/>
              <w:bottom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w w:val="99"/>
              </w:rPr>
              <w:t>Paul E. Jacobs</w:t>
            </w:r>
          </w:p>
        </w:tc>
        <w:tc>
          <w:tcPr>
            <w:tcW w:w="760" w:type="dxa"/>
            <w:vAlign w:val="bottom"/>
            <w:tcBorders>
              <w:top w:val="single" w:sz="8" w:color="auto"/>
            </w:tcBorders>
            <w:gridSpan w:val="12"/>
          </w:tcPr>
          <w:p>
            <w:pPr>
              <w:spacing w:after="0"/>
              <w:rPr>
                <w:sz w:val="14"/>
                <w:szCs w:val="14"/>
                <w:color w:val="auto"/>
              </w:rPr>
            </w:pPr>
          </w:p>
        </w:tc>
        <w:tc>
          <w:tcPr>
            <w:tcW w:w="2560" w:type="dxa"/>
            <w:vAlign w:val="bottom"/>
            <w:gridSpan w:val="4"/>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7"/>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Warren Jenson</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480" w:type="dxa"/>
            <w:vAlign w:val="bottom"/>
            <w:tcBorders>
              <w:top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auto"/>
              </w:rPr>
              <w:t>Warren Jenson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580" w:type="dxa"/>
            <w:vAlign w:val="bottom"/>
            <w:gridSpan w:val="5"/>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79"/>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Sara Mathew</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800" w:type="dxa"/>
            <w:vAlign w:val="bottom"/>
            <w:tcBorders>
              <w:top w:val="single" w:sz="8" w:color="auto"/>
            </w:tcBorders>
            <w:gridSpan w:val="14"/>
          </w:tcPr>
          <w:p>
            <w:pPr>
              <w:spacing w:after="0" w:line="169" w:lineRule="exact"/>
              <w:rPr>
                <w:sz w:val="20"/>
                <w:szCs w:val="20"/>
                <w:color w:val="auto"/>
              </w:rPr>
            </w:pPr>
            <w:r>
              <w:rPr>
                <w:rFonts w:ascii="Times New Roman" w:cs="Times New Roman" w:eastAsia="Times New Roman" w:hAnsi="Times New Roman"/>
                <w:sz w:val="18"/>
                <w:szCs w:val="18"/>
                <w:color w:val="auto"/>
              </w:rPr>
              <w:t>Sara Mathew</w:t>
            </w:r>
          </w:p>
        </w:tc>
        <w:tc>
          <w:tcPr>
            <w:tcW w:w="2580" w:type="dxa"/>
            <w:vAlign w:val="bottom"/>
            <w:gridSpan w:val="5"/>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507"/>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Andrew Moore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120" w:type="dxa"/>
            <w:vAlign w:val="bottom"/>
            <w:tcBorders>
              <w:top w:val="single" w:sz="8" w:color="auto"/>
              <w:bottom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w w:val="99"/>
              </w:rPr>
              <w:t>Andrew Moore</w:t>
            </w:r>
          </w:p>
        </w:tc>
        <w:tc>
          <w:tcPr>
            <w:tcW w:w="420" w:type="dxa"/>
            <w:vAlign w:val="bottom"/>
            <w:tcBorders>
              <w:top w:val="single" w:sz="8" w:color="auto"/>
            </w:tcBorders>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7"/>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Abhay Parasnis</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180" w:type="dxa"/>
            <w:vAlign w:val="bottom"/>
            <w:tcBorders>
              <w:top w:val="single" w:sz="8" w:color="auto"/>
              <w:bottom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Abhay Parasnis</w:t>
            </w:r>
          </w:p>
        </w:tc>
        <w:tc>
          <w:tcPr>
            <w:tcW w:w="400" w:type="dxa"/>
            <w:vAlign w:val="bottom"/>
            <w:tcBorders>
              <w:top w:val="single" w:sz="8" w:color="auto"/>
            </w:tcBorders>
            <w:gridSpan w:val="4"/>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7"/>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Karen Peacock</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100" w:type="dxa"/>
            <w:vAlign w:val="bottom"/>
            <w:tcBorders>
              <w:top w:val="single" w:sz="8" w:color="auto"/>
              <w:bottom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w w:val="99"/>
              </w:rPr>
              <w:t>Karen Peacock</w:t>
            </w:r>
          </w:p>
        </w:tc>
        <w:tc>
          <w:tcPr>
            <w:tcW w:w="560" w:type="dxa"/>
            <w:vAlign w:val="bottom"/>
            <w:tcBorders>
              <w:top w:val="single" w:sz="8" w:color="auto"/>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20"/>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 Michael Seibel</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169"/>
        </w:trPr>
        <w:tc>
          <w:tcPr>
            <w:tcW w:w="1100" w:type="dxa"/>
            <w:vAlign w:val="bottom"/>
            <w:tcBorders>
              <w:top w:val="single" w:sz="8" w:color="auto"/>
              <w:bottom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w w:val="99"/>
              </w:rPr>
              <w:t>Michael Seibel</w:t>
            </w:r>
          </w:p>
        </w:tc>
        <w:tc>
          <w:tcPr>
            <w:tcW w:w="580" w:type="dxa"/>
            <w:vAlign w:val="bottom"/>
            <w:tcBorders>
              <w:top w:val="single" w:sz="8" w:color="auto"/>
            </w:tcBorders>
            <w:gridSpan w:val="8"/>
          </w:tcPr>
          <w:p>
            <w:pPr>
              <w:spacing w:after="0"/>
              <w:rPr>
                <w:sz w:val="14"/>
                <w:szCs w:val="14"/>
                <w:color w:val="auto"/>
              </w:rPr>
            </w:pPr>
          </w:p>
        </w:tc>
        <w:tc>
          <w:tcPr>
            <w:tcW w:w="2700" w:type="dxa"/>
            <w:vAlign w:val="bottom"/>
            <w:gridSpan w:val="7"/>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ectPr>
          <w:pgSz w:w="11900" w:h="16838" w:orient="portrait"/>
          <w:cols w:equalWidth="0" w:num="1">
            <w:col w:w="11180"/>
          </w:cols>
          <w:pgMar w:left="320" w:top="1440" w:right="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Dropbox,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31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Table 1 –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6831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1180" w:type="dxa"/>
            <w:vAlign w:val="bottom"/>
            <w:vMerge w:val="restart"/>
          </w:tcPr>
          <w:p>
            <w:pPr>
              <w:jc w:val="center"/>
              <w:ind w:left="153"/>
              <w:spacing w:after="0"/>
              <w:rPr>
                <w:sz w:val="20"/>
                <w:szCs w:val="20"/>
                <w:color w:val="auto"/>
              </w:rPr>
            </w:pPr>
            <w:r>
              <w:rPr>
                <w:rFonts w:ascii="Times New Roman" w:cs="Times New Roman" w:eastAsia="Times New Roman" w:hAnsi="Times New Roman"/>
                <w:sz w:val="14"/>
                <w:szCs w:val="14"/>
                <w:color w:val="auto"/>
              </w:rPr>
              <w:t>Amount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Security Type</w:t>
            </w:r>
          </w:p>
        </w:tc>
        <w:tc>
          <w:tcPr>
            <w:tcW w:w="260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color w:val="auto"/>
              </w:rPr>
              <w:t>Security Class Type</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Calculation</w:t>
            </w:r>
          </w:p>
        </w:tc>
        <w:tc>
          <w:tcPr>
            <w:tcW w:w="1180" w:type="dxa"/>
            <w:vAlign w:val="bottom"/>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Offering Price Per</w:t>
            </w: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Aggregate Offering</w:t>
            </w:r>
          </w:p>
        </w:tc>
        <w:tc>
          <w:tcPr>
            <w:tcW w:w="260" w:type="dxa"/>
            <w:vAlign w:val="bottom"/>
          </w:tcPr>
          <w:p>
            <w:pPr>
              <w:spacing w:after="0"/>
              <w:rPr>
                <w:sz w:val="12"/>
                <w:szCs w:val="12"/>
                <w:color w:val="auto"/>
              </w:rPr>
            </w:pPr>
          </w:p>
        </w:tc>
        <w:tc>
          <w:tcPr>
            <w:tcW w:w="10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Fee Rate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Rule</w:t>
            </w:r>
          </w:p>
        </w:tc>
        <w:tc>
          <w:tcPr>
            <w:tcW w:w="1180" w:type="dxa"/>
            <w:vAlign w:val="bottom"/>
          </w:tcPr>
          <w:p>
            <w:pPr>
              <w:jc w:val="center"/>
              <w:ind w:left="133"/>
              <w:spacing w:after="0" w:line="129" w:lineRule="exact"/>
              <w:rPr>
                <w:sz w:val="20"/>
                <w:szCs w:val="20"/>
                <w:color w:val="auto"/>
              </w:rPr>
            </w:pPr>
            <w:r>
              <w:rPr>
                <w:rFonts w:ascii="Times New Roman" w:cs="Times New Roman" w:eastAsia="Times New Roman" w:hAnsi="Times New Roman"/>
                <w:sz w:val="11"/>
                <w:szCs w:val="11"/>
                <w:color w:val="auto"/>
              </w:rPr>
              <w:t xml:space="preserve">Registered </w:t>
            </w:r>
            <w:r>
              <w:rPr>
                <w:rFonts w:ascii="Times New Roman" w:cs="Times New Roman" w:eastAsia="Times New Roman" w:hAnsi="Times New Roman"/>
                <w:sz w:val="14"/>
                <w:szCs w:val="14"/>
                <w:color w:val="auto"/>
                <w:vertAlign w:val="superscript"/>
              </w:rPr>
              <w:t>(1)</w:t>
            </w: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Share</w:t>
            </w: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Price</w:t>
            </w: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Registration Fee</w:t>
            </w: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Class A Common Stock, $0.00001 par</w:t>
            </w:r>
          </w:p>
        </w:tc>
        <w:tc>
          <w:tcPr>
            <w:tcW w:w="10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value per share, reserved for issuance</w:t>
            </w:r>
          </w:p>
        </w:tc>
        <w:tc>
          <w:tcPr>
            <w:tcW w:w="10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pursuant to the 2018 Equity Incentive</w:t>
            </w:r>
          </w:p>
        </w:tc>
        <w:tc>
          <w:tcPr>
            <w:tcW w:w="10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 xml:space="preserve">14,797,761 </w:t>
            </w:r>
            <w:r>
              <w:rPr>
                <w:rFonts w:ascii="Times New Roman" w:cs="Times New Roman" w:eastAsia="Times New Roman" w:hAnsi="Times New Roman"/>
                <w:sz w:val="18"/>
                <w:szCs w:val="18"/>
                <w:color w:val="auto"/>
                <w:vertAlign w:val="superscript"/>
              </w:rPr>
              <w:t>(2)</w:t>
            </w:r>
          </w:p>
        </w:tc>
        <w:tc>
          <w:tcPr>
            <w:tcW w:w="1320" w:type="dxa"/>
            <w:vAlign w:val="bottom"/>
            <w:vMerge w:val="restart"/>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 xml:space="preserve">$ 32.59 </w:t>
            </w:r>
            <w:r>
              <w:rPr>
                <w:rFonts w:ascii="Times New Roman" w:cs="Times New Roman" w:eastAsia="Times New Roman" w:hAnsi="Times New Roman"/>
                <w:sz w:val="18"/>
                <w:szCs w:val="18"/>
                <w:color w:val="auto"/>
                <w:vertAlign w:val="superscript"/>
              </w:rPr>
              <w:t>(3)</w:t>
            </w: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Plan the 2018 Equity Incentive Plan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1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$482,259,030.99</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0.00015310</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73,834.00</w:t>
            </w:r>
          </w:p>
        </w:tc>
        <w:tc>
          <w:tcPr>
            <w:tcW w:w="0" w:type="dxa"/>
            <w:vAlign w:val="bottom"/>
          </w:tcPr>
          <w:p>
            <w:pPr>
              <w:spacing w:after="0"/>
              <w:rPr>
                <w:sz w:val="1"/>
                <w:szCs w:val="1"/>
                <w:color w:val="auto"/>
              </w:rPr>
            </w:pPr>
          </w:p>
        </w:tc>
      </w:tr>
      <w:tr>
        <w:trPr>
          <w:trHeight w:val="196"/>
        </w:trPr>
        <w:tc>
          <w:tcPr>
            <w:tcW w:w="3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$482,259,030.99</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73,834.00</w:t>
            </w:r>
          </w:p>
        </w:tc>
        <w:tc>
          <w:tcPr>
            <w:tcW w:w="0" w:type="dxa"/>
            <w:vAlign w:val="bottom"/>
          </w:tcPr>
          <w:p>
            <w:pPr>
              <w:spacing w:after="0"/>
              <w:rPr>
                <w:sz w:val="1"/>
                <w:szCs w:val="1"/>
                <w:color w:val="auto"/>
              </w:rPr>
            </w:pPr>
          </w:p>
        </w:tc>
      </w:tr>
      <w:tr>
        <w:trPr>
          <w:trHeight w:val="209"/>
        </w:trPr>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2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73,834.00</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firstLine="8"/>
        <w:spacing w:after="0" w:line="264" w:lineRule="auto"/>
        <w:tabs>
          <w:tab w:leader="none" w:pos="16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Pursuant to Rule 416(a) of the Securities Act of 1933, as amended, this Registration Statement covers any additional shares of the Registrant’s Class A common stock (“Class A Common Stock”) that become issuable under the Registrant’s 2018 Equity Incentive Plan (the “2018 Plan”) by reason of any stock dividend, stock split, recapitalization or other similar transaction effected without the Registrant’s receipt of consideration which results in an increase in the number of the outstanding shares of Class A Common Stock.</w:t>
      </w:r>
    </w:p>
    <w:p>
      <w:pPr>
        <w:spacing w:after="0" w:line="192" w:lineRule="exact"/>
        <w:rPr>
          <w:rFonts w:ascii="Times New Roman" w:cs="Times New Roman" w:eastAsia="Times New Roman" w:hAnsi="Times New Roman"/>
          <w:sz w:val="20"/>
          <w:szCs w:val="20"/>
          <w:color w:val="auto"/>
          <w:vertAlign w:val="superscript"/>
        </w:rPr>
      </w:pPr>
    </w:p>
    <w:p>
      <w:pPr>
        <w:ind w:right="60" w:firstLine="8"/>
        <w:spacing w:after="0" w:line="287" w:lineRule="auto"/>
        <w:tabs>
          <w:tab w:leader="none" w:pos="16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an automatic increase of 14,797,761 shares of the Registrant’s Class A common stock reserved for issuance under, and which annual increase is provided for, in the 2018 Plan.</w:t>
      </w:r>
    </w:p>
    <w:p>
      <w:pPr>
        <w:spacing w:after="0" w:line="166" w:lineRule="exact"/>
        <w:rPr>
          <w:rFonts w:ascii="Times New Roman" w:cs="Times New Roman" w:eastAsia="Times New Roman" w:hAnsi="Times New Roman"/>
          <w:sz w:val="20"/>
          <w:szCs w:val="20"/>
          <w:color w:val="auto"/>
          <w:vertAlign w:val="superscript"/>
        </w:rPr>
      </w:pPr>
    </w:p>
    <w:p>
      <w:pPr>
        <w:ind w:right="300" w:firstLine="8"/>
        <w:spacing w:after="0" w:line="269" w:lineRule="auto"/>
        <w:tabs>
          <w:tab w:leader="none" w:pos="16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Estimated in accordance with Rule 457(h) solely for the purpose of calculating the registration fee on the basis of $32.59 per share, the average of the high and low sale prices of the Registrant’s Class A common stock as reported on the NASDAQ Global Select Stock Market on February 14, 2025.</w:t>
      </w:r>
    </w:p>
    <w:p>
      <w:pPr>
        <w:sectPr>
          <w:pgSz w:w="11900" w:h="16838" w:orient="portrait"/>
          <w:cols w:equalWidth="0" w:num="1">
            <w:col w:w="11240"/>
          </w:cols>
          <w:pgMar w:left="320" w:top="140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913765</wp:posOffset>
            </wp:positionV>
            <wp:extent cx="109728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Wilson Sonsini Goodrich &amp; Rosati</w:t>
      </w:r>
    </w:p>
    <w:p>
      <w:pPr>
        <w:spacing w:after="0" w:line="16"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Professional Corporation 650 Page Mill Road</w:t>
      </w:r>
    </w:p>
    <w:p>
      <w:pPr>
        <w:spacing w:after="0" w:line="16"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Palo Alto, CA 94304-1050 o: 650.493.9300</w:t>
      </w:r>
    </w:p>
    <w:p>
      <w:pPr>
        <w:spacing w:after="0" w:line="3" w:lineRule="exact"/>
        <w:rPr>
          <w:sz w:val="20"/>
          <w:szCs w:val="20"/>
          <w:color w:val="auto"/>
        </w:rPr>
      </w:pPr>
    </w:p>
    <w:p>
      <w:pPr>
        <w:jc w:val="right"/>
        <w:ind w:right="20"/>
        <w:spacing w:after="0"/>
        <w:rPr>
          <w:sz w:val="20"/>
          <w:szCs w:val="20"/>
          <w:color w:val="auto"/>
        </w:rPr>
      </w:pPr>
      <w:r>
        <w:rPr>
          <w:rFonts w:ascii="Georgia" w:cs="Georgia" w:eastAsia="Georgia" w:hAnsi="Georgia"/>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21, 2025</w:t>
      </w:r>
    </w:p>
    <w:p>
      <w:pPr>
        <w:spacing w:after="0" w:line="204" w:lineRule="auto"/>
        <w:rPr>
          <w:sz w:val="20"/>
          <w:szCs w:val="20"/>
          <w:color w:val="auto"/>
        </w:rPr>
      </w:pPr>
      <w:r>
        <w:rPr>
          <w:rFonts w:ascii="Times New Roman" w:cs="Times New Roman" w:eastAsia="Times New Roman" w:hAnsi="Times New Roman"/>
          <w:sz w:val="22"/>
          <w:szCs w:val="22"/>
          <w:color w:val="auto"/>
        </w:rPr>
        <w:t>Dropbox, Inc.</w:t>
      </w:r>
    </w:p>
    <w:p>
      <w:pPr>
        <w:spacing w:after="0" w:line="205"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 Registration Statement on Form S-8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4"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We have examined the Registration Statement on Form S-8 (the “Registration Statement”) to be filed by Dropbox, Inc., a Delaware corporation (the “Company”), with the Securities and Exchange Commission on or about the date hereof, relating to the registration under the Securities Act of 1933, as amended, of 14,797,761 shares of the Company’s Class A common stock, par value $0.00001 per share (the “Shares”), reserved for issuance pursuant to the Dropbox, Inc. 2018 Equity Incentive Plan (the “Plan”).</w:t>
      </w:r>
    </w:p>
    <w:p>
      <w:pPr>
        <w:spacing w:after="0" w:line="229"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22"/>
          <w:szCs w:val="22"/>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200"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WILSON SONSINI GOODRICH &amp;</w:t>
      </w:r>
    </w:p>
    <w:p>
      <w:pPr>
        <w:ind w:left="4500"/>
        <w:spacing w:after="0" w:line="204" w:lineRule="auto"/>
        <w:rPr>
          <w:sz w:val="20"/>
          <w:szCs w:val="20"/>
          <w:color w:val="auto"/>
        </w:rPr>
      </w:pPr>
      <w:r>
        <w:rPr>
          <w:rFonts w:ascii="Times New Roman" w:cs="Times New Roman" w:eastAsia="Times New Roman" w:hAnsi="Times New Roman"/>
          <w:sz w:val="22"/>
          <w:szCs w:val="22"/>
          <w:color w:val="auto"/>
        </w:rPr>
        <w:t>ROSATI</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Professional Corporation</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Wilson Sonsini Goodrich &amp; Rosati</w:t>
      </w:r>
    </w:p>
    <w:p>
      <w:pPr>
        <w:sectPr>
          <w:pgSz w:w="11900" w:h="16838" w:orient="portrait"/>
          <w:cols w:equalWidth="0" w:num="1">
            <w:col w:w="11240"/>
          </w:cols>
          <w:pgMar w:left="320" w:top="12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333333"/>
        </w:rPr>
        <w:t>We consent to the incorporation by reference in the Registration Statement (Form S-8) pertaining to the 2018 Equity Incentive Plan of Dropbox, Inc. of our reports dated February 21, 2025, with respect to the consolidated financial statements of Dropbox, Inc. and the effectiveness of internal control over financial reporting of Dropbox, Inc. included in its Annual Report (Form 10-K) for the year ended December 31, 2024, filed with the Securities and Exchange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San Francisco,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21, 2025</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decimal"/>
      <w:start w:val="107"/>
    </w:lvl>
  </w:abstractNum>
  <w:abstractNum w:abstractNumId="3">
    <w:nsid w:val="3D1B58BA"/>
    <w:multiLevelType w:val="hybridMultilevel"/>
    <w:lvl w:ilvl="0">
      <w:lvlJc w:val="left"/>
      <w:lvlText w:val="(%1)"/>
      <w:numFmt w:val="decimal"/>
      <w:start w:val="1"/>
    </w:lvl>
    <w:lvl w:ilvl="1">
      <w:lvlJc w:val="left"/>
      <w:lvlText w:val="%2"/>
      <w:numFmt w:val="decimal"/>
      <w:start w:val="1"/>
    </w:lvl>
  </w:abstractNum>
  <w:abstractNum w:abstractNumId="4">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jpeg"/><Relationship Id="rId17" Type="http://schemas.openxmlformats.org/officeDocument/2006/relationships/hyperlink" Target="https://www.sec.gov/Archives/edgar/data/1467623/000119312518078140/d451946dex41.htm" TargetMode="External"/><Relationship Id="rId18" Type="http://schemas.openxmlformats.org/officeDocument/2006/relationships/hyperlink" Target="https://www.sec.gov/Archives/edgar/data/1467623/000146762325000011/exhibit102-q4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2025-02-21T15:43:36Z</dcterms:created>
  <dcterms:modified xsi:type="dcterms:W3CDTF">2025-02-21T15:43:36Z</dcterms:modified>
</cp:coreProperties>
</file>