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-6350</wp:posOffset>
            </wp:positionV>
            <wp:extent cx="144145" cy="194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145" cy="194945"/>
                    </a:xfrm>
                    <a:prstGeom prst="rect">
                      <a:avLst/>
                    </a:prstGeom>
                    <a:noFill/>
                  </pic:spPr>
                </pic:pic>
              </a:graphicData>
            </a:graphic>
          </wp:anchor>
        </w:drawing>
      </w:r>
    </w:p>
    <w:p>
      <w:pPr>
        <w:ind w:left="360" w:right="120" w:hanging="273"/>
        <w:spacing w:after="0" w:line="191" w:lineRule="auto"/>
        <w:tabs>
          <w:tab w:leader="none" w:pos="360" w:val="left"/>
        </w:tabs>
        <w:numPr>
          <w:ilvl w:val="0"/>
          <w:numId w:val="1"/>
        </w:numPr>
        <w:rPr>
          <w:rFonts w:ascii="Times New Roman" w:cs="Times New Roman" w:eastAsia="Times New Roman" w:hAnsi="Times New Roman"/>
          <w:sz w:val="25"/>
          <w:szCs w:val="25"/>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180" w:space="28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Young Timothy 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01/24/2023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20" w:type="dxa"/>
            <w:vAlign w:val="bottom"/>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Times New Roman" w:cs="Times New Roman" w:eastAsia="Times New Roman" w:hAnsi="Times New Roman"/>
                <w:sz w:val="17"/>
                <w:szCs w:val="17"/>
                <w:color w:val="0000FF"/>
              </w:rPr>
              <w:t>President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534"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01/24/2023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15,000</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21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23.0691</w:t>
            </w:r>
            <w:r>
              <w:rPr>
                <w:rFonts w:ascii="Times New Roman" w:cs="Times New Roman" w:eastAsia="Times New Roman" w:hAnsi="Times New Roman"/>
                <w:sz w:val="22"/>
                <w:szCs w:val="22"/>
                <w:color w:val="008000"/>
                <w:vertAlign w:val="superscript"/>
              </w:rPr>
              <w:t>(2)</w:t>
            </w:r>
            <w:r>
              <w:rPr>
                <w:rFonts w:ascii="Arial" w:cs="Arial" w:eastAsia="Arial" w:hAnsi="Arial"/>
                <w:sz w:val="17"/>
                <w:szCs w:val="17"/>
                <w:color w:val="auto"/>
              </w:rPr>
              <w:t xml:space="preserve">    </w:t>
            </w:r>
            <w:r>
              <w:rPr>
                <w:rFonts w:ascii="Times New Roman" w:cs="Times New Roman" w:eastAsia="Times New Roman" w:hAnsi="Times New Roman"/>
                <w:sz w:val="17"/>
                <w:szCs w:val="17"/>
                <w:color w:val="0000FF"/>
              </w:rPr>
              <w:t>1,108,945</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entered into by the Reporting Person.</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$22.84 to $23.33.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Each restricted stock award represents the Reporting Person's right to receive one share of Class A Common Stock, subject to the applicable vesting schedule through February 15, 2024. In the event the Reporting Person ceases to be a Service Provider, or if certain restricted stock awards do not satisfy market-based or liquidity event-related performance vesting conditions, the unvested restricted stock awards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01/26/2023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29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Timothy H. Young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H. Young</w:t>
      </w:r>
    </w:p>
    <w:p>
      <w:pPr>
        <w:spacing w:after="0" w:line="39"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2/15/2021</w:t>
      </w:r>
    </w:p>
    <w:sectPr>
      <w:pgSz w:w="11900" w:h="16838" w:orient="portrait"/>
      <w:cols w:equalWidth="0" w:num="1">
        <w:col w:w="9999"/>
      </w:cols>
      <w:pgMar w:left="460" w:top="3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1676"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2023-01-26T15:13:21Z</dcterms:created>
  <dcterms:modified xsi:type="dcterms:W3CDTF">2023-01-26T15:13:21Z</dcterms:modified>
</cp:coreProperties>
</file>