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42329300.xml.htm"/>
      <w:bookmarkStart w:id="1" w:name="kswkform4_174232930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Regan Timothy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1800 OWENS STREET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94158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DROPBOX, INC.</w:t>
              </w:r>
            </w:hyperlink>
            <w:r>
              <w:rPr/>
              <w:t xml:space="preserve"> [ </w:t>
            </w:r>
            <w:r>
              <w:rPr>
                <w:rFonts w:ascii="Times;serif" w:hAnsi="Times;serif"/>
                <w:color w:val="0000FF"/>
                <w:sz w:val="24"/>
                <w:shd w:fill="FFFFFF" w:val="clear"/>
              </w:rPr>
              <w:t>DBX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Financial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03/14/2025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09"/>
        <w:gridCol w:w="914"/>
        <w:gridCol w:w="783"/>
        <w:gridCol w:w="607"/>
        <w:gridCol w:w="346"/>
        <w:gridCol w:w="833"/>
        <w:gridCol w:w="441"/>
        <w:gridCol w:w="982"/>
        <w:gridCol w:w="1179"/>
        <w:gridCol w:w="986"/>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03/14/2025</w:t>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w:t>
            </w:r>
          </w:p>
        </w:tc>
        <w:tc>
          <w:tcPr>
            <w:tcW w:w="4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25.2679</w:t>
            </w:r>
            <w:r>
              <w:rPr>
                <w:rFonts w:ascii="Times;serif" w:hAnsi="Times;serif"/>
                <w:color w:val="008000"/>
                <w:position w:val="7"/>
                <w:sz w:val="16"/>
                <w:sz w:val="20"/>
                <w:shd w:fill="FFFFFF" w:val="clear"/>
              </w:rPr>
              <w:t>(2)</w:t>
            </w:r>
            <w:r>
              <w:rPr/>
              <w:t xml:space="preserve"> </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370,291</w:t>
            </w:r>
            <w:r>
              <w:rPr>
                <w:rFonts w:ascii="Times;serif" w:hAnsi="Times;serif"/>
                <w:color w:val="008000"/>
                <w:position w:val="7"/>
                <w:sz w:val="16"/>
                <w:sz w:val="20"/>
                <w:shd w:fill="FFFFFF" w:val="clear"/>
              </w:rPr>
              <w:t>(3)</w:t>
            </w:r>
            <w:r>
              <w:rPr/>
              <w:t xml:space="preserve"> </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sold pursuant to a Rule 10b5-1 trading plan adopted by the Reporting Person on May 15,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was executed in multiple trades at prices ranging from $24.91 to $25.63.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2028. In the event the Reporting Person ceases to be a Service Provider, the unvested restricted stock awards and restricted stock units will be cancelled by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Cara Angelmar,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03/18/2025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center"/>
        <w:rPr/>
      </w:pPr>
      <w:bookmarkStart w:id="2" w:name="section16powerofattorney.htm"/>
      <w:bookmarkStart w:id="3" w:name="kssection16powerofattorney"/>
      <w:bookmarkEnd w:id="2"/>
      <w:bookmarkEnd w:id="3"/>
      <w:r>
        <w:rPr/>
        <w:drawing>
          <wp:inline distT="0" distB="0" distL="0" distR="0">
            <wp:extent cx="10077450"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0077450" cy="13001625"/>
                    </a:xfrm>
                    <a:prstGeom prst="rect">
                      <a:avLst/>
                    </a:prstGeom>
                  </pic:spPr>
                </pic:pic>
              </a:graphicData>
            </a:graphic>
          </wp:inline>
        </w:drawing>
      </w:r>
      <w:r>
        <w:rPr/>
        <w:t xml:space="preserve"> </w:t>
      </w:r>
      <w:r>
        <w:br w:type="page"/>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34440" TargetMode="External"/><Relationship Id="rId5" Type="http://schemas.openxmlformats.org/officeDocument/2006/relationships/hyperlink" Target="http://www.sec.gov/cgi-bin/browse-edgar?action=getcompany&amp;CIK=00014676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media/image1.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718</Words>
  <Characters>3880</Characters>
  <CharactersWithSpaces>4539</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section16powerofattorney</dc:title>
</cp:coreProperties>
</file>