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November 6, 2025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DROPBOX,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464" w:type="dxa"/>
        <w:jc w:val="center"/>
        <w:tblInd w:w="0" w:type="dxa"/>
        <w:tblLayout w:type="fixed"/>
        <w:tblCellMar>
          <w:top w:w="28" w:type="dxa"/>
          <w:left w:w="28" w:type="dxa"/>
          <w:bottom w:w="28" w:type="dxa"/>
          <w:right w:w="28" w:type="dxa"/>
        </w:tblCellMar>
      </w:tblPr>
      <w:tblGrid>
        <w:gridCol w:w="1393"/>
        <w:gridCol w:w="1228"/>
        <w:gridCol w:w="1234"/>
        <w:gridCol w:w="792"/>
        <w:gridCol w:w="792"/>
        <w:gridCol w:w="800"/>
        <w:gridCol w:w="942"/>
        <w:gridCol w:w="942"/>
        <w:gridCol w:w="1341"/>
      </w:tblGrid>
      <w:tr>
        <w:trPr/>
        <w:tc>
          <w:tcPr>
            <w:tcW w:w="13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001-38434</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26-0138832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 R. 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1800 Owens St.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94158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(415) 930-7766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6, 2025, Dropbox, Inc. (“Dropbox” or the “Company”) issued a press release and will hold a conference call announcing its financial results for the quarter ended September 30, 2025. A copy of the press release is attached as Exhibit 99.1 to this current report on Form 8-K and is incorporated by reference herein.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6, 2025, Dropbox posted supplemental investor materials on its investors.dropbox.com website. Dropbox intends to use its investors.dropbox.com website as a means of disclosing material non-public information and for complying with its disclosure obligations under Regulation FD.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before="0" w:after="140"/>
        <w:jc w:val="left"/>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001"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511"/>
        <w:gridCol w:w="2511"/>
        <w:gridCol w:w="35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32025er-exhibit991q2xq4.htm">
              <w:r>
                <w:rPr>
                  <w:rStyle w:val="InternetLink"/>
                  <w:rFonts w:ascii="Times New Roman;serif" w:hAnsi="Times New Roman;serif"/>
                  <w:b w:val="false"/>
                  <w:color w:val="000080"/>
                  <w:sz w:val="20"/>
                  <w:u w:val="single"/>
                </w:rPr>
                <w:t xml:space="preserve">Press Release entitled "Dropbox Announces Fiscal 2025 </w:t>
              </w:r>
            </w:hyperlink>
            <w:hyperlink w:anchor="q32025er-exhibit991q2xq4.htm">
              <w:r>
                <w:rPr>
                  <w:rStyle w:val="InternetLink"/>
                  <w:rFonts w:ascii="Times New Roman;serif" w:hAnsi="Times New Roman;serif"/>
                  <w:b w:val="false"/>
                  <w:color w:val="000080"/>
                  <w:sz w:val="20"/>
                  <w:u w:val="single"/>
                </w:rPr>
                <w:t>Third</w:t>
              </w:r>
            </w:hyperlink>
            <w:hyperlink w:anchor="q32025er-exhibit991q2xq4.htm">
              <w:r>
                <w:rPr>
                  <w:rStyle w:val="InternetLink"/>
                  <w:rFonts w:ascii="Times New Roman;serif" w:hAnsi="Times New Roman;serif"/>
                  <w:b w:val="false"/>
                  <w:color w:val="000080"/>
                  <w:sz w:val="20"/>
                  <w:u w:val="single"/>
                </w:rPr>
                <w:t xml:space="preserve"> Quarter Results" dated </w:t>
              </w:r>
            </w:hyperlink>
            <w:hyperlink w:anchor="q32025er-exhibit991q2xq4.htm">
              <w:r>
                <w:rPr>
                  <w:rStyle w:val="InternetLink"/>
                  <w:rFonts w:ascii="Times New Roman;serif" w:hAnsi="Times New Roman;serif"/>
                  <w:b w:val="false"/>
                  <w:color w:val="000080"/>
                  <w:sz w:val="20"/>
                  <w:u w:val="single"/>
                </w:rPr>
                <w:t xml:space="preserve">November </w:t>
              </w:r>
            </w:hyperlink>
            <w:hyperlink w:anchor="q32025er-exhibit991q2xq4.htm">
              <w:r>
                <w:rPr>
                  <w:rStyle w:val="InternetLink"/>
                  <w:rFonts w:ascii="Times New Roman;serif" w:hAnsi="Times New Roman;serif"/>
                  <w:b w:val="false"/>
                  <w:color w:val="000080"/>
                  <w:sz w:val="20"/>
                  <w:u w:val="single"/>
                </w:rPr>
                <w:t>6</w:t>
              </w:r>
            </w:hyperlink>
            <w:hyperlink w:anchor="q32025er-exhibit991q2xq4.htm">
              <w:r>
                <w:rPr>
                  <w:rStyle w:val="InternetLink"/>
                  <w:rFonts w:ascii="Times New Roman;serif" w:hAnsi="Times New Roman;serif"/>
                  <w:b w:val="false"/>
                  <w:color w:val="000080"/>
                  <w:sz w:val="20"/>
                  <w:u w:val="single"/>
                </w:rPr>
                <w:t>, 2025</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p>
      <w:pPr>
        <w:pStyle w:val="TextBody"/>
        <w:bidi w:val="0"/>
        <w:spacing w:lineRule="auto" w:line="288" w:before="0" w:after="0"/>
        <w:jc w:val="center"/>
        <w:rPr>
          <w:color w:val="000000"/>
        </w:rPr>
      </w:pPr>
      <w:r>
        <w:rPr>
          <w:color w:val="000000"/>
        </w:rPr>
        <w:t>    </w:t>
      </w:r>
    </w:p>
    <w:tbl>
      <w:tblPr>
        <w:tblW w:w="2024" w:type="dxa"/>
        <w:jc w:val="center"/>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Dropbox, Inc.</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Regan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Regan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pPr>
      <w:r>
        <w:rPr>
          <w:rFonts w:ascii="Times New Roman;serif" w:hAnsi="Times New Roman;serif"/>
          <w:b/>
          <w:color w:val="000000"/>
          <w:sz w:val="20"/>
        </w:rPr>
        <w:t>Dropbox Announces Fiscal 2025 Third Quarter Results</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Third Quarter GAAP Operating Margin of 27.5% and Non-GAAP Operating Margin of 41.1%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$302.1 Million and Free Cash Flow of $293.7 Million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Revenue of $634.4 Million, down 0.7% year-over-year; on a constant currency basis, down 1.2% year-over-year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SAN FRANCISCO, Calif.</w:t>
      </w:r>
      <w:r>
        <w:rPr>
          <w:color w:val="000000"/>
        </w:rPr>
        <w:t xml:space="preserve"> </w:t>
      </w:r>
      <w:r>
        <w:rPr>
          <w:rFonts w:ascii="Times New Roman;serif" w:hAnsi="Times New Roman;serif"/>
          <w:b w:val="false"/>
          <w:color w:val="000000"/>
          <w:sz w:val="20"/>
        </w:rPr>
        <w:t>- November 6, 2025 - Dropbox, Inc. (NASDAQ: DBX), today announced financial results for its third quarter ended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delivered a strong Q3, exceeding our revenue guidance and expanding operating margins as we continue to drive efficiency across the business," said Drew Houston, Dropbox Co-Founder and Chief Executive Officer. "We just launched the self-serve version of Dash and deep integration with Dropbox, giving both new customers and our existing base of 575,000 paying businesses access to an AI assistant and search engine that connects to all their work apps. Early customer response has been positive, and we're also seeing continued improvement in retention and execution in our core business as we focus on sustainable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Third Quarter Fiscal 2025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revenue was $634.4 million, a decrease of 0.7% from the same period last year. On a constant currency basis, year-over-year revenue decreased by 1.2%.</w:t>
      </w:r>
      <w:r>
        <w:rPr>
          <w:rFonts w:ascii="Times New Roman;serif" w:hAnsi="Times New Roman;serif"/>
          <w:b w:val="false"/>
          <w:color w:val="000000"/>
          <w:sz w:val="13"/>
        </w:rPr>
        <w:t xml:space="preserve">(1)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ARR was $2.536 billion, a decrease of 1.7% from the same period last year. On a constant currency basis, year-over-year ARR decreased by 1.5%.</w:t>
      </w:r>
      <w:r>
        <w:rPr>
          <w:rFonts w:ascii="Times New Roman;serif" w:hAnsi="Times New Roman;serif"/>
          <w:b w:val="false"/>
          <w:color w:val="000000"/>
          <w:sz w:val="13"/>
        </w:rPr>
        <w:t xml:space="preserve">(2) </w:t>
      </w:r>
      <w:r>
        <w:rPr>
          <w:rFonts w:ascii="Times New Roman;serif" w:hAnsi="Times New Roman;serif"/>
          <w:b w:val="false"/>
          <w:color w:val="000000"/>
          <w:sz w:val="20"/>
        </w:rPr>
        <w:t>Total ARR decreased $6.1 million quarter-over-quarter.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Paying users totaled 18.07 million, as compared to 18.24 million for the same period last year. Average revenue per paying user was $139.07, as compared to $139.05 for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gross margin was 79.8%, as compared to 82.5% for the same period last year. Non-GAAP gross margin was 81.4%, as compared to 84.0% for the same period last year due to increased depreciation resulting from the Company's datacenter refresh cycle.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operating margin was 27.5%, as compared to 20.0% for the same period last year. Non-GAAP operating margin was 41.1%, as compared to 36.2% for the same period last year. The increase in GAAP operating margin was partially due to a decrease in employee-related costs driven by a decrease in headcount.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GAAP net income was $123.8 million, as compared to $106.7 million for the same period last year. Non-GAAP net income was $196.7 million, as compared to $190.4 million for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cash provided by operating activities was $302.1 million, as compared to $274.2 million for the same period last year. Free cash flow was $293.7 million, as compared to $270.1 million for the same period last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diluted net income per share attributable to common stockholders was $0.47, as compared to $0.34 in the same period last year. Non-GAAP diluted net income per share attributable to common stockholders was $0.74, as compared to $0.60 in the same period last year.</w:t>
      </w:r>
      <w:r>
        <w:rPr>
          <w:rFonts w:ascii="Times New Roman;serif" w:hAnsi="Times New Roman;serif"/>
          <w:b w:val="false"/>
          <w:color w:val="000000"/>
          <w:sz w:val="13"/>
        </w:rPr>
        <w:t>(3)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cash equivalents and short-term investments ended at $925.3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We calculate constant currency revenue growth rates by applying the prior period weighted average exchange rates to current period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18"/>
        </w:rPr>
        <w:t xml:space="preserve">GAAP and Non-GAAP diluted net income per share attributable to common stockholders is calculated based upon 265.1 million and 316.4 million diluted weighted-average shares outstanding of common stock for the three months ended September 30, 2025 and 2024, respectively.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Dropbox will provide forward-looking guidance in connection with this quarterly earnings announcement on its conference call, webcast, and on its investor relations website at </w:t>
      </w:r>
      <w:r>
        <w:rPr>
          <w:rFonts w:ascii="Times New Roman;serif" w:hAnsi="Times New Roman;serif"/>
          <w:b w:val="false"/>
          <w:color w:val="000000"/>
          <w:sz w:val="20"/>
          <w:u w:val="single"/>
        </w:rPr>
        <w:t>http://investors.dropbox.com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Dropbox plans to host a conference call today to review its third quarter financial results and to discuss its financial outlook. This call is scheduled to begin at 2:00 p.m. PT / 5:00 p.m. ET and can be accessed by using the web link at http://investors.dropbox.com.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Dropbox</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serif" w:hAnsi="Times New Roman;serif"/>
          <w:b w:val="false"/>
          <w:color w:val="000000"/>
          <w:sz w:val="20"/>
          <w:u w:val="single"/>
        </w:rPr>
        <w:t>http://dropbox.com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including, among other things, our expectations regarding the performance of our Core FSS business as well as new product initiatives and adoption by current and new customers.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annual recurring revenue, average revenue per user, free cash flow, and the assumptions underlying such trends; (vi) our ability to achieve or maintain profitability; (vii) our ability to prevent security breaches and our liability or other potential legal, regulatory, or reputational consequences of any unauthorized access to our data or our customer data;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our ability to compete successfully in competitive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expectations around future growth; (xv) our various acquisitions of companies and assets and the potential of such acquisitions to require significant management attention, disrupt our business, or dilute stockholder value; (xvi) our ability to attract, retain, integrate, and manage key and other highly qualified personnel, including as a result of our Virtual First model with an increasingly distributed workforce;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June 30, 2025. Additional information will be made available in our quarterly report on Form 10-Q for the quarter ended September 30, 2025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51"/>
        <w:gridCol w:w="1569"/>
        <w:gridCol w:w="1513"/>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205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on real estate assets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diluted</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Includes stock-based compensation expense as follows (in millions):</w:t>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our reduction in workforce in the fourth quarter of 2024, such as severance, benefits and other related items during the three and nine months ended September 30, 2025.</w:t>
      </w:r>
    </w:p>
    <w:p>
      <w:pPr>
        <w:pStyle w:val="TextBody"/>
        <w:bidi w:val="0"/>
        <w:spacing w:lineRule="auto" w:line="288" w:before="0" w:after="12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Includes impairment charges related to real estate assets as a result of our Virtual First work model.</w:t>
      </w:r>
    </w:p>
    <w:p>
      <w:pPr>
        <w:pStyle w:val="TextBody"/>
        <w:bidi w:val="0"/>
        <w:spacing w:before="0" w:after="120"/>
        <w:jc w:val="left"/>
        <w:rPr/>
      </w:pPr>
      <w:r>
        <w:rPr/>
      </w:r>
    </w:p>
    <w:p>
      <w:pPr>
        <w:pStyle w:val="TextBody"/>
        <w:bidi w:val="0"/>
        <w:spacing w:before="0" w:after="120"/>
        <w:jc w:val="left"/>
        <w:rPr/>
      </w:pPr>
      <w:r>
        <w:rPr/>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7932" w:type="dxa"/>
        <w:jc w:val="center"/>
        <w:tblInd w:w="0" w:type="dxa"/>
        <w:tblLayout w:type="fixed"/>
        <w:tblCellMar>
          <w:top w:w="28" w:type="dxa"/>
          <w:left w:w="28" w:type="dxa"/>
          <w:bottom w:w="28" w:type="dxa"/>
          <w:right w:w="28" w:type="dxa"/>
        </w:tblCellMar>
      </w:tblPr>
      <w:tblGrid>
        <w:gridCol w:w="1465"/>
        <w:gridCol w:w="1291"/>
        <w:gridCol w:w="1309"/>
        <w:gridCol w:w="344"/>
        <w:gridCol w:w="1249"/>
        <w:gridCol w:w="177"/>
        <w:gridCol w:w="109"/>
        <w:gridCol w:w="109"/>
        <w:gridCol w:w="109"/>
        <w:gridCol w:w="330"/>
        <w:gridCol w:w="1199"/>
        <w:gridCol w:w="241"/>
      </w:tblGrid>
      <w:tr>
        <w:trPr/>
        <w:tc>
          <w:tcPr>
            <w:tcW w:w="14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non-current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non-current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36"/>
        <w:gridCol w:w="1596"/>
        <w:gridCol w:w="1608"/>
        <w:gridCol w:w="196"/>
        <w:gridCol w:w="556"/>
        <w:gridCol w:w="109"/>
        <w:gridCol w:w="109"/>
        <w:gridCol w:w="109"/>
        <w:gridCol w:w="109"/>
        <w:gridCol w:w="196"/>
        <w:gridCol w:w="556"/>
        <w:gridCol w:w="109"/>
        <w:gridCol w:w="109"/>
        <w:gridCol w:w="109"/>
        <w:gridCol w:w="109"/>
        <w:gridCol w:w="251"/>
        <w:gridCol w:w="713"/>
        <w:gridCol w:w="139"/>
        <w:gridCol w:w="139"/>
        <w:gridCol w:w="139"/>
        <w:gridCol w:w="139"/>
        <w:gridCol w:w="251"/>
        <w:gridCol w:w="713"/>
        <w:gridCol w:w="205"/>
      </w:tblGrid>
      <w:tr>
        <w:trPr/>
        <w:tc>
          <w:tcPr>
            <w:tcW w:w="193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operating activities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real estate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equity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lease termination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receipts from equipment rebates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 and loan commitment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against term loan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restricted stock units and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taxes withheld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acquisition-related indemnification holdback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(1,110.5)</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data: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finance leases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Months Ended September 30,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436"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71"/>
        <w:gridCol w:w="656"/>
        <w:gridCol w:w="349"/>
        <w:gridCol w:w="109"/>
        <w:gridCol w:w="109"/>
        <w:gridCol w:w="109"/>
        <w:gridCol w:w="410"/>
        <w:gridCol w:w="789"/>
        <w:gridCol w:w="527"/>
        <w:gridCol w:w="109"/>
        <w:gridCol w:w="109"/>
        <w:gridCol w:w="109"/>
        <w:gridCol w:w="284"/>
        <w:gridCol w:w="566"/>
        <w:gridCol w:w="366"/>
        <w:gridCol w:w="109"/>
        <w:gridCol w:w="109"/>
        <w:gridCol w:w="109"/>
        <w:gridCol w:w="246"/>
        <w:gridCol w:w="473"/>
        <w:gridCol w:w="317"/>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Includes expenses related to our reduction in workforce in the fourth quarter of 2024, such as severance, benefits and other related items.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Months Ended September 30, 2024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73"/>
        <w:gridCol w:w="394"/>
        <w:gridCol w:w="395"/>
        <w:gridCol w:w="211"/>
        <w:gridCol w:w="616"/>
        <w:gridCol w:w="271"/>
        <w:gridCol w:w="109"/>
        <w:gridCol w:w="109"/>
        <w:gridCol w:w="109"/>
        <w:gridCol w:w="318"/>
        <w:gridCol w:w="769"/>
        <w:gridCol w:w="409"/>
        <w:gridCol w:w="109"/>
        <w:gridCol w:w="109"/>
        <w:gridCol w:w="109"/>
        <w:gridCol w:w="491"/>
        <w:gridCol w:w="946"/>
        <w:gridCol w:w="632"/>
        <w:gridCol w:w="109"/>
        <w:gridCol w:w="109"/>
        <w:gridCol w:w="109"/>
        <w:gridCol w:w="332"/>
        <w:gridCol w:w="663"/>
        <w:gridCol w:w="428"/>
        <w:gridCol w:w="109"/>
        <w:gridCol w:w="109"/>
        <w:gridCol w:w="109"/>
        <w:gridCol w:w="211"/>
        <w:gridCol w:w="616"/>
        <w:gridCol w:w="322"/>
      </w:tblGrid>
      <w:tr>
        <w:trPr/>
        <w:tc>
          <w:tcPr>
            <w:tcW w:w="8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Nine Months Ended September 30,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1979" w:type="dxa"/>
        <w:jc w:val="left"/>
        <w:tblInd w:w="0" w:type="dxa"/>
        <w:tblLayout w:type="fixed"/>
        <w:tblCellMar>
          <w:top w:w="28" w:type="dxa"/>
          <w:left w:w="28" w:type="dxa"/>
          <w:bottom w:w="28" w:type="dxa"/>
          <w:right w:w="28" w:type="dxa"/>
        </w:tblCellMar>
      </w:tblPr>
      <w:tblGrid>
        <w:gridCol w:w="946"/>
        <w:gridCol w:w="383"/>
        <w:gridCol w:w="247"/>
        <w:gridCol w:w="211"/>
        <w:gridCol w:w="616"/>
        <w:gridCol w:w="271"/>
        <w:gridCol w:w="118"/>
        <w:gridCol w:w="118"/>
        <w:gridCol w:w="120"/>
        <w:gridCol w:w="245"/>
        <w:gridCol w:w="715"/>
        <w:gridCol w:w="316"/>
        <w:gridCol w:w="118"/>
        <w:gridCol w:w="118"/>
        <w:gridCol w:w="120"/>
        <w:gridCol w:w="403"/>
        <w:gridCol w:w="804"/>
        <w:gridCol w:w="519"/>
        <w:gridCol w:w="109"/>
        <w:gridCol w:w="109"/>
        <w:gridCol w:w="109"/>
        <w:gridCol w:w="254"/>
        <w:gridCol w:w="634"/>
        <w:gridCol w:w="328"/>
        <w:gridCol w:w="109"/>
        <w:gridCol w:w="109"/>
        <w:gridCol w:w="109"/>
        <w:gridCol w:w="211"/>
        <w:gridCol w:w="406"/>
        <w:gridCol w:w="271"/>
        <w:gridCol w:w="109"/>
        <w:gridCol w:w="109"/>
        <w:gridCol w:w="109"/>
        <w:gridCol w:w="242"/>
        <w:gridCol w:w="483"/>
        <w:gridCol w:w="311"/>
        <w:gridCol w:w="109"/>
        <w:gridCol w:w="109"/>
        <w:gridCol w:w="109"/>
        <w:gridCol w:w="211"/>
        <w:gridCol w:w="616"/>
        <w:gridCol w:w="316"/>
      </w:tblGrid>
      <w:tr>
        <w:trPr/>
        <w:tc>
          <w:tcPr>
            <w:tcW w:w="9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Net loss on real estate assets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Workforce reduction expense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Includes expenses related to our reduction in workforce in the fourth quarter of 2024, such as severance, benefits and other related items.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Nine Months Ended September 30, 2024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73"/>
        <w:gridCol w:w="394"/>
        <w:gridCol w:w="395"/>
        <w:gridCol w:w="211"/>
        <w:gridCol w:w="616"/>
        <w:gridCol w:w="271"/>
        <w:gridCol w:w="109"/>
        <w:gridCol w:w="109"/>
        <w:gridCol w:w="109"/>
        <w:gridCol w:w="286"/>
        <w:gridCol w:w="835"/>
        <w:gridCol w:w="375"/>
        <w:gridCol w:w="109"/>
        <w:gridCol w:w="109"/>
        <w:gridCol w:w="109"/>
        <w:gridCol w:w="438"/>
        <w:gridCol w:w="1065"/>
        <w:gridCol w:w="566"/>
        <w:gridCol w:w="109"/>
        <w:gridCol w:w="109"/>
        <w:gridCol w:w="109"/>
        <w:gridCol w:w="302"/>
        <w:gridCol w:w="732"/>
        <w:gridCol w:w="390"/>
        <w:gridCol w:w="109"/>
        <w:gridCol w:w="109"/>
        <w:gridCol w:w="109"/>
        <w:gridCol w:w="211"/>
        <w:gridCol w:w="616"/>
        <w:gridCol w:w="321"/>
      </w:tblGrid>
      <w:tr>
        <w:trPr/>
        <w:tc>
          <w:tcPr>
            <w:tcW w:w="8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and Nine Months Ended September 30, 2025 and 2024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net income to Non-GAAP net income and Non-GAAP diluted net income per share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10"/>
        <w:gridCol w:w="1331"/>
        <w:gridCol w:w="1186"/>
        <w:gridCol w:w="211"/>
        <w:gridCol w:w="616"/>
        <w:gridCol w:w="109"/>
        <w:gridCol w:w="109"/>
        <w:gridCol w:w="109"/>
        <w:gridCol w:w="109"/>
        <w:gridCol w:w="211"/>
        <w:gridCol w:w="616"/>
        <w:gridCol w:w="109"/>
        <w:gridCol w:w="418"/>
        <w:gridCol w:w="418"/>
        <w:gridCol w:w="420"/>
        <w:gridCol w:w="246"/>
        <w:gridCol w:w="720"/>
        <w:gridCol w:w="127"/>
        <w:gridCol w:w="127"/>
        <w:gridCol w:w="127"/>
        <w:gridCol w:w="127"/>
        <w:gridCol w:w="246"/>
        <w:gridCol w:w="720"/>
        <w:gridCol w:w="183"/>
      </w:tblGrid>
      <w:tr>
        <w:trPr/>
        <w:tc>
          <w:tcPr>
            <w:tcW w:w="161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and 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equity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non-GAAP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Non-GAAP diluted net income per share</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and Nine Months Ended September 30, 2025 and 2024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free cash flow and supplemental cash flow disclosure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94"/>
        <w:gridCol w:w="1139"/>
        <w:gridCol w:w="1145"/>
        <w:gridCol w:w="211"/>
        <w:gridCol w:w="616"/>
        <w:gridCol w:w="271"/>
        <w:gridCol w:w="109"/>
        <w:gridCol w:w="109"/>
        <w:gridCol w:w="109"/>
        <w:gridCol w:w="211"/>
        <w:gridCol w:w="616"/>
        <w:gridCol w:w="271"/>
        <w:gridCol w:w="418"/>
        <w:gridCol w:w="418"/>
        <w:gridCol w:w="420"/>
        <w:gridCol w:w="234"/>
        <w:gridCol w:w="683"/>
        <w:gridCol w:w="300"/>
        <w:gridCol w:w="120"/>
        <w:gridCol w:w="120"/>
        <w:gridCol w:w="120"/>
        <w:gridCol w:w="234"/>
        <w:gridCol w:w="683"/>
        <w:gridCol w:w="354"/>
      </w:tblGrid>
      <w:tr>
        <w:trPr/>
        <w:tc>
          <w:tcPr>
            <w:tcW w:w="129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reconciliation: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Free cash flow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on debt, net of the associated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Key employee holdback payments related to acquisitions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Payments related to workforce reduction</w:t>
            </w:r>
            <w:r>
              <w:rPr>
                <w:rFonts w:ascii="Times New Roman;serif" w:hAnsi="Times New Roman;serif"/>
                <w:b w:val="false"/>
                <w:color w:val="000000"/>
                <w:sz w:val="13"/>
              </w:rPr>
              <w:t>(2)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paid for lease termination</w:t>
            </w:r>
            <w:r>
              <w:rPr>
                <w:rFonts w:ascii="Times New Roman;serif" w:hAnsi="Times New Roman;serif"/>
                <w:b w:val="false"/>
                <w:color w:val="000000"/>
                <w:sz w:val="13"/>
              </w:rPr>
              <w:t>(3)</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3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payments related to employee holdbacks pertaining to our acquisitions. The related expenses are recognized within research and development expenses over the required service periods.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payments made related to our reductions in workforce in the fourth quarter of 2024, such as severance, benefits, and other related items. During the three and nine months ended September 30, 2025, total cash payments included the accrued pro rata amount of annual employee bonus.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Includes payments made for the partial lease termination of our San Francisco, California corporate headquarters during the nine months ended September 30, 2025 and September 30, 2024</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unlevered FCF and non-GAAP diluted net income per share. We also present various margins, all of which are calculated as the applicable non-GAAP financial measure divided by revenue. We have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acquisition-related and other expenses, which include third-party diligence costs, expenses related to key employee holdback agreements, net loss on real estate assets, expenses related to our reduction in workforce, net (gain) loss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Unlevered FCF represents net cash provided by operating activities adjusted for cash paid for capital expenditures and cash paid for interest on indebtedness and is calculated by adding cash paid for interest on debt, net of the associated tax benefit, to FCF. In order to present revenue on a constant currency basis for the quarter ended September 30, 2025, we calculate constant currency revenue growth rates by applying the prior period weighted average exchange rates to current period results. We calculate constant currency Total ARR growth rates by applying the current period rate to prior period results. We present constant currency information to provide a framework for assessing how our underlying business performed excluding the effect of foreign currency rate fluctuations.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FCF is an indicator of our liquidity over the long term and provides useful information regarding cash provided by operating activities and cash used for investments in property and equipment required to maintain and grow our business. Unlevered FCF provides additional information about our liquidity adjusted for the impact of our capital structure. FCF and unlevered FCF are presented for supplemental informational purposes only and should not be considered a substitute for financial information presented in accordance with GAAP. FCF and unlevered FCF each have limitations as analytical tools, and neither metric should be considered in isolation or as a substitute for analysis of other GAAP financial measures, such as net cash provided by operating activities. Some of the limitations of FCF and unlevered FCF are that they each do not reflect our future contractual commitments, exclude investments made to acquire assets under finance leases, include capital expenditures, and may be calculated differently by other companies in our industry, limiting their respective usefulness as comparative measures.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use of non-GAAP cost of revenue, gross profit, operating expenses, income from operations, net income, free cash flow, unlevered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payments related to workforce reduction and cash paid for lease termination.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 Stabler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ir@dropbox.com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Alissa Stewart</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press@dropbox.com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5071</Words>
  <Characters>27623</Characters>
  <CharactersWithSpaces>32035</CharactersWithSpaces>
  <Paragraphs>1373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