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0001973472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COX</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53124.00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jc w:val="both"/>
        <w:ind w:left="40" w:right="20"/>
        <w:spacing w:after="0" w:line="241" w:lineRule="auto"/>
        <w:rPr>
          <w:sz w:val="20"/>
          <w:szCs w:val="20"/>
          <w:color w:val="auto"/>
        </w:rPr>
      </w:pPr>
      <w:r>
        <w:rPr>
          <w:rFonts w:ascii="Times New Roman" w:cs="Times New Roman" w:eastAsia="Times New Roman" w:hAnsi="Times New Roman"/>
          <w:sz w:val="22"/>
          <w:szCs w:val="22"/>
          <w:color w:val="auto"/>
        </w:rPr>
        <w:t>10b5-1 Sales for ERIC LEONARD COX</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06/10/2024 8536</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181578.74</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08/16/2024</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03/11/2024</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Cox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2024-08-16T15:47:00Z</dcterms:created>
  <dcterms:modified xsi:type="dcterms:W3CDTF">2024-08-16T15:47:00Z</dcterms:modified>
</cp:coreProperties>
</file>