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center"/>
        <w:rPr>
          <w:rFonts w:ascii="Arial;sans-serif" w:hAnsi="Arial;sans-serif"/>
          <w:b/>
          <w:color w:val="000000"/>
          <w:sz w:val="28"/>
          <w:shd w:fill="FFFFFF" w:val="clear"/>
        </w:rPr>
      </w:pPr>
      <w:r>
        <w:rPr>
          <w:rFonts w:ascii="Arial;sans-serif" w:hAnsi="Arial;sans-serif"/>
          <w:b/>
          <w:color w:val="000000"/>
          <w:sz w:val="28"/>
          <w:shd w:fill="FFFFFF" w:val="clear"/>
        </w:rPr>
        <w:t>UNITED STATES</w:t>
      </w:r>
    </w:p>
    <w:p>
      <w:pPr>
        <w:pStyle w:val="TextBody"/>
        <w:bidi w:val="0"/>
        <w:spacing w:lineRule="auto" w:line="276" w:before="0" w:after="0"/>
        <w:jc w:val="center"/>
        <w:rPr>
          <w:rFonts w:ascii="Arial;sans-serif" w:hAnsi="Arial;sans-serif"/>
          <w:b/>
          <w:color w:val="000000"/>
          <w:sz w:val="28"/>
          <w:shd w:fill="FFFFFF" w:val="clear"/>
        </w:rPr>
      </w:pPr>
      <w:r>
        <w:rPr>
          <w:rFonts w:ascii="Arial;sans-serif" w:hAnsi="Arial;sans-serif"/>
          <w:b/>
          <w:color w:val="000000"/>
          <w:sz w:val="28"/>
          <w:shd w:fill="FFFFFF" w:val="clear"/>
        </w:rPr>
        <w:t>SECURITIES AND EXCHANGE COMMISSION</w:t>
      </w:r>
    </w:p>
    <w:p>
      <w:pPr>
        <w:pStyle w:val="TextBody"/>
        <w:bidi w:val="0"/>
        <w:spacing w:lineRule="auto" w:line="276"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Washington, D.C. 20549</w:t>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_________________</w:t>
      </w:r>
    </w:p>
    <w:p>
      <w:pPr>
        <w:pStyle w:val="TextBody"/>
        <w:bidi w:val="0"/>
        <w:spacing w:lineRule="auto" w:line="276" w:before="120" w:after="283"/>
        <w:jc w:val="center"/>
        <w:rPr>
          <w:rFonts w:ascii="Arial;sans-serif" w:hAnsi="Arial;sans-serif"/>
          <w:b/>
          <w:color w:val="000000"/>
          <w:sz w:val="36"/>
          <w:shd w:fill="FFFFFF" w:val="clear"/>
        </w:rPr>
      </w:pPr>
      <w:r>
        <w:rPr>
          <w:rFonts w:ascii="Arial;sans-serif" w:hAnsi="Arial;sans-serif"/>
          <w:b/>
          <w:color w:val="000000"/>
          <w:sz w:val="36"/>
          <w:shd w:fill="FFFFFF" w:val="clear"/>
        </w:rPr>
        <w:t>SCHEDULE 14A</w:t>
      </w:r>
    </w:p>
    <w:p>
      <w:pPr>
        <w:pStyle w:val="TextBody"/>
        <w:bidi w:val="0"/>
        <w:spacing w:lineRule="auto" w:line="276" w:before="120" w:after="283"/>
        <w:jc w:val="center"/>
        <w:rPr>
          <w:rFonts w:ascii="Arial;sans-serif" w:hAnsi="Arial;sans-serif"/>
          <w:b/>
          <w:color w:val="000000"/>
          <w:sz w:val="20"/>
          <w:shd w:fill="FFFFFF" w:val="clear"/>
        </w:rPr>
      </w:pPr>
      <w:r>
        <w:rPr>
          <w:rFonts w:ascii="Arial;sans-serif" w:hAnsi="Arial;sans-serif"/>
          <w:b/>
          <w:color w:val="000000"/>
          <w:sz w:val="20"/>
          <w:shd w:fill="FFFFFF" w:val="clear"/>
        </w:rPr>
        <w:t>PROXY STATEMENT PURSUANT TO SECTION 14(a) OF THE</w:t>
      </w:r>
    </w:p>
    <w:p>
      <w:pPr>
        <w:pStyle w:val="TextBody"/>
        <w:bidi w:val="0"/>
        <w:spacing w:lineRule="auto" w:line="276"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SECURITIES EXCHANGE ACT OF 1934</w:t>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_________________</w:t>
      </w:r>
    </w:p>
    <w:p>
      <w:pPr>
        <w:pStyle w:val="TextBody"/>
        <w:bidi w:val="0"/>
        <w:spacing w:lineRule="auto" w:line="276" w:before="160" w:after="283"/>
        <w:jc w:val="left"/>
        <w:rPr/>
      </w:pPr>
      <w:r>
        <w:rPr>
          <w:rFonts w:ascii="Arial;sans-serif" w:hAnsi="Arial;sans-serif"/>
          <w:b w:val="false"/>
          <w:color w:val="000000"/>
          <w:sz w:val="20"/>
          <w:shd w:fill="FFFFFF" w:val="clear"/>
        </w:rPr>
        <w:t xml:space="preserve">Filed by the Registrant </w:t>
      </w:r>
      <w:r>
        <w:rPr>
          <w:rFonts w:ascii="Wingdings;sans-serif" w:hAnsi="Wingdings;sans-serif"/>
          <w:b w:val="false"/>
          <w:color w:val="000000"/>
          <w:sz w:val="20"/>
          <w:shd w:fill="FFFFFF" w:val="clear"/>
        </w:rPr>
        <w:t>x</w:t>
      </w:r>
    </w:p>
    <w:p>
      <w:pPr>
        <w:pStyle w:val="TextBody"/>
        <w:bidi w:val="0"/>
        <w:spacing w:lineRule="auto" w:line="276" w:before="160" w:after="283"/>
        <w:jc w:val="left"/>
        <w:rPr/>
      </w:pPr>
      <w:r>
        <w:rPr>
          <w:rFonts w:ascii="Arial;sans-serif" w:hAnsi="Arial;sans-serif"/>
          <w:b w:val="false"/>
          <w:color w:val="000000"/>
          <w:sz w:val="20"/>
          <w:shd w:fill="FFFFFF" w:val="clear"/>
        </w:rPr>
        <w:t xml:space="preserve">Filed by a Party other than the Registrant </w:t>
      </w:r>
      <w:r>
        <w:rPr>
          <w:color w:val="000000"/>
          <w:shd w:fill="FFFFFF" w:val="clear"/>
        </w:rPr>
        <w:t>☐</w:t>
      </w:r>
    </w:p>
    <w:p>
      <w:pPr>
        <w:pStyle w:val="TextBody"/>
        <w:bidi w:val="0"/>
        <w:spacing w:lineRule="auto" w:line="276" w:before="1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Check the appropriate box:</w:t>
      </w:r>
    </w:p>
    <w:tbl>
      <w:tblPr>
        <w:tblW w:w="7811" w:type="dxa"/>
        <w:jc w:val="left"/>
        <w:tblInd w:w="0" w:type="dxa"/>
        <w:tblLayout w:type="fixed"/>
        <w:tblCellMar>
          <w:top w:w="28" w:type="dxa"/>
          <w:left w:w="28" w:type="dxa"/>
          <w:bottom w:w="28" w:type="dxa"/>
          <w:right w:w="28" w:type="dxa"/>
        </w:tblCellMar>
      </w:tblPr>
      <w:tblGrid>
        <w:gridCol w:w="124"/>
        <w:gridCol w:w="109"/>
        <w:gridCol w:w="109"/>
        <w:gridCol w:w="2183"/>
        <w:gridCol w:w="2183"/>
        <w:gridCol w:w="3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§240.14a-11(c) or §240.14a-2</w:t>
            </w:r>
          </w:p>
        </w:tc>
      </w:tr>
    </w:tbl>
    <w:tbl>
      <w:tblPr>
        <w:tblW w:w="4514" w:type="dxa"/>
        <w:jc w:val="left"/>
        <w:tblInd w:w="0" w:type="dxa"/>
        <w:tblLayout w:type="fixed"/>
        <w:tblCellMar>
          <w:top w:w="28" w:type="dxa"/>
          <w:left w:w="28" w:type="dxa"/>
          <w:bottom w:w="28" w:type="dxa"/>
          <w:right w:w="28" w:type="dxa"/>
        </w:tblCellMar>
      </w:tblPr>
      <w:tblGrid>
        <w:gridCol w:w="1445"/>
        <w:gridCol w:w="1270"/>
        <w:gridCol w:w="1799"/>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76" w:before="120" w:after="85"/>
              <w:jc w:val="center"/>
              <w:rPr>
                <w:rFonts w:ascii="Arial;sans-serif" w:hAnsi="Arial;sans-serif"/>
                <w:b/>
                <w:color w:val="000000"/>
                <w:sz w:val="48"/>
              </w:rPr>
            </w:pPr>
            <w:r>
              <w:rPr>
                <w:rFonts w:ascii="Arial;sans-serif" w:hAnsi="Arial;sans-serif"/>
                <w:b/>
                <w:color w:val="000000"/>
                <w:sz w:val="48"/>
              </w:rPr>
              <w:t>Dropbox, Inc.</w:t>
            </w:r>
          </w:p>
        </w:tc>
      </w:tr>
      <w:tr>
        <w:trPr/>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Registrant as Specified In Its Charter)</w:t>
            </w:r>
          </w:p>
        </w:tc>
      </w:tr>
    </w:tbl>
    <w:p>
      <w:pPr>
        <w:pStyle w:val="TextBody"/>
        <w:bidi w:val="0"/>
        <w:spacing w:lineRule="auto" w:line="276" w:before="1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Payment of Filing Fee (Check the appropriate box):</w:t>
      </w:r>
    </w:p>
    <w:tbl>
      <w:tblPr>
        <w:tblW w:w="9266" w:type="dxa"/>
        <w:jc w:val="left"/>
        <w:tblInd w:w="0" w:type="dxa"/>
        <w:tblLayout w:type="fixed"/>
        <w:tblCellMar>
          <w:top w:w="28" w:type="dxa"/>
          <w:left w:w="28" w:type="dxa"/>
          <w:bottom w:w="28" w:type="dxa"/>
          <w:right w:w="28" w:type="dxa"/>
        </w:tblCellMar>
      </w:tblPr>
      <w:tblGrid>
        <w:gridCol w:w="124"/>
        <w:gridCol w:w="109"/>
        <w:gridCol w:w="109"/>
        <w:gridCol w:w="2615"/>
        <w:gridCol w:w="2615"/>
        <w:gridCol w:w="36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5115"/>
                <wp:effectExtent l="0" t="0" r="0" b="0"/>
                <wp:wrapNone/>
                <wp:docPr id="1" name="Frame1"/>
                <a:graphic xmlns:a="http://schemas.openxmlformats.org/drawingml/2006/main">
                  <a:graphicData uri="http://schemas.microsoft.com/office/word/2010/wordprocessingShape">
                    <wps:wsp>
                      <wps:cNvSpPr txBox="1"/>
                      <wps:spPr>
                        <a:xfrm>
                          <a:off x="0" y="0"/>
                          <a:ext cx="6480175" cy="285115"/>
                        </a:xfrm>
                        <a:prstGeom prst="rect"/>
                        <a:solidFill>
                          <a:srgbClr val="FFFFFF"/>
                        </a:solidFill>
                      </wps:spPr>
                      <wps:txbx>
                        <w:txbxContent>
                          <w:p>
                            <w:pPr>
                              <w:pStyle w:val="TextBody"/>
                              <w:bidi w:val="0"/>
                              <w:spacing w:before="173"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73" w:after="283"/>
                        <w:jc w:val="righ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120" w:after="283"/>
        <w:jc w:val="left"/>
        <w:rPr>
          <w:color w:val="000000"/>
          <w:shd w:fill="FFFFFF" w:val="clear"/>
        </w:rPr>
      </w:pPr>
      <w:r>
        <w:rPr>
          <w:color w:val="000000"/>
          <w:shd w:fill="FFFFFF" w:val="clear"/>
        </w:rPr>
        <w:t> </w:t>
      </w:r>
    </w:p>
    <w:tbl>
      <w:tblPr>
        <w:tblW w:w="9777" w:type="dxa"/>
        <w:jc w:val="center"/>
        <w:tblInd w:w="0" w:type="dxa"/>
        <w:tblLayout w:type="fixed"/>
        <w:tblCellMar>
          <w:top w:w="28" w:type="dxa"/>
          <w:left w:w="28" w:type="dxa"/>
          <w:bottom w:w="28" w:type="dxa"/>
          <w:right w:w="28" w:type="dxa"/>
        </w:tblCellMar>
      </w:tblPr>
      <w:tblGrid>
        <w:gridCol w:w="2605"/>
        <w:gridCol w:w="2290"/>
        <w:gridCol w:w="2291"/>
        <w:gridCol w:w="109"/>
        <w:gridCol w:w="109"/>
        <w:gridCol w:w="109"/>
        <w:gridCol w:w="662"/>
        <w:gridCol w:w="662"/>
        <w:gridCol w:w="940"/>
      </w:tblGrid>
      <w:tr>
        <w:trPr/>
        <w:tc>
          <w:tcPr>
            <w:tcW w:w="260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76" w:before="120" w:after="60"/>
              <w:jc w:val="left"/>
              <w:rPr/>
            </w:pPr>
            <w:r>
              <w:rPr>
                <w:color w:val="000000"/>
              </w:rPr>
              <w:t> </w:t>
            </w:r>
            <w:r>
              <w:rPr/>
              <w:drawing>
                <wp:inline distT="0" distB="0" distL="0" distR="0">
                  <wp:extent cx="4457700" cy="8763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457700" cy="8763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xml:space="preserve">DROPBOX, INC. </w:t>
              <w:br/>
              <w:t xml:space="preserve">1800 OWENS STREET </w:t>
              <w:br/>
              <w:t xml:space="preserve">SAN FRANCISCO, </w:t>
              <w:br/>
              <w:t>CALIFORNIA 94158</w:t>
            </w:r>
          </w:p>
        </w:tc>
      </w:tr>
    </w:tbl>
    <w:p>
      <w:pPr>
        <w:pStyle w:val="TextBody"/>
        <w:bidi w:val="0"/>
        <w:spacing w:lineRule="auto" w:line="276" w:before="400" w:after="283"/>
        <w:jc w:val="left"/>
        <w:rPr>
          <w:rFonts w:ascii="Arial;sans-serif" w:hAnsi="Arial;sans-serif"/>
          <w:b/>
          <w:color w:val="0063A6"/>
          <w:sz w:val="32"/>
          <w:shd w:fill="FFFFFF" w:val="clear"/>
        </w:rPr>
      </w:pPr>
      <w:r>
        <w:rPr>
          <w:rFonts w:ascii="Arial;sans-serif" w:hAnsi="Arial;sans-serif"/>
          <w:b/>
          <w:color w:val="0063A6"/>
          <w:sz w:val="32"/>
          <w:shd w:fill="FFFFFF" w:val="clear"/>
        </w:rPr>
        <w:t>NOTICE OF ANNUAL MEETING OF STOCKHOLDERS</w:t>
      </w:r>
    </w:p>
    <w:p>
      <w:pPr>
        <w:pStyle w:val="TextBody"/>
        <w:bidi w:val="0"/>
        <w:spacing w:lineRule="auto" w:line="276" w:before="0" w:after="0"/>
        <w:jc w:val="left"/>
        <w:rPr>
          <w:rFonts w:ascii="Arial;sans-serif" w:hAnsi="Arial;sans-serif"/>
          <w:b/>
          <w:color w:val="0063A6"/>
          <w:sz w:val="32"/>
          <w:shd w:fill="FFFFFF" w:val="clear"/>
        </w:rPr>
      </w:pPr>
      <w:r>
        <w:rPr>
          <w:rFonts w:ascii="Arial;sans-serif" w:hAnsi="Arial;sans-serif"/>
          <w:b/>
          <w:color w:val="0063A6"/>
          <w:sz w:val="32"/>
          <w:shd w:fill="FFFFFF" w:val="clear"/>
        </w:rPr>
        <w:t>to be held at 9:00 am Pacific Time on Thursday, May 15, 2025</w:t>
      </w:r>
    </w:p>
    <w:p>
      <w:pPr>
        <w:pStyle w:val="TextBody"/>
        <w:bidi w:val="0"/>
        <w:spacing w:lineRule="auto" w:line="276"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Dear Stockholders of Dropbox, Inc.:</w:t>
      </w:r>
    </w:p>
    <w:p>
      <w:pPr>
        <w:pStyle w:val="TextBody"/>
        <w:bidi w:val="0"/>
        <w:spacing w:lineRule="auto" w:line="276" w:before="180" w:after="283"/>
        <w:jc w:val="left"/>
        <w:rPr/>
      </w:pPr>
      <w:r>
        <w:rPr>
          <w:rFonts w:ascii="Arial;sans-serif" w:hAnsi="Arial;sans-serif"/>
          <w:b w:val="false"/>
          <w:color w:val="000000"/>
          <w:sz w:val="18"/>
          <w:shd w:fill="FFFFFF" w:val="clear"/>
        </w:rPr>
        <w:t>We cordially invite you to attend the 2025 annual meeting of stockholders (the “</w:t>
      </w:r>
      <w:r>
        <w:rPr>
          <w:rFonts w:ascii="Arial;sans-serif" w:hAnsi="Arial;sans-serif"/>
          <w:b/>
          <w:i/>
          <w:color w:val="000000"/>
          <w:sz w:val="18"/>
          <w:shd w:fill="FFFFFF" w:val="clear"/>
        </w:rPr>
        <w:t>Annual Meeting</w:t>
      </w:r>
      <w:r>
        <w:rPr>
          <w:color w:val="000000"/>
          <w:shd w:fill="FFFFFF" w:val="clear"/>
        </w:rPr>
        <w:t>”</w:t>
      </w:r>
      <w:r>
        <w:rPr>
          <w:rFonts w:ascii="Arial;sans-serif" w:hAnsi="Arial;sans-serif"/>
          <w:b w:val="false"/>
          <w:color w:val="000000"/>
          <w:sz w:val="18"/>
          <w:shd w:fill="FFFFFF" w:val="clear"/>
        </w:rPr>
        <w:t xml:space="preserve">) of Dropbox, Inc., a Nevada corporation, to be held on May 15, 2025 at 9:00 am Pacific Time. The Annual Meeting will be conducted virtually via live audio webcast. You will be able to attend the Annual Meeting virtually by visiting www.virtualshareholdermeeting.com/DBX2025, where you will be able to listen to the meeting live, submit questions and vote online.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Whether or not you attend the Annual Meeting, it is important that your shares be represented and voted at the meeting. Therefore, we urge you to promptly vote and submit your proxy via the Internet, by telephone, or by mail.</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are holding the Annual Meeting for the following purposes, as more fully described in the accompanying proxy statement:</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1.To elect eight directors to serve until the next annual meeting of stockholders and until their successors are duly elected and qualified;</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2.To ratify the appointment of Ernst &amp; Young LLP as our independent registered public accounting firm for our fiscal year ending December 31, 2025;</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3.To approve, on an advisory basis, the compensation of our named executive officers; </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4.To approve, on an advisory basis, the frequency of future stockholder advisory votes on the compensation of our named executive officers;</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5.To vote on a stockholder proposal to impose vesting provisions on our Class B common stock; and</w:t>
      </w:r>
    </w:p>
    <w:p>
      <w:pPr>
        <w:pStyle w:val="TextBody"/>
        <w:bidi w:val="0"/>
        <w:spacing w:lineRule="auto" w:line="276" w:before="180" w:after="283"/>
        <w:ind w:left="0" w:right="0" w:hanging="360"/>
        <w:jc w:val="left"/>
        <w:rPr>
          <w:rFonts w:ascii="Arial;sans-serif" w:hAnsi="Arial;sans-serif"/>
          <w:b w:val="false"/>
          <w:color w:val="000000"/>
          <w:sz w:val="18"/>
        </w:rPr>
      </w:pPr>
      <w:r>
        <w:rPr>
          <w:rFonts w:ascii="Arial;sans-serif" w:hAnsi="Arial;sans-serif"/>
          <w:b w:val="false"/>
          <w:color w:val="000000"/>
          <w:sz w:val="18"/>
        </w:rPr>
        <w:t>6.To transact such other business as may properly come before the Annual Meeting or any adjournments or postponements thereof.</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has fixed the close of business on March 20, 2025 as the record date for the Annual Meeting. Stockholders of record on March 20, 2025 are entitled to notice of and to vote at the Annual Meeting. Further information regarding voting rights and the matters to be voted upon is presented in the accompanying proxy statement.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accompanying proxy statement and our annual report can be accessed by visiting: www.proxyvote.com. You will be asked to enter the 16-digit control number located on your proxy card.</w:t>
      </w:r>
    </w:p>
    <w:p>
      <w:pPr>
        <w:pStyle w:val="TextBody"/>
        <w:bidi w:val="0"/>
        <w:spacing w:lineRule="auto" w:line="276" w:before="180" w:after="283"/>
        <w:jc w:val="left"/>
        <w:rPr>
          <w:rFonts w:ascii="Arial;sans-serif" w:hAnsi="Arial;sans-serif"/>
          <w:b/>
          <w:color w:val="000000"/>
          <w:sz w:val="18"/>
          <w:shd w:fill="FFFFFF" w:val="clear"/>
        </w:rPr>
      </w:pPr>
      <w:r>
        <w:rPr>
          <w:rFonts w:ascii="Arial;sans-serif" w:hAnsi="Arial;sans-serif"/>
          <w:b/>
          <w:color w:val="000000"/>
          <w:sz w:val="18"/>
          <w:shd w:fill="FFFFFF" w:val="clear"/>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pStyle w:val="TextBody"/>
        <w:bidi w:val="0"/>
        <w:spacing w:lineRule="auto" w:line="276"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By order of the Board of Directors,</w:t>
      </w:r>
    </w:p>
    <w:p>
      <w:pPr>
        <w:pStyle w:val="TextBody"/>
        <w:bidi w:val="0"/>
        <w:spacing w:before="360" w:after="283"/>
        <w:jc w:val="left"/>
        <w:rPr/>
      </w:pPr>
      <w:r>
        <w:rPr/>
        <w:drawing>
          <wp:inline distT="0" distB="0" distL="0" distR="0">
            <wp:extent cx="1962150" cy="7715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962150" cy="771525"/>
                    </a:xfrm>
                    <a:prstGeom prst="rect">
                      <a:avLst/>
                    </a:prstGeom>
                  </pic:spPr>
                </pic:pic>
              </a:graphicData>
            </a:graphic>
          </wp:inline>
        </w:drawing>
      </w:r>
    </w:p>
    <w:p>
      <w:pPr>
        <w:pStyle w:val="TextBody"/>
        <w:bidi w:val="0"/>
        <w:spacing w:lineRule="auto" w:line="276" w:before="180" w:after="283"/>
        <w:jc w:val="left"/>
        <w:rPr>
          <w:rFonts w:ascii="Arial;sans-serif" w:hAnsi="Arial;sans-serif"/>
          <w:b/>
          <w:color w:val="000000"/>
          <w:sz w:val="18"/>
          <w:shd w:fill="FFFFFF" w:val="clear"/>
        </w:rPr>
      </w:pPr>
      <w:r>
        <w:rPr>
          <w:rFonts w:ascii="Arial;sans-serif" w:hAnsi="Arial;sans-serif"/>
          <w:b/>
          <w:color w:val="000000"/>
          <w:sz w:val="18"/>
          <w:shd w:fill="FFFFFF" w:val="clear"/>
        </w:rPr>
        <w:t>Andrew W. Houston</w:t>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Chief Executive Officer, Co-Founder, and Chair of the Board</w:t>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San Francisco,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6695"/>
                <wp:effectExtent l="0" t="0" r="0" b="0"/>
                <wp:wrapNone/>
                <wp:docPr id="4" name="Frame2"/>
                <a:graphic xmlns:a="http://schemas.openxmlformats.org/drawingml/2006/main">
                  <a:graphicData uri="http://schemas.microsoft.com/office/word/2010/wordprocessingShape">
                    <wps:wsp>
                      <wps:cNvSpPr txBox="1"/>
                      <wps:spPr>
                        <a:xfrm>
                          <a:off x="0" y="0"/>
                          <a:ext cx="6480175" cy="226695"/>
                        </a:xfrm>
                        <a:prstGeom prst="rect"/>
                        <a:solidFill>
                          <a:srgbClr val="FFFFFF"/>
                        </a:solidFill>
                      </wps:spPr>
                      <wps:txbx>
                        <w:txbxContent>
                          <w:p>
                            <w:pPr>
                              <w:pStyle w:val="TextBody"/>
                              <w:bidi w:val="0"/>
                              <w:spacing w:lineRule="auto" w:line="276" w:before="173" w:after="283"/>
                              <w:jc w:val="right"/>
                              <w:rPr/>
                            </w:pPr>
                            <w:r>
                              <w:rPr>
                                <w:rFonts w:ascii="Arial;sans-serif" w:hAnsi="Arial;sans-serif"/>
                                <w:b/>
                                <w:color w:val="0063A6"/>
                                <w:sz w:val="16"/>
                                <w:shd w:fill="FFFFFF" w:val="clear"/>
                              </w:rPr>
                              <w:t>Dropbox, Inc.</w:t>
                            </w:r>
                            <w:r>
                              <w:rPr>
                                <w:rFonts w:ascii="Arial;sans-serif" w:hAnsi="Arial;sans-serif"/>
                                <w:b w:val="false"/>
                                <w:color w:val="0063A6"/>
                                <w:sz w:val="16"/>
                                <w:shd w:fill="FFFFFF" w:val="clear"/>
                              </w:rPr>
                              <w:t>Proxy Statement and Notice of 2025 Annual Meeting of Stockholders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73" w:after="283"/>
                        <w:jc w:val="right"/>
                        <w:rPr/>
                      </w:pPr>
                      <w:r>
                        <w:rPr>
                          <w:rFonts w:ascii="Arial;sans-serif" w:hAnsi="Arial;sans-serif"/>
                          <w:b/>
                          <w:color w:val="0063A6"/>
                          <w:sz w:val="16"/>
                          <w:shd w:fill="FFFFFF" w:val="clear"/>
                        </w:rPr>
                        <w:t>Dropbox, Inc.</w:t>
                      </w:r>
                      <w:r>
                        <w:rPr>
                          <w:rFonts w:ascii="Arial;sans-serif" w:hAnsi="Arial;sans-serif"/>
                          <w:b w:val="false"/>
                          <w:color w:val="0063A6"/>
                          <w:sz w:val="16"/>
                          <w:shd w:fill="FFFFFF" w:val="clear"/>
                        </w:rPr>
                        <w:t>Proxy Statement and Notice of 2025 Annual Meeting of Stockholders</w:t>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April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6695"/>
                <wp:effectExtent l="0" t="0" r="0" b="0"/>
                <wp:wrapNone/>
                <wp:docPr id="5" name="Frame3"/>
                <a:graphic xmlns:a="http://schemas.openxmlformats.org/drawingml/2006/main">
                  <a:graphicData uri="http://schemas.microsoft.com/office/word/2010/wordprocessingShape">
                    <wps:wsp>
                      <wps:cNvSpPr txBox="1"/>
                      <wps:spPr>
                        <a:xfrm>
                          <a:off x="0" y="0"/>
                          <a:ext cx="6480175" cy="226695"/>
                        </a:xfrm>
                        <a:prstGeom prst="rect"/>
                        <a:solidFill>
                          <a:srgbClr val="FFFFFF"/>
                        </a:solidFill>
                      </wps:spPr>
                      <wps:txbx>
                        <w:txbxContent>
                          <w:p>
                            <w:pPr>
                              <w:pStyle w:val="TextBody"/>
                              <w:bidi w:val="0"/>
                              <w:spacing w:lineRule="auto" w:line="276" w:before="173" w:after="283"/>
                              <w:jc w:val="right"/>
                              <w:rPr/>
                            </w:pPr>
                            <w:r>
                              <w:rPr>
                                <w:rFonts w:ascii="Arial;sans-serif" w:hAnsi="Arial;sans-serif"/>
                                <w:b/>
                                <w:color w:val="0063A6"/>
                                <w:sz w:val="16"/>
                                <w:shd w:fill="FFFFFF" w:val="clear"/>
                              </w:rPr>
                              <w:t>Dropbox, Inc.</w:t>
                            </w:r>
                            <w:r>
                              <w:rPr>
                                <w:rFonts w:ascii="Arial;sans-serif" w:hAnsi="Arial;sans-serif"/>
                                <w:b w:val="false"/>
                                <w:color w:val="0063A6"/>
                                <w:sz w:val="16"/>
                                <w:shd w:fill="FFFFFF" w:val="clear"/>
                              </w:rPr>
                              <w:t>Proxy Statement and Notice of 2025 Annual Meeting of Stockholders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73" w:after="283"/>
                        <w:jc w:val="right"/>
                        <w:rPr/>
                      </w:pPr>
                      <w:r>
                        <w:rPr>
                          <w:rFonts w:ascii="Arial;sans-serif" w:hAnsi="Arial;sans-serif"/>
                          <w:b/>
                          <w:color w:val="0063A6"/>
                          <w:sz w:val="16"/>
                          <w:shd w:fill="FFFFFF" w:val="clear"/>
                        </w:rPr>
                        <w:t>Dropbox, Inc.</w:t>
                      </w:r>
                      <w:r>
                        <w:rPr>
                          <w:rFonts w:ascii="Arial;sans-serif" w:hAnsi="Arial;sans-serif"/>
                          <w:b w:val="false"/>
                          <w:color w:val="0063A6"/>
                          <w:sz w:val="16"/>
                          <w:shd w:fill="FFFFFF" w:val="clear"/>
                        </w:rPr>
                        <w:t>Proxy Statement and Notice of 2025 Annual Meeting of Stockholders</w:t>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562"/>
        <w:gridCol w:w="3045"/>
        <w:gridCol w:w="3055"/>
        <w:gridCol w:w="158"/>
        <w:gridCol w:w="158"/>
        <w:gridCol w:w="227"/>
      </w:tblGrid>
      <w:tr>
        <w:trPr/>
        <w:tc>
          <w:tcPr>
            <w:tcW w:w="3562"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3">
              <w:r>
                <w:rPr>
                  <w:rStyle w:val="InternetLink"/>
                  <w:rFonts w:ascii="Arial;sans-serif" w:hAnsi="Arial;sans-serif"/>
                  <w:b/>
                  <w:color w:val="0000FF"/>
                  <w:sz w:val="24"/>
                  <w:u w:val="single"/>
                </w:rPr>
                <w:t>GENERAL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3">
              <w:r>
                <w:rPr>
                  <w:rStyle w:val="InternetLink"/>
                  <w:rFonts w:ascii="Arial;sans-serif" w:hAnsi="Arial;sans-serif"/>
                  <w:b/>
                  <w:color w:val="0000FF"/>
                  <w:sz w:val="24"/>
                  <w:u w:val="single"/>
                </w:rPr>
                <w:t>1</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6">
              <w:r>
                <w:rPr>
                  <w:rStyle w:val="InternetLink"/>
                  <w:rFonts w:ascii="Arial;sans-serif" w:hAnsi="Arial;sans-serif"/>
                  <w:b/>
                  <w:color w:val="0000FF"/>
                  <w:sz w:val="24"/>
                  <w:u w:val="single"/>
                </w:rPr>
                <w:t>BOARD OF DIRECTORS AND CORPORATE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6">
              <w:r>
                <w:rPr>
                  <w:rStyle w:val="InternetLink"/>
                  <w:rFonts w:ascii="Arial;sans-serif" w:hAnsi="Arial;sans-serif"/>
                  <w:b/>
                  <w:color w:val="0000FF"/>
                  <w:sz w:val="24"/>
                  <w:u w:val="single"/>
                </w:rPr>
                <w:t>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9">
              <w:r>
                <w:rPr>
                  <w:rStyle w:val="InternetLink"/>
                  <w:rFonts w:ascii="Arial;sans-serif" w:hAnsi="Arial;sans-serif"/>
                  <w:b w:val="false"/>
                  <w:color w:val="0000FF"/>
                  <w:sz w:val="18"/>
                  <w:u w:val="single"/>
                </w:rPr>
                <w:t>Nominees for Director</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9">
              <w:r>
                <w:rPr>
                  <w:rStyle w:val="InternetLink"/>
                  <w:rFonts w:ascii="Arial;sans-serif" w:hAnsi="Arial;sans-serif"/>
                  <w:b/>
                  <w:color w:val="0000FF"/>
                  <w:sz w:val="18"/>
                  <w:u w:val="single"/>
                </w:rPr>
                <w:t>7</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22">
              <w:r>
                <w:rPr>
                  <w:rStyle w:val="InternetLink"/>
                  <w:rFonts w:ascii="Arial;sans-serif" w:hAnsi="Arial;sans-serif"/>
                  <w:b w:val="false"/>
                  <w:color w:val="0000FF"/>
                  <w:sz w:val="18"/>
                  <w:u w:val="single"/>
                </w:rPr>
                <w:t>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22">
              <w:r>
                <w:rPr>
                  <w:rStyle w:val="InternetLink"/>
                  <w:rFonts w:ascii="Arial;sans-serif" w:hAnsi="Arial;sans-serif"/>
                  <w:b/>
                  <w:color w:val="0000FF"/>
                  <w:sz w:val="18"/>
                  <w:u w:val="single"/>
                </w:rPr>
                <w:t>12</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25">
              <w:r>
                <w:rPr>
                  <w:rStyle w:val="InternetLink"/>
                  <w:rFonts w:ascii="Arial;sans-serif" w:hAnsi="Arial;sans-serif"/>
                  <w:b w:val="false"/>
                  <w:color w:val="0000FF"/>
                  <w:sz w:val="18"/>
                  <w:u w:val="single"/>
                </w:rPr>
                <w:t>Board Leadership Structure and Role of the Lead Independent Director</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25">
              <w:r>
                <w:rPr>
                  <w:rStyle w:val="InternetLink"/>
                  <w:rFonts w:ascii="Arial;sans-serif" w:hAnsi="Arial;sans-serif"/>
                  <w:b/>
                  <w:color w:val="0000FF"/>
                  <w:sz w:val="18"/>
                  <w:u w:val="single"/>
                </w:rPr>
                <w:t>12</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28">
              <w:r>
                <w:rPr>
                  <w:rStyle w:val="InternetLink"/>
                  <w:rFonts w:ascii="Arial;sans-serif" w:hAnsi="Arial;sans-serif"/>
                  <w:b w:val="false"/>
                  <w:color w:val="0000FF"/>
                  <w:sz w:val="18"/>
                  <w:u w:val="single"/>
                </w:rPr>
                <w:t>Board Committees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28">
              <w:r>
                <w:rPr>
                  <w:rStyle w:val="InternetLink"/>
                  <w:rFonts w:ascii="Arial;sans-serif" w:hAnsi="Arial;sans-serif"/>
                  <w:b/>
                  <w:color w:val="0000FF"/>
                  <w:sz w:val="18"/>
                  <w:u w:val="single"/>
                </w:rPr>
                <w:t>13</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31">
              <w:r>
                <w:rPr>
                  <w:rStyle w:val="InternetLink"/>
                  <w:rFonts w:ascii="Arial;sans-serif" w:hAnsi="Arial;sans-serif"/>
                  <w:b w:val="false"/>
                  <w:color w:val="0000FF"/>
                  <w:sz w:val="18"/>
                  <w:u w:val="single"/>
                </w:rPr>
                <w:t>Attendance at Board and Stockholder Meetings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31">
              <w:r>
                <w:rPr>
                  <w:rStyle w:val="InternetLink"/>
                  <w:rFonts w:ascii="Arial;sans-serif" w:hAnsi="Arial;sans-serif"/>
                  <w:b/>
                  <w:color w:val="0000FF"/>
                  <w:sz w:val="18"/>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34">
              <w:r>
                <w:rPr>
                  <w:rStyle w:val="InternetLink"/>
                  <w:rFonts w:ascii="Arial;sans-serif" w:hAnsi="Arial;sans-serif"/>
                  <w:b w:val="false"/>
                  <w:color w:val="0000FF"/>
                  <w:sz w:val="18"/>
                  <w:u w:val="single"/>
                </w:rPr>
                <w:t>Compensation Committee Interlocks and Insider Participation</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34">
              <w:r>
                <w:rPr>
                  <w:rStyle w:val="InternetLink"/>
                  <w:rFonts w:ascii="Arial;sans-serif" w:hAnsi="Arial;sans-serif"/>
                  <w:b/>
                  <w:color w:val="0000FF"/>
                  <w:sz w:val="18"/>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37">
              <w:r>
                <w:rPr>
                  <w:rStyle w:val="InternetLink"/>
                  <w:rFonts w:ascii="Arial;sans-serif" w:hAnsi="Arial;sans-serif"/>
                  <w:b w:val="false"/>
                  <w:color w:val="0000FF"/>
                  <w:sz w:val="18"/>
                  <w:u w:val="single"/>
                </w:rPr>
                <w:t>Considerations in Evaluating Director Nominees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37">
              <w:r>
                <w:rPr>
                  <w:rStyle w:val="InternetLink"/>
                  <w:rFonts w:ascii="Arial;sans-serif" w:hAnsi="Arial;sans-serif"/>
                  <w:b/>
                  <w:color w:val="0000FF"/>
                  <w:sz w:val="18"/>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40">
              <w:r>
                <w:rPr>
                  <w:rStyle w:val="InternetLink"/>
                  <w:rFonts w:ascii="Arial;sans-serif" w:hAnsi="Arial;sans-serif"/>
                  <w:b w:val="false"/>
                  <w:color w:val="0000FF"/>
                  <w:sz w:val="18"/>
                  <w:u w:val="single"/>
                </w:rPr>
                <w:t>Board Evaluations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40">
              <w:r>
                <w:rPr>
                  <w:rStyle w:val="InternetLink"/>
                  <w:rFonts w:ascii="Arial;sans-serif" w:hAnsi="Arial;sans-serif"/>
                  <w:b/>
                  <w:color w:val="0000FF"/>
                  <w:sz w:val="18"/>
                  <w:u w:val="single"/>
                </w:rPr>
                <w:t>15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43">
              <w:r>
                <w:rPr>
                  <w:rStyle w:val="InternetLink"/>
                  <w:rFonts w:ascii="Arial;sans-serif" w:hAnsi="Arial;sans-serif"/>
                  <w:b w:val="false"/>
                  <w:color w:val="0000FF"/>
                  <w:sz w:val="18"/>
                  <w:u w:val="single"/>
                </w:rPr>
                <w:t>Stockholder Recommendations and Nominations to the Board of Directors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43">
              <w:r>
                <w:rPr>
                  <w:rStyle w:val="InternetLink"/>
                  <w:rFonts w:ascii="Arial;sans-serif" w:hAnsi="Arial;sans-serif"/>
                  <w:b/>
                  <w:color w:val="0000FF"/>
                  <w:sz w:val="18"/>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46">
              <w:r>
                <w:rPr>
                  <w:rStyle w:val="InternetLink"/>
                  <w:rFonts w:ascii="Arial;sans-serif" w:hAnsi="Arial;sans-serif"/>
                  <w:b w:val="false"/>
                  <w:color w:val="0000FF"/>
                  <w:sz w:val="18"/>
                  <w:u w:val="single"/>
                </w:rPr>
                <w:t>Communications with the Board of Directors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46">
              <w:r>
                <w:rPr>
                  <w:rStyle w:val="InternetLink"/>
                  <w:rFonts w:ascii="Arial;sans-serif" w:hAnsi="Arial;sans-serif"/>
                  <w:b/>
                  <w:color w:val="0000FF"/>
                  <w:sz w:val="18"/>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49">
              <w:r>
                <w:rPr>
                  <w:rStyle w:val="InternetLink"/>
                  <w:rFonts w:ascii="Arial;sans-serif" w:hAnsi="Arial;sans-serif"/>
                  <w:b w:val="false"/>
                  <w:color w:val="0000FF"/>
                  <w:sz w:val="18"/>
                  <w:u w:val="single"/>
                </w:rPr>
                <w:t>Corporate Governance Guidelines and Code of Business Conduct and Ethics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49">
              <w:r>
                <w:rPr>
                  <w:rStyle w:val="InternetLink"/>
                  <w:rFonts w:ascii="Arial;sans-serif" w:hAnsi="Arial;sans-serif"/>
                  <w:b/>
                  <w:color w:val="0000FF"/>
                  <w:sz w:val="18"/>
                  <w:u w:val="single"/>
                </w:rPr>
                <w:t>16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2">
              <w:r>
                <w:rPr>
                  <w:rStyle w:val="InternetLink"/>
                  <w:rFonts w:ascii="Arial;sans-serif" w:hAnsi="Arial;sans-serif"/>
                  <w:b w:val="false"/>
                  <w:color w:val="0000FF"/>
                  <w:sz w:val="18"/>
                  <w:u w:val="single"/>
                </w:rPr>
                <w:t>Role of Board in Risk Oversight Process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2">
              <w:r>
                <w:rPr>
                  <w:rStyle w:val="InternetLink"/>
                  <w:rFonts w:ascii="Arial;sans-serif" w:hAnsi="Arial;sans-serif"/>
                  <w:b/>
                  <w:color w:val="0000FF"/>
                  <w:sz w:val="18"/>
                  <w:u w:val="single"/>
                </w:rPr>
                <w:t>17</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5">
              <w:r>
                <w:rPr>
                  <w:rStyle w:val="InternetLink"/>
                  <w:rFonts w:ascii="Arial;sans-serif" w:hAnsi="Arial;sans-serif"/>
                  <w:b w:val="false"/>
                  <w:color w:val="0000FF"/>
                  <w:sz w:val="18"/>
                  <w:u w:val="single"/>
                </w:rPr>
                <w:t>Cybersecurity and Data Privacy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5">
              <w:r>
                <w:rPr>
                  <w:rStyle w:val="InternetLink"/>
                  <w:rFonts w:ascii="Arial;sans-serif" w:hAnsi="Arial;sans-serif"/>
                  <w:b/>
                  <w:color w:val="0000FF"/>
                  <w:sz w:val="18"/>
                  <w:u w:val="single"/>
                </w:rPr>
                <w:t>17</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8">
              <w:r>
                <w:rPr>
                  <w:rStyle w:val="InternetLink"/>
                  <w:rFonts w:ascii="Arial;sans-serif" w:hAnsi="Arial;sans-serif"/>
                  <w:b w:val="false"/>
                  <w:color w:val="0000FF"/>
                  <w:sz w:val="18"/>
                  <w:u w:val="single"/>
                </w:rPr>
                <w:t>Our Impact</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8">
              <w:r>
                <w:rPr>
                  <w:rStyle w:val="InternetLink"/>
                  <w:rFonts w:ascii="Arial;sans-serif" w:hAnsi="Arial;sans-serif"/>
                  <w:b/>
                  <w:color w:val="0000FF"/>
                  <w:sz w:val="18"/>
                  <w:u w:val="single"/>
                </w:rPr>
                <w:t>18</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61">
              <w:r>
                <w:rPr>
                  <w:rStyle w:val="InternetLink"/>
                  <w:rFonts w:ascii="Arial;sans-serif" w:hAnsi="Arial;sans-serif"/>
                  <w:b w:val="false"/>
                  <w:color w:val="0000FF"/>
                  <w:sz w:val="18"/>
                  <w:u w:val="single"/>
                </w:rPr>
                <w:t>Director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61">
              <w:r>
                <w:rPr>
                  <w:rStyle w:val="InternetLink"/>
                  <w:rFonts w:ascii="Arial;sans-serif" w:hAnsi="Arial;sans-serif"/>
                  <w:b/>
                  <w:color w:val="0000FF"/>
                  <w:sz w:val="18"/>
                  <w:u w:val="single"/>
                </w:rPr>
                <w:t>20</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64">
              <w:r>
                <w:rPr>
                  <w:rStyle w:val="InternetLink"/>
                  <w:rFonts w:ascii="Arial;sans-serif" w:hAnsi="Arial;sans-serif"/>
                  <w:b/>
                  <w:color w:val="0000FF"/>
                  <w:sz w:val="24"/>
                  <w:u w:val="single"/>
                </w:rPr>
                <w:t>PROPOSAL NO. 1—ELECTION OF DIRECTORS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64">
              <w:r>
                <w:rPr>
                  <w:rStyle w:val="InternetLink"/>
                  <w:rFonts w:ascii="Arial;sans-serif" w:hAnsi="Arial;sans-serif"/>
                  <w:b/>
                  <w:color w:val="0000FF"/>
                  <w:sz w:val="24"/>
                  <w:u w:val="single"/>
                </w:rPr>
                <w:t>24</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67">
              <w:r>
                <w:rPr>
                  <w:rStyle w:val="InternetLink"/>
                  <w:rFonts w:ascii="Arial;sans-serif" w:hAnsi="Arial;sans-serif"/>
                  <w:b w:val="false"/>
                  <w:color w:val="0000FF"/>
                  <w:sz w:val="18"/>
                  <w:u w:val="single"/>
                </w:rPr>
                <w:t>Nominees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67">
              <w:r>
                <w:rPr>
                  <w:rStyle w:val="InternetLink"/>
                  <w:rFonts w:ascii="Arial;sans-serif" w:hAnsi="Arial;sans-serif"/>
                  <w:b/>
                  <w:color w:val="0000FF"/>
                  <w:sz w:val="18"/>
                  <w:u w:val="single"/>
                </w:rPr>
                <w:t>24</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70">
              <w:r>
                <w:rPr>
                  <w:rStyle w:val="InternetLink"/>
                  <w:rFonts w:ascii="Arial;sans-serif" w:hAnsi="Arial;sans-serif"/>
                  <w:b w:val="false"/>
                  <w:color w:val="0000FF"/>
                  <w:sz w:val="18"/>
                  <w:u w:val="single"/>
                </w:rPr>
                <w:t>Vote Required</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70">
              <w:r>
                <w:rPr>
                  <w:rStyle w:val="InternetLink"/>
                  <w:rFonts w:ascii="Arial;sans-serif" w:hAnsi="Arial;sans-serif"/>
                  <w:b/>
                  <w:color w:val="0000FF"/>
                  <w:sz w:val="18"/>
                  <w:u w:val="single"/>
                </w:rPr>
                <w:t>24</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73">
              <w:r>
                <w:rPr>
                  <w:rStyle w:val="InternetLink"/>
                  <w:rFonts w:ascii="Arial;sans-serif" w:hAnsi="Arial;sans-serif"/>
                  <w:b/>
                  <w:color w:val="0000FF"/>
                  <w:sz w:val="24"/>
                  <w:u w:val="single"/>
                </w:rPr>
                <w:t>PROPOSAL NO. 2—RATIFICATION OF APPOINTMENT OF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73">
              <w:r>
                <w:rPr>
                  <w:rStyle w:val="InternetLink"/>
                  <w:rFonts w:ascii="Arial;sans-serif" w:hAnsi="Arial;sans-serif"/>
                  <w:b/>
                  <w:color w:val="0000FF"/>
                  <w:sz w:val="24"/>
                  <w:u w:val="single"/>
                </w:rPr>
                <w:t>25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76">
              <w:r>
                <w:rPr>
                  <w:rStyle w:val="InternetLink"/>
                  <w:rFonts w:ascii="Arial;sans-serif" w:hAnsi="Arial;sans-serif"/>
                  <w:b w:val="false"/>
                  <w:color w:val="0000FF"/>
                  <w:sz w:val="18"/>
                  <w:u w:val="single"/>
                </w:rPr>
                <w:t>Fees Paid to the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76">
              <w:r>
                <w:rPr>
                  <w:rStyle w:val="InternetLink"/>
                  <w:rFonts w:ascii="Arial;sans-serif" w:hAnsi="Arial;sans-serif"/>
                  <w:b/>
                  <w:color w:val="0000FF"/>
                  <w:sz w:val="18"/>
                  <w:u w:val="single"/>
                </w:rPr>
                <w:t>25</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79">
              <w:r>
                <w:rPr>
                  <w:rStyle w:val="InternetLink"/>
                  <w:rFonts w:ascii="Arial;sans-serif" w:hAnsi="Arial;sans-serif"/>
                  <w:b w:val="false"/>
                  <w:color w:val="0000FF"/>
                  <w:sz w:val="18"/>
                  <w:u w:val="single"/>
                </w:rPr>
                <w:t>Auditor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79">
              <w:r>
                <w:rPr>
                  <w:rStyle w:val="InternetLink"/>
                  <w:rFonts w:ascii="Arial;sans-serif" w:hAnsi="Arial;sans-serif"/>
                  <w:b/>
                  <w:color w:val="0000FF"/>
                  <w:sz w:val="18"/>
                  <w:u w:val="single"/>
                </w:rPr>
                <w:t>26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ind w:left="0" w:right="0" w:hanging="300"/>
              <w:jc w:val="left"/>
              <w:rPr/>
            </w:pPr>
            <w:hyperlink w:anchor="i1b7a119905614a2091d17006ba7e84c3_82">
              <w:r>
                <w:rPr>
                  <w:rStyle w:val="InternetLink"/>
                  <w:rFonts w:ascii="Arial;sans-serif" w:hAnsi="Arial;sans-serif"/>
                  <w:b w:val="false"/>
                  <w:color w:val="0000FF"/>
                  <w:sz w:val="18"/>
                  <w:u w:val="single"/>
                </w:rPr>
                <w:t>Audit Committee Policy on Pre-Approval of Audit and Permissible Non-Audit Services of Independent Registered Public Accounting Firm</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82">
              <w:r>
                <w:rPr>
                  <w:rStyle w:val="InternetLink"/>
                  <w:rFonts w:ascii="Arial;sans-serif" w:hAnsi="Arial;sans-serif"/>
                  <w:b/>
                  <w:color w:val="0000FF"/>
                  <w:sz w:val="18"/>
                  <w:u w:val="single"/>
                </w:rPr>
                <w:t>26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85">
              <w:r>
                <w:rPr>
                  <w:rStyle w:val="InternetLink"/>
                  <w:rFonts w:ascii="Arial;sans-serif" w:hAnsi="Arial;sans-serif"/>
                  <w:b w:val="false"/>
                  <w:color w:val="0000FF"/>
                  <w:sz w:val="18"/>
                  <w:u w:val="single"/>
                </w:rPr>
                <w:t>Vote Required</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85">
              <w:r>
                <w:rPr>
                  <w:rStyle w:val="InternetLink"/>
                  <w:rFonts w:ascii="Arial;sans-serif" w:hAnsi="Arial;sans-serif"/>
                  <w:b/>
                  <w:color w:val="0000FF"/>
                  <w:sz w:val="18"/>
                  <w:u w:val="single"/>
                </w:rPr>
                <w:t>26</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88">
              <w:r>
                <w:rPr>
                  <w:rStyle w:val="InternetLink"/>
                  <w:rFonts w:ascii="Arial;sans-serif" w:hAnsi="Arial;sans-serif"/>
                  <w:b w:val="false"/>
                  <w:color w:val="0000FF"/>
                  <w:sz w:val="18"/>
                  <w:u w:val="single"/>
                </w:rPr>
                <w:t>Report of the Audit Committee</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88">
              <w:r>
                <w:rPr>
                  <w:rStyle w:val="InternetLink"/>
                  <w:rFonts w:ascii="Arial;sans-serif" w:hAnsi="Arial;sans-serif"/>
                  <w:b/>
                  <w:color w:val="0000FF"/>
                  <w:sz w:val="18"/>
                  <w:u w:val="single"/>
                </w:rPr>
                <w:t>27</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91">
              <w:r>
                <w:rPr>
                  <w:rStyle w:val="InternetLink"/>
                  <w:rFonts w:ascii="Arial;sans-serif" w:hAnsi="Arial;sans-serif"/>
                  <w:b/>
                  <w:color w:val="0000FF"/>
                  <w:sz w:val="24"/>
                  <w:u w:val="single"/>
                </w:rPr>
                <w:t>PROPOSAL NO. 3—ADVISORY VOTE ON THE COMPENSATION OF OUR NAMED EXECUTIVE OFFICERS</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91">
              <w:r>
                <w:rPr>
                  <w:rStyle w:val="InternetLink"/>
                  <w:rFonts w:ascii="Arial;sans-serif" w:hAnsi="Arial;sans-serif"/>
                  <w:b/>
                  <w:color w:val="0000FF"/>
                  <w:sz w:val="24"/>
                  <w:u w:val="single"/>
                </w:rPr>
                <w:t>28</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94">
              <w:r>
                <w:rPr>
                  <w:rStyle w:val="InternetLink"/>
                  <w:rFonts w:ascii="Arial;sans-serif" w:hAnsi="Arial;sans-serif"/>
                  <w:b w:val="false"/>
                  <w:color w:val="0000FF"/>
                  <w:sz w:val="18"/>
                  <w:u w:val="single"/>
                </w:rPr>
                <w:t>Vote Required</w:t>
              </w:r>
            </w:hyperlink>
          </w:p>
        </w:tc>
        <w:tc>
          <w:tcPr>
            <w:tcW w:w="54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94">
              <w:r>
                <w:rPr>
                  <w:rStyle w:val="InternetLink"/>
                  <w:rFonts w:ascii="Arial;sans-serif" w:hAnsi="Arial;sans-serif"/>
                  <w:b/>
                  <w:color w:val="0000FF"/>
                  <w:sz w:val="18"/>
                  <w:u w:val="single"/>
                </w:rPr>
                <w:t>28</w:t>
              </w:r>
            </w:hyperlink>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TABLE OF CONTENTS (continued)</w:t>
      </w:r>
    </w:p>
    <w:tbl>
      <w:tblPr>
        <w:tblW w:w="10205" w:type="dxa"/>
        <w:jc w:val="left"/>
        <w:tblInd w:w="0" w:type="dxa"/>
        <w:tblLayout w:type="fixed"/>
        <w:tblCellMar>
          <w:top w:w="28" w:type="dxa"/>
          <w:left w:w="28" w:type="dxa"/>
          <w:bottom w:w="28" w:type="dxa"/>
          <w:right w:w="28" w:type="dxa"/>
        </w:tblCellMar>
      </w:tblPr>
      <w:tblGrid>
        <w:gridCol w:w="3522"/>
        <w:gridCol w:w="3066"/>
        <w:gridCol w:w="3075"/>
        <w:gridCol w:w="158"/>
        <w:gridCol w:w="158"/>
        <w:gridCol w:w="226"/>
      </w:tblGrid>
      <w:tr>
        <w:trPr/>
        <w:tc>
          <w:tcPr>
            <w:tcW w:w="3522"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49755815032">
              <w:r>
                <w:rPr>
                  <w:rStyle w:val="InternetLink"/>
                  <w:rFonts w:ascii="Arial;sans-serif" w:hAnsi="Arial;sans-serif"/>
                  <w:b/>
                  <w:color w:val="0000FF"/>
                  <w:sz w:val="24"/>
                  <w:u w:val="single"/>
                </w:rPr>
                <w:t xml:space="preserve">PROPOSAL NO. 4 - ADVISORY VOTE ON THE FREQUENCY OF FUTURE STOCKHOLDER ADVISORY VOTES ON THE COMPENSATION OF OUR NAMED EXECUTIVE OFFICERS </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49755815032">
              <w:r>
                <w:rPr>
                  <w:rStyle w:val="InternetLink"/>
                  <w:rFonts w:ascii="Arial;sans-serif" w:hAnsi="Arial;sans-serif"/>
                  <w:b/>
                  <w:color w:val="0000FF"/>
                  <w:sz w:val="24"/>
                  <w:u w:val="single"/>
                </w:rPr>
                <w:t>29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49755815041">
              <w:r>
                <w:rPr>
                  <w:rStyle w:val="InternetLink"/>
                  <w:rFonts w:ascii="Arial;sans-serif" w:hAnsi="Arial;sans-serif"/>
                  <w:b w:val="false"/>
                  <w:color w:val="0000FF"/>
                  <w:sz w:val="18"/>
                  <w:u w:val="single"/>
                </w:rPr>
                <w:t>Vote Required</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49755815041">
              <w:r>
                <w:rPr>
                  <w:rStyle w:val="InternetLink"/>
                  <w:rFonts w:ascii="Arial;sans-serif" w:hAnsi="Arial;sans-serif"/>
                  <w:b/>
                  <w:color w:val="0000FF"/>
                  <w:sz w:val="18"/>
                  <w:u w:val="single"/>
                </w:rPr>
                <w:t>29</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49755815052">
              <w:r>
                <w:rPr>
                  <w:rStyle w:val="InternetLink"/>
                  <w:rFonts w:ascii="Arial;sans-serif" w:hAnsi="Arial;sans-serif"/>
                  <w:b/>
                  <w:color w:val="000080"/>
                  <w:sz w:val="24"/>
                  <w:u w:val="single"/>
                </w:rPr>
                <w:t xml:space="preserve">PROPOSAL NO. </w:t>
              </w:r>
            </w:hyperlink>
            <w:hyperlink w:anchor="i1b7a119905614a2091d17006ba7e84c3_549755815052">
              <w:r>
                <w:rPr>
                  <w:rStyle w:val="InternetLink"/>
                  <w:rFonts w:ascii="Arial;sans-serif" w:hAnsi="Arial;sans-serif"/>
                  <w:b/>
                  <w:color w:val="000080"/>
                  <w:sz w:val="24"/>
                  <w:u w:val="single"/>
                </w:rPr>
                <w:t>5</w:t>
              </w:r>
            </w:hyperlink>
            <w:hyperlink w:anchor="i1b7a119905614a2091d17006ba7e84c3_549755815052">
              <w:r>
                <w:rPr>
                  <w:rStyle w:val="InternetLink"/>
                  <w:rFonts w:ascii="Arial;sans-serif" w:hAnsi="Arial;sans-serif"/>
                  <w:b/>
                  <w:color w:val="000080"/>
                  <w:sz w:val="24"/>
                  <w:u w:val="single"/>
                </w:rPr>
                <w:t xml:space="preserve"> </w:t>
              </w:r>
            </w:hyperlink>
            <w:hyperlink w:anchor="i1b7a119905614a2091d17006ba7e84c3_549755815052">
              <w:r>
                <w:rPr>
                  <w:rStyle w:val="InternetLink"/>
                  <w:rFonts w:ascii="Arial;sans-serif" w:hAnsi="Arial;sans-serif"/>
                  <w:b/>
                  <w:color w:val="000080"/>
                  <w:sz w:val="24"/>
                  <w:u w:val="single"/>
                </w:rPr>
                <w:t>- STOCKHOLDER PROPOSAL TO IMPOSE VESTING PROVISIONS ON OUR CLASS B COMMON STOCK</w:t>
              </w:r>
            </w:hyperlink>
            <w:hyperlink w:anchor="i1b7a119905614a2091d17006ba7e84c3_549755815052">
              <w:r>
                <w:rPr>
                  <w:rStyle w:val="InternetLink"/>
                  <w:rFonts w:ascii="Arial;sans-serif" w:hAnsi="Arial;sans-serif"/>
                  <w:b/>
                  <w:color w:val="000080"/>
                  <w:sz w:val="24"/>
                  <w:u w:val="single"/>
                </w:rPr>
                <w:t xml:space="preserve"> </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49755815052">
              <w:r>
                <w:rPr>
                  <w:rStyle w:val="InternetLink"/>
                  <w:rFonts w:ascii="Arial;sans-serif" w:hAnsi="Arial;sans-serif"/>
                  <w:b/>
                  <w:color w:val="0000FF"/>
                  <w:sz w:val="24"/>
                  <w:u w:val="single"/>
                </w:rPr>
                <w:t>30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549755815061">
              <w:r>
                <w:rPr>
                  <w:rStyle w:val="InternetLink"/>
                  <w:rFonts w:ascii="Arial;sans-serif" w:hAnsi="Arial;sans-serif"/>
                  <w:b w:val="false"/>
                  <w:color w:val="0000FF"/>
                  <w:sz w:val="18"/>
                  <w:u w:val="single"/>
                </w:rPr>
                <w:t>Vote Required</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549755815061">
              <w:r>
                <w:rPr>
                  <w:rStyle w:val="InternetLink"/>
                  <w:rFonts w:ascii="Arial;sans-serif" w:hAnsi="Arial;sans-serif"/>
                  <w:b/>
                  <w:color w:val="0000FF"/>
                  <w:sz w:val="18"/>
                  <w:u w:val="single"/>
                </w:rPr>
                <w:t>30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97">
              <w:r>
                <w:rPr>
                  <w:rStyle w:val="InternetLink"/>
                  <w:rFonts w:ascii="Arial;sans-serif" w:hAnsi="Arial;sans-serif"/>
                  <w:b/>
                  <w:color w:val="0000FF"/>
                  <w:sz w:val="24"/>
                  <w:u w:val="single"/>
                </w:rPr>
                <w:t>EXECUTIVE OFFICERS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97">
              <w:r>
                <w:rPr>
                  <w:rStyle w:val="InternetLink"/>
                  <w:rFonts w:ascii="Arial;sans-serif" w:hAnsi="Arial;sans-serif"/>
                  <w:b/>
                  <w:color w:val="0000FF"/>
                  <w:sz w:val="24"/>
                  <w:u w:val="single"/>
                </w:rPr>
                <w:t>32</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00">
              <w:r>
                <w:rPr>
                  <w:rStyle w:val="InternetLink"/>
                  <w:rFonts w:ascii="Arial;sans-serif" w:hAnsi="Arial;sans-serif"/>
                  <w:b/>
                  <w:color w:val="0000FF"/>
                  <w:sz w:val="24"/>
                  <w:u w:val="single"/>
                </w:rPr>
                <w:t>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00">
              <w:r>
                <w:rPr>
                  <w:rStyle w:val="InternetLink"/>
                  <w:rFonts w:ascii="Arial;sans-serif" w:hAnsi="Arial;sans-serif"/>
                  <w:b/>
                  <w:color w:val="0000FF"/>
                  <w:sz w:val="24"/>
                  <w:u w:val="single"/>
                </w:rPr>
                <w:t>34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03">
              <w:r>
                <w:rPr>
                  <w:rStyle w:val="InternetLink"/>
                  <w:rFonts w:ascii="Arial;sans-serif" w:hAnsi="Arial;sans-serif"/>
                  <w:b w:val="false"/>
                  <w:color w:val="0000FF"/>
                  <w:sz w:val="18"/>
                  <w:u w:val="single"/>
                </w:rPr>
                <w:t>Compensation Discussion and Analysis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03">
              <w:r>
                <w:rPr>
                  <w:rStyle w:val="InternetLink"/>
                  <w:rFonts w:ascii="Arial;sans-serif" w:hAnsi="Arial;sans-serif"/>
                  <w:b/>
                  <w:color w:val="0000FF"/>
                  <w:sz w:val="18"/>
                  <w:u w:val="single"/>
                </w:rPr>
                <w:t>34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06">
              <w:r>
                <w:rPr>
                  <w:rStyle w:val="InternetLink"/>
                  <w:rFonts w:ascii="Arial;sans-serif" w:hAnsi="Arial;sans-serif"/>
                  <w:b w:val="false"/>
                  <w:color w:val="0000FF"/>
                  <w:sz w:val="18"/>
                  <w:u w:val="single"/>
                </w:rPr>
                <w:t>Executive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06">
              <w:r>
                <w:rPr>
                  <w:rStyle w:val="InternetLink"/>
                  <w:rFonts w:ascii="Arial;sans-serif" w:hAnsi="Arial;sans-serif"/>
                  <w:b/>
                  <w:color w:val="0000FF"/>
                  <w:sz w:val="18"/>
                  <w:u w:val="single"/>
                </w:rPr>
                <w:t>34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09">
              <w:r>
                <w:rPr>
                  <w:rStyle w:val="InternetLink"/>
                  <w:rFonts w:ascii="Arial;sans-serif" w:hAnsi="Arial;sans-serif"/>
                  <w:b w:val="false"/>
                  <w:color w:val="0000FF"/>
                  <w:sz w:val="18"/>
                  <w:u w:val="single"/>
                </w:rPr>
                <w:t>Executive Compensation Philosophy and Objectives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09">
              <w:r>
                <w:rPr>
                  <w:rStyle w:val="InternetLink"/>
                  <w:rFonts w:ascii="Arial;sans-serif" w:hAnsi="Arial;sans-serif"/>
                  <w:b/>
                  <w:color w:val="0000FF"/>
                  <w:sz w:val="18"/>
                  <w:u w:val="single"/>
                </w:rPr>
                <w:t>32</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12">
              <w:r>
                <w:rPr>
                  <w:rStyle w:val="InternetLink"/>
                  <w:rFonts w:ascii="Arial;sans-serif" w:hAnsi="Arial;sans-serif"/>
                  <w:b w:val="false"/>
                  <w:color w:val="0000FF"/>
                  <w:sz w:val="18"/>
                  <w:u w:val="single"/>
                </w:rPr>
                <w:t>Compensation-Setting Process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12">
              <w:r>
                <w:rPr>
                  <w:rStyle w:val="InternetLink"/>
                  <w:rFonts w:ascii="Arial;sans-serif" w:hAnsi="Arial;sans-serif"/>
                  <w:b/>
                  <w:color w:val="0000FF"/>
                  <w:sz w:val="18"/>
                  <w:u w:val="single"/>
                </w:rPr>
                <w:t>37</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15">
              <w:r>
                <w:rPr>
                  <w:rStyle w:val="InternetLink"/>
                  <w:rFonts w:ascii="Arial;sans-serif" w:hAnsi="Arial;sans-serif"/>
                  <w:b w:val="false"/>
                  <w:color w:val="0000FF"/>
                  <w:sz w:val="18"/>
                  <w:u w:val="single"/>
                </w:rPr>
                <w:t>Compensation Elements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15">
              <w:r>
                <w:rPr>
                  <w:rStyle w:val="InternetLink"/>
                  <w:rFonts w:ascii="Arial;sans-serif" w:hAnsi="Arial;sans-serif"/>
                  <w:b/>
                  <w:color w:val="0000FF"/>
                  <w:sz w:val="18"/>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18">
              <w:r>
                <w:rPr>
                  <w:rStyle w:val="InternetLink"/>
                  <w:rFonts w:ascii="Arial;sans-serif" w:hAnsi="Arial;sans-serif"/>
                  <w:b w:val="false"/>
                  <w:color w:val="0000FF"/>
                  <w:sz w:val="18"/>
                  <w:u w:val="single"/>
                </w:rPr>
                <w:t>Employment Arrangements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18">
              <w:r>
                <w:rPr>
                  <w:rStyle w:val="InternetLink"/>
                  <w:rFonts w:ascii="Arial;sans-serif" w:hAnsi="Arial;sans-serif"/>
                  <w:b/>
                  <w:color w:val="0000FF"/>
                  <w:sz w:val="18"/>
                  <w:u w:val="single"/>
                </w:rPr>
                <w:t>47</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21">
              <w:r>
                <w:rPr>
                  <w:rStyle w:val="InternetLink"/>
                  <w:rFonts w:ascii="Arial;sans-serif" w:hAnsi="Arial;sans-serif"/>
                  <w:b w:val="false"/>
                  <w:color w:val="0000FF"/>
                  <w:sz w:val="18"/>
                  <w:u w:val="single"/>
                </w:rPr>
                <w:t>Post-Employment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21">
              <w:r>
                <w:rPr>
                  <w:rStyle w:val="InternetLink"/>
                  <w:rFonts w:ascii="Arial;sans-serif" w:hAnsi="Arial;sans-serif"/>
                  <w:b/>
                  <w:color w:val="0000FF"/>
                  <w:sz w:val="18"/>
                  <w:u w:val="single"/>
                </w:rPr>
                <w:t>47</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24">
              <w:r>
                <w:rPr>
                  <w:rStyle w:val="InternetLink"/>
                  <w:rFonts w:ascii="Arial;sans-serif" w:hAnsi="Arial;sans-serif"/>
                  <w:b w:val="false"/>
                  <w:color w:val="0000FF"/>
                  <w:sz w:val="18"/>
                  <w:u w:val="single"/>
                </w:rPr>
                <w:t>Tax and Accounting Considerations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24">
              <w:r>
                <w:rPr>
                  <w:rStyle w:val="InternetLink"/>
                  <w:rFonts w:ascii="Arial;sans-serif" w:hAnsi="Arial;sans-serif"/>
                  <w:b/>
                  <w:color w:val="0000FF"/>
                  <w:sz w:val="18"/>
                  <w:u w:val="single"/>
                </w:rPr>
                <w:t>48</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27">
              <w:r>
                <w:rPr>
                  <w:rStyle w:val="InternetLink"/>
                  <w:rFonts w:ascii="Arial;sans-serif" w:hAnsi="Arial;sans-serif"/>
                  <w:b w:val="false"/>
                  <w:color w:val="0000FF"/>
                  <w:sz w:val="18"/>
                  <w:u w:val="single"/>
                </w:rPr>
                <w:t>Report of the Compensation Committee</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27">
              <w:r>
                <w:rPr>
                  <w:rStyle w:val="InternetLink"/>
                  <w:rFonts w:ascii="Arial;sans-serif" w:hAnsi="Arial;sans-serif"/>
                  <w:b/>
                  <w:color w:val="0000FF"/>
                  <w:sz w:val="18"/>
                  <w:u w:val="single"/>
                </w:rPr>
                <w:t>50</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30">
              <w:r>
                <w:rPr>
                  <w:rStyle w:val="InternetLink"/>
                  <w:rFonts w:ascii="Arial;sans-serif" w:hAnsi="Arial;sans-serif"/>
                  <w:b w:val="false"/>
                  <w:color w:val="0000FF"/>
                  <w:sz w:val="18"/>
                  <w:u w:val="single"/>
                </w:rPr>
                <w:t>Compensation Risk Assessment</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30">
              <w:r>
                <w:rPr>
                  <w:rStyle w:val="InternetLink"/>
                  <w:rFonts w:ascii="Arial;sans-serif" w:hAnsi="Arial;sans-serif"/>
                  <w:b/>
                  <w:color w:val="0000FF"/>
                  <w:sz w:val="18"/>
                  <w:u w:val="singl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33">
              <w:r>
                <w:rPr>
                  <w:rStyle w:val="InternetLink"/>
                  <w:rFonts w:ascii="Arial;sans-serif" w:hAnsi="Arial;sans-serif"/>
                  <w:b w:val="false"/>
                  <w:color w:val="0000FF"/>
                  <w:sz w:val="18"/>
                  <w:u w:val="single"/>
                </w:rPr>
                <w:t>Summary Compensation Table for Fiscal Year 2024</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33">
              <w:r>
                <w:rPr>
                  <w:rStyle w:val="InternetLink"/>
                  <w:rFonts w:ascii="Arial;sans-serif" w:hAnsi="Arial;sans-serif"/>
                  <w:b/>
                  <w:color w:val="0000FF"/>
                  <w:sz w:val="18"/>
                  <w:u w:val="single"/>
                </w:rPr>
                <w:t>52</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36">
              <w:r>
                <w:rPr>
                  <w:rStyle w:val="InternetLink"/>
                  <w:rFonts w:ascii="Arial;sans-serif" w:hAnsi="Arial;sans-serif"/>
                  <w:b w:val="false"/>
                  <w:color w:val="0000FF"/>
                  <w:sz w:val="18"/>
                  <w:u w:val="single"/>
                </w:rPr>
                <w:t>Grants of Plan-Based Awards in 2024</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36">
              <w:r>
                <w:rPr>
                  <w:rStyle w:val="InternetLink"/>
                  <w:rFonts w:ascii="Arial;sans-serif" w:hAnsi="Arial;sans-serif"/>
                  <w:b/>
                  <w:color w:val="0000FF"/>
                  <w:sz w:val="18"/>
                  <w:u w:val="single"/>
                </w:rPr>
                <w:t>53</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39">
              <w:r>
                <w:rPr>
                  <w:rStyle w:val="InternetLink"/>
                  <w:rFonts w:ascii="Arial;sans-serif" w:hAnsi="Arial;sans-serif"/>
                  <w:b w:val="false"/>
                  <w:color w:val="0000FF"/>
                  <w:sz w:val="18"/>
                  <w:u w:val="single"/>
                </w:rPr>
                <w:t>Outstanding Equity Awards at 2024 Year-End</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39">
              <w:r>
                <w:rPr>
                  <w:rStyle w:val="InternetLink"/>
                  <w:rFonts w:ascii="Arial;sans-serif" w:hAnsi="Arial;sans-serif"/>
                  <w:b/>
                  <w:color w:val="0000FF"/>
                  <w:sz w:val="18"/>
                  <w:u w:val="single"/>
                </w:rPr>
                <w:t>54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42">
              <w:r>
                <w:rPr>
                  <w:rStyle w:val="InternetLink"/>
                  <w:rFonts w:ascii="Arial;sans-serif" w:hAnsi="Arial;sans-serif"/>
                  <w:b w:val="false"/>
                  <w:color w:val="0000FF"/>
                  <w:sz w:val="18"/>
                  <w:u w:val="single"/>
                </w:rPr>
                <w:t>Co-Founder Grant</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42">
              <w:r>
                <w:rPr>
                  <w:rStyle w:val="InternetLink"/>
                  <w:rFonts w:ascii="Arial;sans-serif" w:hAnsi="Arial;sans-serif"/>
                  <w:b/>
                  <w:color w:val="0000FF"/>
                  <w:sz w:val="18"/>
                  <w:u w:val="single"/>
                </w:rPr>
                <w:t>54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45">
              <w:r>
                <w:rPr>
                  <w:rStyle w:val="InternetLink"/>
                  <w:rFonts w:ascii="Arial;sans-serif" w:hAnsi="Arial;sans-serif"/>
                  <w:b w:val="false"/>
                  <w:color w:val="0000FF"/>
                  <w:sz w:val="18"/>
                  <w:u w:val="single"/>
                </w:rPr>
                <w:t>Option Exercises and Stock Vested in 2024</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45">
              <w:r>
                <w:rPr>
                  <w:rStyle w:val="InternetLink"/>
                  <w:rFonts w:ascii="Arial;sans-serif" w:hAnsi="Arial;sans-serif"/>
                  <w:b/>
                  <w:color w:val="0000FF"/>
                  <w:sz w:val="18"/>
                  <w:u w:val="single"/>
                </w:rPr>
                <w:t>54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48">
              <w:r>
                <w:rPr>
                  <w:rStyle w:val="InternetLink"/>
                  <w:rFonts w:ascii="Arial;sans-serif" w:hAnsi="Arial;sans-serif"/>
                  <w:b w:val="false"/>
                  <w:color w:val="0000FF"/>
                  <w:sz w:val="18"/>
                  <w:u w:val="single"/>
                </w:rPr>
                <w:t>Potential Payments on Termination or Change in Control</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48">
              <w:r>
                <w:rPr>
                  <w:rStyle w:val="InternetLink"/>
                  <w:rFonts w:ascii="Arial;sans-serif" w:hAnsi="Arial;sans-serif"/>
                  <w:b/>
                  <w:color w:val="0000FF"/>
                  <w:sz w:val="18"/>
                  <w:u w:val="single"/>
                </w:rPr>
                <w:t>55</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51">
              <w:r>
                <w:rPr>
                  <w:rStyle w:val="InternetLink"/>
                  <w:rFonts w:ascii="Arial;sans-serif" w:hAnsi="Arial;sans-serif"/>
                  <w:b w:val="false"/>
                  <w:color w:val="0000FF"/>
                  <w:sz w:val="18"/>
                  <w:u w:val="single"/>
                </w:rPr>
                <w:t>CEO Pay Ratio</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51">
              <w:r>
                <w:rPr>
                  <w:rStyle w:val="InternetLink"/>
                  <w:rFonts w:ascii="Arial;sans-serif" w:hAnsi="Arial;sans-serif"/>
                  <w:b/>
                  <w:color w:val="0000FF"/>
                  <w:sz w:val="18"/>
                  <w:u w:val="single"/>
                </w:rPr>
                <w:t>57</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54">
              <w:r>
                <w:rPr>
                  <w:rStyle w:val="InternetLink"/>
                  <w:rFonts w:ascii="Arial;sans-serif" w:hAnsi="Arial;sans-serif"/>
                  <w:b w:val="false"/>
                  <w:color w:val="0000FF"/>
                  <w:sz w:val="18"/>
                  <w:u w:val="single"/>
                </w:rPr>
                <w:t>Pay Versus Performance</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54">
              <w:r>
                <w:rPr>
                  <w:rStyle w:val="InternetLink"/>
                  <w:rFonts w:ascii="Arial;sans-serif" w:hAnsi="Arial;sans-serif"/>
                  <w:b/>
                  <w:color w:val="0000FF"/>
                  <w:sz w:val="18"/>
                  <w:u w:val="single"/>
                </w:rPr>
                <w:t>58</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57">
              <w:r>
                <w:rPr>
                  <w:rStyle w:val="InternetLink"/>
                  <w:rFonts w:ascii="Arial;sans-serif" w:hAnsi="Arial;sans-serif"/>
                  <w:b/>
                  <w:color w:val="0000FF"/>
                  <w:sz w:val="24"/>
                  <w:u w:val="single"/>
                </w:rPr>
                <w:t>EQUITY COMPENSATION PLAN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57">
              <w:r>
                <w:rPr>
                  <w:rStyle w:val="InternetLink"/>
                  <w:rFonts w:ascii="Arial;sans-serif" w:hAnsi="Arial;sans-serif"/>
                  <w:b/>
                  <w:color w:val="0000FF"/>
                  <w:sz w:val="24"/>
                  <w:u w:val="single"/>
                </w:rPr>
                <w:t>63</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60">
              <w:r>
                <w:rPr>
                  <w:rStyle w:val="InternetLink"/>
                  <w:rFonts w:ascii="Arial;sans-serif" w:hAnsi="Arial;sans-serif"/>
                  <w:b/>
                  <w:color w:val="0000FF"/>
                  <w:sz w:val="24"/>
                  <w:u w:val="single"/>
                </w:rPr>
                <w:t>SECURITY OWNERSHIP OF CERTAIN BENEFICIAL OWNERS AND MANAGEMENT</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60">
              <w:r>
                <w:rPr>
                  <w:rStyle w:val="InternetLink"/>
                  <w:rFonts w:ascii="Arial;sans-serif" w:hAnsi="Arial;sans-serif"/>
                  <w:b/>
                  <w:color w:val="0000FF"/>
                  <w:sz w:val="24"/>
                  <w:u w:val="single"/>
                </w:rPr>
                <w:t>64</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63">
              <w:r>
                <w:rPr>
                  <w:rStyle w:val="InternetLink"/>
                  <w:rFonts w:ascii="Arial;sans-serif" w:hAnsi="Arial;sans-serif"/>
                  <w:b/>
                  <w:color w:val="0000FF"/>
                  <w:sz w:val="24"/>
                  <w:u w:val="single"/>
                </w:rPr>
                <w:t>CERTAIN RELATIONSHIPS, RELATED PARTY AND OTHER TRANSACTIONS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63">
              <w:r>
                <w:rPr>
                  <w:rStyle w:val="InternetLink"/>
                  <w:rFonts w:ascii="Arial;sans-serif" w:hAnsi="Arial;sans-serif"/>
                  <w:b/>
                  <w:color w:val="0000FF"/>
                  <w:sz w:val="24"/>
                  <w:u w:val="single"/>
                </w:rPr>
                <w:t>66</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66">
              <w:r>
                <w:rPr>
                  <w:rStyle w:val="InternetLink"/>
                  <w:rFonts w:ascii="Arial;sans-serif" w:hAnsi="Arial;sans-serif"/>
                  <w:b w:val="false"/>
                  <w:color w:val="0000FF"/>
                  <w:sz w:val="18"/>
                  <w:u w:val="single"/>
                </w:rPr>
                <w:t>Policies and Procedures for Related Person Transactions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66">
              <w:r>
                <w:rPr>
                  <w:rStyle w:val="InternetLink"/>
                  <w:rFonts w:ascii="Arial;sans-serif" w:hAnsi="Arial;sans-serif"/>
                  <w:b/>
                  <w:color w:val="0000FF"/>
                  <w:sz w:val="18"/>
                  <w:u w:val="single"/>
                </w:rPr>
                <w:t>66</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69">
              <w:r>
                <w:rPr>
                  <w:rStyle w:val="InternetLink"/>
                  <w:rFonts w:ascii="Arial;sans-serif" w:hAnsi="Arial;sans-serif"/>
                  <w:b/>
                  <w:color w:val="0000FF"/>
                  <w:sz w:val="24"/>
                  <w:u w:val="single"/>
                </w:rPr>
                <w:t>OTHER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69">
              <w:r>
                <w:rPr>
                  <w:rStyle w:val="InternetLink"/>
                  <w:rFonts w:ascii="Arial;sans-serif" w:hAnsi="Arial;sans-serif"/>
                  <w:b/>
                  <w:color w:val="0000FF"/>
                  <w:sz w:val="24"/>
                  <w:u w:val="single"/>
                </w:rPr>
                <w:t>67</w:t>
              </w:r>
            </w:hyperlink>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TABLE OF CONTENTS (continued)</w:t>
      </w:r>
    </w:p>
    <w:tbl>
      <w:tblPr>
        <w:tblW w:w="6855" w:type="dxa"/>
        <w:jc w:val="left"/>
        <w:tblInd w:w="0" w:type="dxa"/>
        <w:tblLayout w:type="fixed"/>
        <w:tblCellMar>
          <w:top w:w="28" w:type="dxa"/>
          <w:left w:w="28" w:type="dxa"/>
          <w:bottom w:w="28" w:type="dxa"/>
          <w:right w:w="28" w:type="dxa"/>
        </w:tblCellMar>
      </w:tblPr>
      <w:tblGrid>
        <w:gridCol w:w="2285"/>
        <w:gridCol w:w="2012"/>
        <w:gridCol w:w="2017"/>
        <w:gridCol w:w="158"/>
        <w:gridCol w:w="158"/>
        <w:gridCol w:w="225"/>
      </w:tblGrid>
      <w:tr>
        <w:trPr/>
        <w:tc>
          <w:tcPr>
            <w:tcW w:w="228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72">
              <w:r>
                <w:rPr>
                  <w:rStyle w:val="InternetLink"/>
                  <w:rFonts w:ascii="Arial;sans-serif" w:hAnsi="Arial;sans-serif"/>
                  <w:b w:val="false"/>
                  <w:color w:val="0000FF"/>
                  <w:sz w:val="18"/>
                  <w:u w:val="single"/>
                </w:rPr>
                <w:t>Section 16(a) Beneficial Ownership Reporting Compliance</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72">
              <w:r>
                <w:rPr>
                  <w:rStyle w:val="InternetLink"/>
                  <w:rFonts w:ascii="Arial;sans-serif" w:hAnsi="Arial;sans-serif"/>
                  <w:b/>
                  <w:color w:val="0000FF"/>
                  <w:sz w:val="18"/>
                  <w:u w:val="single"/>
                </w:rPr>
                <w:t>67</w:t>
              </w:r>
            </w:hyperlink>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75">
              <w:r>
                <w:rPr>
                  <w:rStyle w:val="InternetLink"/>
                  <w:rFonts w:ascii="Arial;sans-serif" w:hAnsi="Arial;sans-serif"/>
                  <w:b w:val="false"/>
                  <w:color w:val="0000FF"/>
                  <w:sz w:val="18"/>
                  <w:u w:val="single"/>
                </w:rPr>
                <w:t>Fiscal Year 2024 Annual Report and SEC Filings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1b7a119905614a2091d17006ba7e84c3_175">
              <w:r>
                <w:rPr>
                  <w:rStyle w:val="InternetLink"/>
                  <w:rFonts w:ascii="Arial;sans-serif" w:hAnsi="Arial;sans-serif"/>
                  <w:b/>
                  <w:color w:val="0000FF"/>
                  <w:sz w:val="18"/>
                  <w:u w:val="single"/>
                </w:rPr>
                <w:t>67</w:t>
              </w:r>
            </w:hyperlink>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78">
              <w:r>
                <w:rPr>
                  <w:rStyle w:val="InternetLink"/>
                  <w:rFonts w:ascii="Arial;sans-serif" w:hAnsi="Arial;sans-serif"/>
                  <w:b/>
                  <w:color w:val="0000FF"/>
                  <w:sz w:val="24"/>
                  <w:u w:val="single"/>
                </w:rPr>
                <w:t>APPENDIX A</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color w:val="0000FF"/>
                <w:sz w:val="24"/>
                <w:u w:val="single"/>
              </w:rPr>
              <w:t>A-</w:t>
            </w:r>
            <w:hyperlink w:anchor="i1b7a119905614a2091d17006ba7e84c3_178">
              <w:r>
                <w:rPr>
                  <w:rStyle w:val="InternetLink"/>
                  <w:rFonts w:ascii="Arial;sans-serif" w:hAnsi="Arial;sans-serif"/>
                  <w:b/>
                  <w:color w:val="000080"/>
                  <w:sz w:val="24"/>
                  <w:u w:val="single"/>
                </w:rPr>
                <w:t>1</w:t>
              </w:r>
            </w:hyperlink>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1b7a119905614a2091d17006ba7e84c3_181">
              <w:r>
                <w:rPr>
                  <w:rStyle w:val="InternetLink"/>
                  <w:rFonts w:ascii="Arial;sans-serif" w:hAnsi="Arial;sans-serif"/>
                  <w:b w:val="false"/>
                  <w:color w:val="0000FF"/>
                  <w:sz w:val="18"/>
                  <w:u w:val="single"/>
                </w:rPr>
                <w:t>Reconciliation of GAAP financial measures to non-GAAP financial measures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Arial;sans-serif" w:hAnsi="Arial;sans-serif"/>
                <w:b/>
                <w:color w:val="0000FF"/>
                <w:sz w:val="18"/>
                <w:u w:val="single"/>
              </w:rPr>
              <w:t>A-</w:t>
            </w:r>
            <w:hyperlink w:anchor="i1b7a119905614a2091d17006ba7e84c3_181">
              <w:r>
                <w:rPr>
                  <w:rStyle w:val="InternetLink"/>
                  <w:rFonts w:ascii="Arial;sans-serif" w:hAnsi="Arial;sans-serif"/>
                  <w:b/>
                  <w:color w:val="000080"/>
                  <w:sz w:val="18"/>
                  <w:u w:val="singl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0" w:after="0"/>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GENERAL INFORMATION</w:t>
      </w:r>
    </w:p>
    <w:p>
      <w:pPr>
        <w:pStyle w:val="TextBody"/>
        <w:bidi w:val="0"/>
        <w:spacing w:lineRule="auto" w:line="276" w:before="400" w:after="283"/>
        <w:jc w:val="center"/>
        <w:rPr>
          <w:rFonts w:ascii="Arial;sans-serif" w:hAnsi="Arial;sans-serif"/>
          <w:b w:val="false"/>
          <w:color w:val="0063A6"/>
          <w:sz w:val="29"/>
          <w:shd w:fill="FFFFFF" w:val="clear"/>
        </w:rPr>
      </w:pPr>
      <w:r>
        <w:rPr>
          <w:rFonts w:ascii="Arial;sans-serif" w:hAnsi="Arial;sans-serif"/>
          <w:b w:val="false"/>
          <w:color w:val="0063A6"/>
          <w:sz w:val="29"/>
          <w:shd w:fill="FFFFFF" w:val="clear"/>
        </w:rPr>
        <w:t>DROPBOX, INC.</w:t>
      </w:r>
    </w:p>
    <w:p>
      <w:pPr>
        <w:pStyle w:val="TextBody"/>
        <w:bidi w:val="0"/>
        <w:spacing w:lineRule="auto" w:line="276" w:before="400" w:after="283"/>
        <w:jc w:val="center"/>
        <w:rPr>
          <w:rFonts w:ascii="Arial;sans-serif" w:hAnsi="Arial;sans-serif"/>
          <w:b w:val="false"/>
          <w:color w:val="0063A6"/>
          <w:sz w:val="29"/>
          <w:shd w:fill="FFFFFF" w:val="clear"/>
        </w:rPr>
      </w:pPr>
      <w:r>
        <w:rPr>
          <w:rFonts w:ascii="Arial;sans-serif" w:hAnsi="Arial;sans-serif"/>
          <w:b w:val="false"/>
          <w:color w:val="0063A6"/>
          <w:sz w:val="29"/>
          <w:shd w:fill="FFFFFF" w:val="clear"/>
        </w:rPr>
        <w:t>PROXY STATEMENT</w:t>
      </w:r>
    </w:p>
    <w:p>
      <w:pPr>
        <w:pStyle w:val="TextBody"/>
        <w:bidi w:val="0"/>
        <w:spacing w:lineRule="auto" w:line="276" w:before="120" w:after="283"/>
        <w:jc w:val="center"/>
        <w:rPr>
          <w:rFonts w:ascii="Arial;sans-serif" w:hAnsi="Arial;sans-serif"/>
          <w:b w:val="false"/>
          <w:color w:val="0063A6"/>
          <w:sz w:val="29"/>
          <w:shd w:fill="FFFFFF" w:val="clear"/>
        </w:rPr>
      </w:pPr>
      <w:r>
        <w:rPr>
          <w:rFonts w:ascii="Arial;sans-serif" w:hAnsi="Arial;sans-serif"/>
          <w:b w:val="false"/>
          <w:color w:val="0063A6"/>
          <w:sz w:val="29"/>
          <w:shd w:fill="FFFFFF" w:val="clear"/>
        </w:rPr>
        <w:t>FOR THE 2025 ANNUAL MEETING OF STOCKHOLDERS</w:t>
      </w:r>
    </w:p>
    <w:p>
      <w:pPr>
        <w:pStyle w:val="TextBody"/>
        <w:bidi w:val="0"/>
        <w:spacing w:lineRule="auto" w:line="276" w:before="120" w:after="283"/>
        <w:jc w:val="center"/>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to be held at 9:00 am Pacific Time on Thursday, </w:t>
      </w:r>
    </w:p>
    <w:p>
      <w:pPr>
        <w:pStyle w:val="TextBody"/>
        <w:bidi w:val="0"/>
        <w:spacing w:lineRule="auto" w:line="276" w:before="120" w:after="283"/>
        <w:jc w:val="center"/>
        <w:rPr>
          <w:rFonts w:ascii="Arial;sans-serif" w:hAnsi="Arial;sans-serif"/>
          <w:b w:val="false"/>
          <w:color w:val="0063A6"/>
          <w:sz w:val="29"/>
          <w:shd w:fill="FFFFFF" w:val="clear"/>
        </w:rPr>
      </w:pPr>
      <w:r>
        <w:rPr>
          <w:rFonts w:ascii="Arial;sans-serif" w:hAnsi="Arial;sans-serif"/>
          <w:b w:val="false"/>
          <w:color w:val="0063A6"/>
          <w:sz w:val="29"/>
          <w:shd w:fill="FFFFFF" w:val="clear"/>
        </w:rPr>
        <w:t>May 15, 2025</w:t>
      </w:r>
    </w:p>
    <w:p>
      <w:pPr>
        <w:pStyle w:val="TextBody"/>
        <w:bidi w:val="0"/>
        <w:spacing w:lineRule="auto" w:line="276" w:before="180" w:after="283"/>
        <w:jc w:val="left"/>
        <w:rPr/>
      </w:pPr>
      <w:r>
        <w:rPr>
          <w:rFonts w:ascii="Arial;sans-serif" w:hAnsi="Arial;sans-serif"/>
          <w:b w:val="false"/>
          <w:color w:val="000000"/>
          <w:sz w:val="18"/>
          <w:shd w:fill="FFFFFF" w:val="clear"/>
        </w:rPr>
        <w:t>This proxy statement and the enclosed form of proxy are furnished in connection with the solicitation of proxies by our board of directors for use at the 2025 annual meeting of stockholders of Dropbox, Inc., a Nevada corporation, and any postponements, adjournments or continuations thereof (the “</w:t>
      </w:r>
      <w:r>
        <w:rPr>
          <w:rFonts w:ascii="Arial;sans-serif" w:hAnsi="Arial;sans-serif"/>
          <w:b/>
          <w:i/>
          <w:color w:val="000000"/>
          <w:sz w:val="18"/>
          <w:shd w:fill="FFFFFF" w:val="clear"/>
        </w:rPr>
        <w:t>Annual Meeting</w:t>
      </w:r>
      <w:r>
        <w:rPr>
          <w:color w:val="000000"/>
          <w:shd w:fill="FFFFFF" w:val="clear"/>
        </w:rPr>
        <w:t>”</w:t>
      </w:r>
      <w:r>
        <w:rPr>
          <w:rFonts w:ascii="Arial;sans-serif" w:hAnsi="Arial;sans-serif"/>
          <w:b w:val="false"/>
          <w:color w:val="000000"/>
          <w:sz w:val="18"/>
          <w:shd w:fill="FFFFFF" w:val="clear"/>
        </w:rPr>
        <w:t>). The Annual Meeting will be held on Thursday, May 15, 2025 at 9:00 am Pacific Time. The Annual Meeting will be conducted virtually via live audio webcast. You will be able to attend the Annual Meeting virtually by visiting www.virtualshareholdermeeting.com/DBX2025, where you will be able to listen to the meeting live, submit questions and vote online. Our proxy statement and 2024 annual report is first being mailed on or about April 15, 2025 to all stockholders entitled to vote at the Annual Meeting.</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What matters am I voting on?</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You are being asked to vote on:</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the election of eight directors to serve until the next annual meeting of stockholders or until their successors are duly elected and qualified;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a proposal to ratify the appointment of Ernst &amp; Young LLP as our independent registered public accounting firm for our fiscal year ending December 31, 2025;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a proposal to approve, on an advisory basis, the compensation of our named executive officers; </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a proposal to approve, on an advisory basis, the frequency of future stockholder advisory votes on the compensation of our named executive officers;</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a stockholder proposal to impose vesting provisions on our Class B common stock; and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any other business as may properly come before the Annual Meeting.</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How does the board of directors recommend I vote on these proposals?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recommends a vote:</w:t>
      </w:r>
    </w:p>
    <w:p>
      <w:pPr>
        <w:pStyle w:val="TextBody"/>
        <w:bidi w:val="0"/>
        <w:spacing w:lineRule="auto" w:line="276" w:before="180" w:after="283"/>
        <w:ind w:left="0" w:right="0" w:hanging="360"/>
        <w:jc w:val="left"/>
        <w:rPr/>
      </w:pPr>
      <w:r>
        <w:rPr>
          <w:color w:val="0063A6"/>
        </w:rPr>
        <w:t>•</w:t>
      </w:r>
      <w:r>
        <w:rPr>
          <w:color w:val="000000"/>
          <w:shd w:fill="FFFFFF" w:val="clear"/>
        </w:rPr>
        <w:t>“</w:t>
      </w:r>
      <w:r>
        <w:rPr>
          <w:rFonts w:ascii="Arial;sans-serif" w:hAnsi="Arial;sans-serif"/>
          <w:b w:val="false"/>
          <w:color w:val="000000"/>
          <w:sz w:val="18"/>
          <w:shd w:fill="FFFFFF" w:val="clear"/>
        </w:rPr>
        <w:t xml:space="preserve">FOR” the election of each director nominee named in this proxy statement; </w:t>
      </w:r>
    </w:p>
    <w:p>
      <w:pPr>
        <w:pStyle w:val="TextBody"/>
        <w:bidi w:val="0"/>
        <w:spacing w:lineRule="auto" w:line="276" w:before="180" w:after="283"/>
        <w:ind w:left="0" w:right="0" w:hanging="360"/>
        <w:jc w:val="left"/>
        <w:rPr/>
      </w:pPr>
      <w:r>
        <w:rPr>
          <w:color w:val="0063A6"/>
        </w:rPr>
        <w:t>•</w:t>
      </w:r>
      <w:r>
        <w:rPr>
          <w:color w:val="000000"/>
          <w:shd w:fill="FFFFFF" w:val="clear"/>
        </w:rPr>
        <w:t>“</w:t>
      </w:r>
      <w:r>
        <w:rPr>
          <w:rFonts w:ascii="Arial;sans-serif" w:hAnsi="Arial;sans-serif"/>
          <w:b w:val="false"/>
          <w:color w:val="000000"/>
          <w:sz w:val="18"/>
          <w:shd w:fill="FFFFFF" w:val="clear"/>
        </w:rPr>
        <w:t xml:space="preserve">FOR” the ratification of the appointment of Ernst &amp; Young LLP as our independent registered public accounting firm for our fiscal year ending December 31, 2025; </w:t>
      </w:r>
    </w:p>
    <w:p>
      <w:pPr>
        <w:pStyle w:val="TextBody"/>
        <w:bidi w:val="0"/>
        <w:spacing w:lineRule="auto" w:line="276" w:before="180" w:after="283"/>
        <w:ind w:left="0" w:right="0" w:hanging="360"/>
        <w:jc w:val="left"/>
        <w:rPr/>
      </w:pPr>
      <w:r>
        <w:rPr>
          <w:color w:val="0063A6"/>
        </w:rPr>
        <w:t>•</w:t>
      </w:r>
      <w:r>
        <w:rPr>
          <w:color w:val="000000"/>
          <w:shd w:fill="FFFFFF" w:val="clear"/>
        </w:rPr>
        <w:t>“</w:t>
      </w:r>
      <w:r>
        <w:rPr>
          <w:rFonts w:ascii="Arial;sans-serif" w:hAnsi="Arial;sans-serif"/>
          <w:b w:val="false"/>
          <w:color w:val="000000"/>
          <w:sz w:val="18"/>
          <w:shd w:fill="FFFFFF" w:val="clear"/>
        </w:rPr>
        <w:t xml:space="preserve">FOR” the approval, on an advisory basis, of the compensation of our named executive officers; </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To hold future stockholder advisory votes on the compensation of our named executive officers every "ONE YEAR"; and</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"AGAINST" the stockholder proposal to impose vesting provisions on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36575"/>
                <wp:effectExtent l="0" t="0" r="0" b="0"/>
                <wp:wrapNone/>
                <wp:docPr id="9" name="Frame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rPr>
      </w:pPr>
      <w:r>
        <w:rPr>
          <w:rFonts w:ascii="Arial;sans-serif" w:hAnsi="Arial;sans-serif"/>
          <w:b w:val="false"/>
          <w:color w:val="0063A6"/>
          <w:sz w:val="36"/>
        </w:rPr>
        <w:t>GENERAL INFORMATION (continued)</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How many votes are needed for approval of each proposal?</w:t>
      </w:r>
    </w:p>
    <w:p>
      <w:pPr>
        <w:pStyle w:val="TextBody"/>
        <w:bidi w:val="0"/>
        <w:spacing w:lineRule="auto" w:line="276" w:before="100" w:after="283"/>
        <w:ind w:left="0" w:right="0" w:hanging="360"/>
        <w:jc w:val="left"/>
        <w:rPr/>
      </w:pPr>
      <w:r>
        <w:rPr>
          <w:color w:val="0063A6"/>
        </w:rPr>
        <w:t>•</w:t>
      </w:r>
      <w:r>
        <w:rPr>
          <w:rFonts w:ascii="Arial;sans-serif" w:hAnsi="Arial;sans-serif"/>
          <w:b/>
          <w:color w:val="0063A6"/>
          <w:sz w:val="18"/>
          <w:shd w:fill="FFFFFF" w:val="clear"/>
        </w:rPr>
        <w:t>Proposal No. 1:</w:t>
      </w:r>
      <w:r>
        <w:rPr>
          <w:color w:val="000000"/>
          <w:shd w:fill="FFFFFF" w:val="clear"/>
        </w:rPr>
        <w:t xml:space="preserve"> </w:t>
      </w:r>
      <w:r>
        <w:rPr>
          <w:rFonts w:ascii="Arial;sans-serif" w:hAnsi="Arial;sans-serif"/>
          <w:b w:val="false"/>
          <w:color w:val="000000"/>
          <w:sz w:val="18"/>
          <w:shd w:fill="FFFFFF" w:val="clear"/>
        </w:rPr>
        <w:t>Each director is elected by a plurality of the votes of the shares present virtually or represented by proxy at the meeting and entitled to 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pStyle w:val="TextBody"/>
        <w:bidi w:val="0"/>
        <w:spacing w:lineRule="auto" w:line="276" w:before="180" w:after="283"/>
        <w:ind w:left="0" w:right="0" w:hanging="360"/>
        <w:jc w:val="left"/>
        <w:rPr/>
      </w:pPr>
      <w:r>
        <w:rPr>
          <w:color w:val="0063A6"/>
        </w:rPr>
        <w:t>•</w:t>
      </w:r>
      <w:r>
        <w:rPr>
          <w:rFonts w:ascii="Arial;sans-serif" w:hAnsi="Arial;sans-serif"/>
          <w:b/>
          <w:color w:val="0063A6"/>
          <w:sz w:val="18"/>
          <w:shd w:fill="FFFFFF" w:val="clear"/>
        </w:rPr>
        <w:t>Proposal No. 2:</w:t>
      </w:r>
      <w:r>
        <w:rPr>
          <w:color w:val="000000"/>
          <w:shd w:fill="FFFFFF" w:val="clear"/>
        </w:rPr>
        <w:t xml:space="preserve"> </w:t>
      </w:r>
      <w:r>
        <w:rPr>
          <w:rFonts w:ascii="Arial;sans-serif" w:hAnsi="Arial;sans-serif"/>
          <w:b w:val="false"/>
          <w:color w:val="000000"/>
          <w:sz w:val="18"/>
          <w:shd w:fill="FFFFFF" w:val="clear"/>
        </w:rPr>
        <w:t>The ratification of the appointment of Ernst &amp; Young LLP as our independent registered public accounting firm for our fiscal year ending December 31, 2025,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pStyle w:val="TextBody"/>
        <w:bidi w:val="0"/>
        <w:spacing w:lineRule="auto" w:line="276" w:before="180" w:after="283"/>
        <w:ind w:left="0" w:right="0" w:hanging="360"/>
        <w:jc w:val="left"/>
        <w:rPr/>
      </w:pPr>
      <w:r>
        <w:rPr>
          <w:color w:val="0063A6"/>
        </w:rPr>
        <w:t>•</w:t>
      </w:r>
      <w:r>
        <w:rPr>
          <w:rFonts w:ascii="Arial;sans-serif" w:hAnsi="Arial;sans-serif"/>
          <w:b/>
          <w:color w:val="0063A6"/>
          <w:sz w:val="18"/>
          <w:shd w:fill="FFFFFF" w:val="clear"/>
        </w:rPr>
        <w:t>Proposal No. 3:</w:t>
      </w:r>
      <w:r>
        <w:rPr>
          <w:color w:val="000000"/>
          <w:shd w:fill="FFFFFF" w:val="clear"/>
        </w:rPr>
        <w:t xml:space="preserve"> </w:t>
      </w:r>
      <w:r>
        <w:rPr>
          <w:rFonts w:ascii="Arial;sans-serif" w:hAnsi="Arial;sans-serif"/>
          <w:b w:val="false"/>
          <w:color w:val="000000"/>
          <w:sz w:val="18"/>
          <w:shd w:fill="FFFFFF" w:val="clear"/>
        </w:rPr>
        <w:t>The approval, on an advisory basis, of the compensation of our named executive officers requires the affirmative vote of a majority of 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pStyle w:val="TextBody"/>
        <w:bidi w:val="0"/>
        <w:spacing w:lineRule="auto" w:line="276" w:before="180" w:after="283"/>
        <w:ind w:left="0" w:right="0" w:hanging="360"/>
        <w:jc w:val="left"/>
        <w:rPr/>
      </w:pPr>
      <w:r>
        <w:rPr>
          <w:color w:val="0063A6"/>
          <w:shd w:fill="FFFFFF" w:val="clear"/>
        </w:rPr>
        <w:t>•</w:t>
      </w:r>
      <w:r>
        <w:rPr>
          <w:rFonts w:ascii="Arial;sans-serif" w:hAnsi="Arial;sans-serif"/>
          <w:b/>
          <w:color w:val="0063A6"/>
          <w:sz w:val="18"/>
          <w:shd w:fill="FFFFFF" w:val="clear"/>
        </w:rPr>
        <w:t>Proposal No. 4:</w:t>
      </w:r>
      <w:r>
        <w:rPr>
          <w:color w:val="000000"/>
          <w:shd w:fill="FFFFFF" w:val="clear"/>
        </w:rPr>
        <w:t xml:space="preserve"> </w:t>
      </w:r>
      <w:r>
        <w:rPr>
          <w:rFonts w:ascii="Arial;sans-serif" w:hAnsi="Arial;sans-serif"/>
          <w:b w:val="false"/>
          <w:color w:val="000000"/>
          <w:sz w:val="18"/>
          <w:shd w:fill="FFFFFF" w:val="clear"/>
        </w:rPr>
        <w:t>For the approval, on an advisory basis, of the frequency of future stockholder advisory votes on the compensation of our named executive officers, the frequency (one year, two years or three years) receiving the highest number of votes cast at the Annual Meeting by stockholders entitled to vote thereon will be considered the frequency preferred by the stockholders, If you "Abstain" from voting on this proposal, it will have no effect on the outcome. Broker non-votes also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how often we should submit to stockholders an advisory vote to approve the compensation of our named executive officers. The current frequency is one year.</w:t>
      </w:r>
    </w:p>
    <w:p>
      <w:pPr>
        <w:pStyle w:val="TextBody"/>
        <w:bidi w:val="0"/>
        <w:spacing w:lineRule="auto" w:line="276" w:before="180" w:after="283"/>
        <w:ind w:left="0" w:right="0" w:hanging="360"/>
        <w:jc w:val="left"/>
        <w:rPr/>
      </w:pPr>
      <w:r>
        <w:rPr>
          <w:color w:val="0063A6"/>
          <w:shd w:fill="FFFFFF" w:val="clear"/>
        </w:rPr>
        <w:t>•</w:t>
      </w:r>
      <w:r>
        <w:rPr>
          <w:rFonts w:ascii="Arial;sans-serif" w:hAnsi="Arial;sans-serif"/>
          <w:b/>
          <w:color w:val="0063A6"/>
          <w:sz w:val="18"/>
          <w:shd w:fill="FFFFFF" w:val="clear"/>
        </w:rPr>
        <w:t>Proposal No. 5:</w:t>
      </w:r>
      <w:r>
        <w:rPr>
          <w:color w:val="000000"/>
          <w:shd w:fill="FFFFFF" w:val="clear"/>
        </w:rPr>
        <w:t xml:space="preserve"> </w:t>
      </w:r>
      <w:r>
        <w:rPr>
          <w:rFonts w:ascii="Arial;sans-serif" w:hAnsi="Arial;sans-serif"/>
          <w:b w:val="false"/>
          <w:color w:val="000000"/>
          <w:sz w:val="18"/>
          <w:shd w:fill="FFFFFF" w:val="clear"/>
        </w:rPr>
        <w:t>The approval of a stockholder proposal to impose vesting provisions on our Class B common stock requires the affirmative vote of a majority of 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Who is entitled to vote?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Holders of our Class A and Class B common stock as of the close of business on March 20, 2025, the record date for the Annual Meeting, may vote at the Annual Meeting. As of the record date, there were 214,090,827 shares of our Class A common stock outstanding and 76,922,870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pStyle w:val="TextBody"/>
        <w:bidi w:val="0"/>
        <w:spacing w:lineRule="auto" w:line="276" w:before="180" w:after="283"/>
        <w:jc w:val="left"/>
        <w:rPr/>
      </w:pPr>
      <w:r>
        <w:rPr>
          <w:rFonts w:ascii="Arial;sans-serif" w:hAnsi="Arial;sans-serif"/>
          <w:b/>
          <w:color w:val="0063A6"/>
          <w:sz w:val="18"/>
          <w:shd w:fill="FFFFFF" w:val="clear"/>
        </w:rPr>
        <w:t>Registered Stockholders.</w:t>
      </w:r>
      <w:r>
        <w:rPr>
          <w:color w:val="000000"/>
          <w:shd w:fill="FFFFFF" w:val="clear"/>
        </w:rPr>
        <w:t xml:space="preserve"> </w:t>
      </w:r>
      <w:r>
        <w:rPr>
          <w:rFonts w:ascii="Arial;sans-serif" w:hAnsi="Arial;sans-serif"/>
          <w:b w:val="false"/>
          <w:color w:val="000000"/>
          <w:sz w:val="18"/>
          <w:shd w:fill="FFFFFF" w:val="clear"/>
        </w:rPr>
        <w:t>If shares of our common stock are registered directly in your name with our transfer agent, Computershare Trust Company, N.A., you are considered the stockholder of record with respect to those shares, and the proxy materials were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pStyle w:val="TextBody"/>
        <w:bidi w:val="0"/>
        <w:spacing w:lineRule="auto" w:line="276" w:before="180" w:after="283"/>
        <w:jc w:val="left"/>
        <w:rPr/>
      </w:pPr>
      <w:r>
        <w:rPr>
          <w:rFonts w:ascii="Arial;sans-serif" w:hAnsi="Arial;sans-serif"/>
          <w:b/>
          <w:color w:val="0063A6"/>
          <w:sz w:val="18"/>
          <w:shd w:fill="FFFFFF" w:val="clear"/>
        </w:rPr>
        <w:t>Street Name Stockholders.</w:t>
      </w:r>
      <w:r>
        <w:rPr>
          <w:color w:val="000000"/>
          <w:shd w:fill="FFFFFF" w:val="clear"/>
        </w:rPr>
        <w:t xml:space="preserve"> </w:t>
      </w:r>
      <w:r>
        <w:rPr>
          <w:rFonts w:ascii="Arial;sans-serif" w:hAnsi="Arial;sans-serif"/>
          <w:b w:val="false"/>
          <w:color w:val="000000"/>
          <w:sz w:val="18"/>
          <w:shd w:fill="FFFFFF" w:val="clear"/>
        </w:rPr>
        <w:t>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36575"/>
                <wp:effectExtent l="0" t="0" r="0" b="0"/>
                <wp:wrapNone/>
                <wp:docPr id="10" name="Frame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rPr>
      </w:pPr>
      <w:r>
        <w:rPr>
          <w:rFonts w:ascii="Arial;sans-serif" w:hAnsi="Arial;sans-serif"/>
          <w:b w:val="false"/>
          <w:color w:val="0063A6"/>
          <w:sz w:val="36"/>
        </w:rPr>
        <w:t>GENERAL INFORMATION (continued)</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Are a certain number of shares required to be present in order to hold the Annual Meeting?</w:t>
      </w:r>
    </w:p>
    <w:p>
      <w:pPr>
        <w:pStyle w:val="TextBody"/>
        <w:bidi w:val="0"/>
        <w:spacing w:lineRule="auto" w:line="276" w:before="100" w:after="283"/>
        <w:jc w:val="left"/>
        <w:rPr/>
      </w:pPr>
      <w:r>
        <w:rPr>
          <w:rFonts w:ascii="Arial;sans-serif" w:hAnsi="Arial;sans-serif"/>
          <w:b w:val="false"/>
          <w:color w:val="000000"/>
          <w:sz w:val="18"/>
          <w:shd w:fill="FFFFFF" w:val="clear"/>
        </w:rPr>
        <w:t>A quorum is the minimum number of voting power required to be present at the Annual Meeting to properly hold an annual meeting of stockholders and conduct business under our bylaws and Nev</w:t>
      </w:r>
      <w:r>
        <w:rPr>
          <w:rFonts w:ascii="Arial;sans-serif" w:hAnsi="Arial;sans-serif"/>
          <w:b w:val="false"/>
          <w:color w:val="000000"/>
          <w:sz w:val="18"/>
        </w:rPr>
        <w:t>ada law.</w:t>
      </w:r>
      <w:r>
        <w:rPr>
          <w:color w:val="000000"/>
          <w:shd w:fill="FFFFFF" w:val="clear"/>
        </w:rPr>
        <w:t xml:space="preserve"> </w:t>
      </w:r>
      <w:r>
        <w:rPr>
          <w:rFonts w:ascii="Arial;sans-serif" w:hAnsi="Arial;sans-serif"/>
          <w:b w:val="false"/>
          <w:color w:val="000000"/>
          <w:sz w:val="18"/>
          <w:shd w:fill="FFFFFF" w:val="clear"/>
        </w:rPr>
        <w:t>The presence, virtually or by proxy (regardless of whether the proxy has authority to vote on any matter),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How do I vote?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you are a stockholder of record, there are several ways to vote: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by Internet prior to the Annual Meeting at www.proxyvote.com, 24 hours a day, seven days a week, until 11:59 p.m. Eastern Time on May 14, 2025 for shares held directly and by 11:59 p.m. Eastern Time on May 12, 2025 for shares held in a Dropbox, Inc. employee stock ownership plan (a “</w:t>
      </w:r>
      <w:r>
        <w:rPr>
          <w:rFonts w:ascii="Arial;sans-serif" w:hAnsi="Arial;sans-serif"/>
          <w:b/>
          <w:i/>
          <w:color w:val="000000"/>
          <w:sz w:val="18"/>
          <w:shd w:fill="FFFFFF" w:val="clear"/>
        </w:rPr>
        <w:t>Plan</w:t>
      </w:r>
      <w:r>
        <w:rPr>
          <w:color w:val="000000"/>
          <w:shd w:fill="FFFFFF" w:val="clear"/>
        </w:rPr>
        <w:t>”</w:t>
      </w:r>
      <w:r>
        <w:rPr>
          <w:rFonts w:ascii="Arial;sans-serif" w:hAnsi="Arial;sans-serif"/>
          <w:b w:val="false"/>
          <w:color w:val="000000"/>
          <w:sz w:val="18"/>
          <w:shd w:fill="FFFFFF" w:val="clear"/>
        </w:rPr>
        <w:t xml:space="preserve">) (have your proxy card in hand when you visit the website);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by toll-free telephone at 1-800-690-6903, until 11:59 p.m. Eastern Time on May 14, 2025 for shares held directly and by 11:59 p.m. Eastern Time on May 12, 2025 for shares held in a Plan (have your proxy card in hand when you call); </w:t>
      </w:r>
    </w:p>
    <w:p>
      <w:pPr>
        <w:pStyle w:val="TextBody"/>
        <w:bidi w:val="0"/>
        <w:spacing w:lineRule="auto" w:line="276" w:before="180" w:after="283"/>
        <w:ind w:left="0" w:right="0" w:hanging="360"/>
        <w:jc w:val="left"/>
        <w:rPr/>
      </w:pPr>
      <w:r>
        <w:rPr>
          <w:color w:val="0063A6"/>
          <w:shd w:fill="FFFFFF" w:val="clear"/>
        </w:rPr>
        <w:t>•</w:t>
      </w:r>
      <w:r>
        <w:rPr>
          <w:rFonts w:ascii="Arial;sans-serif" w:hAnsi="Arial;sans-serif"/>
          <w:b w:val="false"/>
          <w:color w:val="000000"/>
          <w:sz w:val="18"/>
          <w:shd w:fill="FFFFFF" w:val="clear"/>
        </w:rPr>
        <w:t>by completing and mailing your proxy card; or</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by attending the Annual Meeting by visiting www.virtualshareholdermeeting.com/DBX2025, where you may vote and submit questions during the meeting (please have your proxy card in hand when you visit the website).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Even if you plan to attend the Annual Meeting, we recommend that you also vote by proxy so that your vote will be counted if you later decide not to attend the Annual Meeting.</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How may my brokerage firm or other intermediary vote my shares if I fail to provide timely directions?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2025. Your broker will not have discretion to vote on any other proposals, which are “non-routine” matters, absent direction from you (and failure to provide instructions on these matters will result in a “broker non-vote”).</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Can I change my vote?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Yes. If you are a stockholder of record, you can change your vote or revoke your proxy any time before the Annual Meeting by:</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entering a new vote by Internet or by telephone;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completing and returning a later-dated proxy card;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notifying the Corporate Secretary of Dropbox, Inc., in writing, at Dropbox, Inc., 1800 Owens Street, San Francisco, California 94158; or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you may also change your vote by attending and voting at the Annual Meeting (although attendance at the Annual Meeting will not, by itself, revoke a proxy).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you are a street name stockholder, your broker, bank, or other nominee can provide you with instructions on how to change your vote.</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What do I need to do to attend the Annual Meeting?</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You will be able to attend and participate in the Annual Meeting virtually, submit your questions during the meeting and vote your shares electronically at the meeting by visiting www.virtualshareholdermeeting.com/DBX2025 and by entering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36575"/>
                <wp:effectExtent l="0" t="0" r="0" b="0"/>
                <wp:wrapNone/>
                <wp:docPr id="11" name="Frame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rPr>
      </w:pPr>
      <w:r>
        <w:rPr>
          <w:rFonts w:ascii="Arial;sans-serif" w:hAnsi="Arial;sans-serif"/>
          <w:b w:val="false"/>
          <w:color w:val="0063A6"/>
          <w:sz w:val="36"/>
        </w:rPr>
        <w:t>GENERAL INFORMATION (continued)</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control number included on your proxy card. The Annual Meeting webcast will begin promptly at 9:00 am Pacific Time. We encourage you to access the meeting prior to the start time. Online check-in will begin at 8:45 am Pacific Time, and you should allow ample time for the check-in procedures.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What is the effect of giving a proxy?</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adjourned, the proxy holders can vote the shares at the new Annual Meeting as well, unless you have properly revoked your proxy, as described above.</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How are proxies solicited for the Annual Meeting?</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Where can I find the voting results of the Annual Meeting?</w:t>
      </w:r>
    </w:p>
    <w:p>
      <w:pPr>
        <w:pStyle w:val="TextBody"/>
        <w:bidi w:val="0"/>
        <w:spacing w:lineRule="auto" w:line="276" w:before="100" w:after="283"/>
        <w:jc w:val="left"/>
        <w:rPr/>
      </w:pPr>
      <w:r>
        <w:rPr>
          <w:rFonts w:ascii="Arial;sans-serif" w:hAnsi="Arial;sans-serif"/>
          <w:b w:val="false"/>
          <w:color w:val="000000"/>
          <w:sz w:val="18"/>
          <w:shd w:fill="FFFFFF" w:val="clear"/>
        </w:rPr>
        <w:t>We will announce preliminary voting results at the Annual Meeting. We will also disclose voting results on a Current Report on Form 8-K that we will file with the Securities and Exchange Commission ("</w:t>
      </w:r>
      <w:r>
        <w:rPr>
          <w:rFonts w:ascii="Arial;sans-serif" w:hAnsi="Arial;sans-serif"/>
          <w:b/>
          <w:i/>
          <w:color w:val="000000"/>
          <w:sz w:val="18"/>
          <w:shd w:fill="FFFFFF" w:val="clear"/>
        </w:rPr>
        <w:t>SEC</w:t>
      </w:r>
      <w:r>
        <w:rPr>
          <w:rFonts w:ascii="Arial;sans-serif" w:hAnsi="Arial;sans-serif"/>
          <w:b w:val="false"/>
          <w:color w:val="000000"/>
          <w:sz w:val="18"/>
          <w:shd w:fill="FFFFFF" w:val="clear"/>
        </w:rPr>
        <w:t>")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I share an address with another stockholder, and we received only one paper copy of the proxy materials. How may I obtain an additional copy of the proxy materials?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pStyle w:val="TextBody"/>
        <w:bidi w:val="0"/>
        <w:spacing w:lineRule="auto" w:line="276" w:before="240" w:after="283"/>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Dropbox, Inc.</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Attention: Corporate Secretary</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1800 Owens Street</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San Francisco, California 94158</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IR@dropbox.com</w:t>
      </w:r>
    </w:p>
    <w:p>
      <w:pPr>
        <w:pStyle w:val="TextBody"/>
        <w:bidi w:val="0"/>
        <w:spacing w:lineRule="auto" w:line="276"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Street name stockholders may contact their broker, bank, or other nominee to request information about householding.</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What is the deadline to propose actions for consideration at next year’s annual meeting of stockholders or to nominate individuals to serve as directors?</w:t>
      </w:r>
    </w:p>
    <w:p>
      <w:pPr>
        <w:pStyle w:val="TextBody"/>
        <w:bidi w:val="0"/>
        <w:spacing w:lineRule="auto" w:line="276" w:before="180" w:after="283"/>
        <w:jc w:val="left"/>
        <w:rPr>
          <w:rFonts w:ascii="Arial;sans-serif" w:hAnsi="Arial;sans-serif"/>
          <w:b/>
          <w:color w:val="000000"/>
          <w:sz w:val="18"/>
          <w:shd w:fill="FFFFFF" w:val="clear"/>
        </w:rPr>
      </w:pPr>
      <w:r>
        <w:rPr>
          <w:rFonts w:ascii="Arial;sans-serif" w:hAnsi="Arial;sans-serif"/>
          <w:b/>
          <w:color w:val="000000"/>
          <w:sz w:val="18"/>
          <w:shd w:fill="FFFFFF" w:val="clear"/>
        </w:rPr>
        <w:t>Stockholder Proposals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2026 annual meeting of stockholders, our Corporate Secretary must receive the written proposal at our principal executive offices not later than December 16, 2025. In addition, stockholder proposals must comply with the requirements of Rule 14a-8 regarding the inclusion of stockholder proposals in company-sponsored proxy materials. Stockholder proposals should be addressed to:</w:t>
      </w:r>
    </w:p>
    <w:p>
      <w:pPr>
        <w:pStyle w:val="TextBody"/>
        <w:bidi w:val="0"/>
        <w:spacing w:lineRule="auto" w:line="276" w:before="240" w:after="283"/>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Dropbox, Inc.</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Attention: Corporate Secretary</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1800 Owens Street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36575"/>
                <wp:effectExtent l="0" t="0" r="0" b="0"/>
                <wp:wrapNone/>
                <wp:docPr id="12" name="Frame1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rPr>
      </w:pPr>
      <w:r>
        <w:rPr>
          <w:rFonts w:ascii="Arial;sans-serif" w:hAnsi="Arial;sans-serif"/>
          <w:b w:val="false"/>
          <w:color w:val="0063A6"/>
          <w:sz w:val="36"/>
        </w:rPr>
        <w:t>GENERAL INFORMATION (continued)</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San Francisco, California 94158</w:t>
      </w:r>
    </w:p>
    <w:p>
      <w:pPr>
        <w:pStyle w:val="TextBody"/>
        <w:bidi w:val="0"/>
        <w:spacing w:lineRule="auto" w:line="276"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IR@dropbox.com</w:t>
      </w:r>
    </w:p>
    <w:p>
      <w:pPr>
        <w:pStyle w:val="TextBody"/>
        <w:bidi w:val="0"/>
        <w:spacing w:lineRule="auto" w:line="276"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bylaws. To be timely for the 2026 annual meeting of stockholders, our Corporate Secretary must receive the written notice at our principal executive offices: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not earlier than January 30, 2026; and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not later than March 1, 2026. </w:t>
      </w:r>
    </w:p>
    <w:p>
      <w:pPr>
        <w:pStyle w:val="TextBody"/>
        <w:bidi w:val="0"/>
        <w:spacing w:lineRule="auto" w:line="276" w:before="180" w:after="283"/>
        <w:jc w:val="left"/>
        <w:rPr/>
      </w:pPr>
      <w:r>
        <w:rPr>
          <w:rFonts w:ascii="Arial;sans-serif" w:hAnsi="Arial;sans-serif"/>
          <w:b w:val="false"/>
          <w:color w:val="000000"/>
          <w:sz w:val="18"/>
          <w:shd w:fill="FFFFFF" w:val="clear"/>
        </w:rPr>
        <w:t>In the event that we hold the 2026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sans-serif" w:hAnsi="Arial;sans-serif"/>
          <w:b w:val="false"/>
          <w:color w:val="000000"/>
          <w:sz w:val="12"/>
          <w:shd w:fill="FFFFFF" w:val="clear"/>
        </w:rPr>
        <w:t>th</w:t>
      </w:r>
      <w:r>
        <w:rPr>
          <w:color w:val="000000"/>
          <w:shd w:fill="FFFFFF" w:val="clear"/>
        </w:rPr>
        <w:t xml:space="preserve"> </w:t>
      </w:r>
      <w:r>
        <w:rPr>
          <w:rFonts w:ascii="Arial;sans-serif" w:hAnsi="Arial;sans-serif"/>
          <w:b w:val="false"/>
          <w:color w:val="000000"/>
          <w:sz w:val="18"/>
          <w:shd w:fill="FFFFFF" w:val="clear"/>
        </w:rPr>
        <w:t>day before the 2026 annual meeting of stockholders and no later than the close of business on the later of the following two dates: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the 90th day prior to the 2026 annual meeting of stockholders; or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the 10th day following the day on which public announcement of the date of the 2026 annual meeting of stockholders is first made.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bidi w:val="0"/>
        <w:spacing w:lineRule="auto" w:line="276" w:before="240" w:after="283"/>
        <w:jc w:val="left"/>
        <w:rPr>
          <w:rFonts w:ascii="Arial;sans-serif" w:hAnsi="Arial;sans-serif"/>
          <w:b/>
          <w:color w:val="000000"/>
          <w:sz w:val="18"/>
          <w:shd w:fill="FFFFFF" w:val="clear"/>
        </w:rPr>
      </w:pPr>
      <w:r>
        <w:rPr>
          <w:rFonts w:ascii="Arial;sans-serif" w:hAnsi="Arial;sans-serif"/>
          <w:b/>
          <w:color w:val="000000"/>
          <w:sz w:val="18"/>
          <w:shd w:fill="FFFFFF" w:val="clear"/>
        </w:rPr>
        <w:t>Recommendation or Nomination of Director Candidates</w:t>
      </w:r>
    </w:p>
    <w:p>
      <w:pPr>
        <w:pStyle w:val="TextBody"/>
        <w:bidi w:val="0"/>
        <w:spacing w:lineRule="auto" w:line="276" w:before="180" w:after="283"/>
        <w:jc w:val="left"/>
        <w:rPr/>
      </w:pPr>
      <w:r>
        <w:rPr>
          <w:rFonts w:ascii="Arial;sans-serif" w:hAnsi="Arial;sans-serif"/>
          <w:b w:val="false"/>
          <w:color w:val="000000"/>
          <w:sz w:val="18"/>
          <w:shd w:fill="FFFFFF" w:val="clear"/>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w:t>
      </w:r>
      <w:r>
        <w:rPr>
          <w:rFonts w:ascii="Arial;sans-serif" w:hAnsi="Arial;sans-serif"/>
          <w:b w:val="false"/>
          <w:i/>
          <w:color w:val="000000"/>
          <w:sz w:val="18"/>
          <w:shd w:fill="FFFFFF" w:val="clear"/>
        </w:rPr>
        <w:t>Board of Directors and Corporate Governance—Stockholder Recommendations and Nominations to the Board of Directors</w:t>
      </w:r>
      <w:r>
        <w:rPr>
          <w:rFonts w:ascii="Arial;sans-serif" w:hAnsi="Arial;sans-serif"/>
          <w:b w:val="false"/>
          <w:color w:val="000000"/>
          <w:sz w:val="18"/>
          <w:shd w:fill="FFFFFF" w:val="clear"/>
        </w:rPr>
        <w:t>.”</w:t>
      </w:r>
    </w:p>
    <w:p>
      <w:pPr>
        <w:pStyle w:val="TextBody"/>
        <w:bidi w:val="0"/>
        <w:spacing w:lineRule="auto" w:line="276" w:before="180" w:after="283"/>
        <w:jc w:val="left"/>
        <w:rPr/>
      </w:pPr>
      <w:r>
        <w:rPr>
          <w:rFonts w:ascii="Arial;sans-serif" w:hAnsi="Arial;sans-serif"/>
          <w:b w:val="false"/>
          <w:color w:val="000000"/>
          <w:sz w:val="18"/>
          <w:shd w:fill="FFFFFF" w:val="clear"/>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w:t>
      </w:r>
      <w:r>
        <w:rPr>
          <w:rFonts w:ascii="Arial;sans-serif" w:hAnsi="Arial;sans-serif"/>
          <w:b w:val="false"/>
          <w:i/>
          <w:color w:val="000000"/>
          <w:sz w:val="18"/>
          <w:shd w:fill="FFFFFF" w:val="clear"/>
        </w:rPr>
        <w:t>Stockholder Proposals</w:t>
      </w:r>
      <w:r>
        <w:rPr>
          <w:color w:val="000000"/>
          <w:shd w:fill="FFFFFF" w:val="clear"/>
        </w:rPr>
        <w:t xml:space="preserve">” </w:t>
      </w:r>
      <w:r>
        <w:rPr>
          <w:rFonts w:ascii="Arial;sans-serif" w:hAnsi="Arial;sans-serif"/>
          <w:b w:val="false"/>
          <w:color w:val="000000"/>
          <w:sz w:val="18"/>
          <w:shd w:fill="FFFFFF" w:val="clear"/>
        </w:rPr>
        <w:t>for stockholder proposals that are not intended to be included in a proxy statement.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addition, a stockholder who desires to nominate director candidates for election at the 2026 Annual Meeting, which is expected to be held in or about May 2026, must comply with the requirements of the recently enacted Rule 14a-19 by notifying our Corporate Secretary with regard to the intent to solicit proxies in support of director nominees (other than our nominees) as required by Rule 14a-19 no later than March 16, 2026. Please note that the notice requirement under Rule 14a-19 is in addition to the applicable notice requirements under the advance notice provisions of our bylaws as described above.</w:t>
      </w:r>
    </w:p>
    <w:p>
      <w:pPr>
        <w:pStyle w:val="TextBody"/>
        <w:bidi w:val="0"/>
        <w:spacing w:lineRule="auto" w:line="276" w:before="240" w:after="283"/>
        <w:jc w:val="left"/>
        <w:rPr>
          <w:rFonts w:ascii="Arial;sans-serif" w:hAnsi="Arial;sans-serif"/>
          <w:b/>
          <w:color w:val="000000"/>
          <w:sz w:val="18"/>
          <w:shd w:fill="FFFFFF" w:val="clear"/>
        </w:rPr>
      </w:pPr>
      <w:r>
        <w:rPr>
          <w:rFonts w:ascii="Arial;sans-serif" w:hAnsi="Arial;sans-serif"/>
          <w:b/>
          <w:color w:val="000000"/>
          <w:sz w:val="18"/>
          <w:shd w:fill="FFFFFF" w:val="clear"/>
        </w:rPr>
        <w:t>Availability of Bylaws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 copy of our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36575"/>
                <wp:effectExtent l="0" t="0" r="0" b="0"/>
                <wp:wrapNone/>
                <wp:docPr id="13" name="Frame1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68"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319" w:before="180" w:after="283"/>
        <w:jc w:val="left"/>
        <w:rPr/>
      </w:pPr>
      <w:r>
        <w:rPr>
          <w:rFonts w:ascii="Arial;sans-serif" w:hAnsi="Arial;sans-serif"/>
          <w:b w:val="false"/>
          <w:color w:val="000000"/>
          <w:sz w:val="18"/>
          <w:shd w:fill="FFFFFF" w:val="clear"/>
        </w:rPr>
        <w:t>Our business affairs are managed under the direction of our board of directors. Our board of directors consists of ten directors, nine of whom qualified as “independent” under the listing rules of the Nasdaq Stock Market (“</w:t>
      </w:r>
      <w:r>
        <w:rPr>
          <w:rFonts w:ascii="Arial;sans-serif" w:hAnsi="Arial;sans-serif"/>
          <w:b/>
          <w:i/>
          <w:color w:val="000000"/>
          <w:sz w:val="18"/>
          <w:shd w:fill="FFFFFF" w:val="clear"/>
        </w:rPr>
        <w:t>Nasdaq</w:t>
      </w:r>
      <w:r>
        <w:rPr>
          <w:color w:val="000000"/>
          <w:shd w:fill="FFFFFF" w:val="clear"/>
        </w:rPr>
        <w:t>”</w:t>
      </w:r>
      <w:r>
        <w:rPr>
          <w:rFonts w:ascii="Arial;sans-serif" w:hAnsi="Arial;sans-serif"/>
          <w:b w:val="false"/>
          <w:color w:val="000000"/>
          <w:sz w:val="18"/>
          <w:shd w:fill="FFFFFF" w:val="clear"/>
        </w:rPr>
        <w:t>).</w:t>
      </w:r>
    </w:p>
    <w:p>
      <w:pPr>
        <w:pStyle w:val="TextBody"/>
        <w:bidi w:val="0"/>
        <w:spacing w:lineRule="auto" w:line="319"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pStyle w:val="TextBody"/>
        <w:bidi w:val="0"/>
        <w:spacing w:lineRule="auto" w:line="319" w:before="180" w:after="283"/>
        <w:jc w:val="left"/>
        <w:rPr/>
      </w:pPr>
      <w:r>
        <w:rPr>
          <w:rFonts w:ascii="Arial;sans-serif" w:hAnsi="Arial;sans-serif"/>
          <w:b w:val="false"/>
          <w:color w:val="000000"/>
          <w:sz w:val="18"/>
          <w:shd w:fill="FFFFFF" w:val="clear"/>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In addition, our nominating and corporate governance committee strives to maintain a balance of tenure on our board. Long-serving directors bring valuable experience and institutional knowledge, while newer directors contribute fresh perspectives and viewpoints. The following charts provide summary information about our continuing directors and director nominees with respect to independence and tenure. For additional information regarding our criteria for evaluating director nominees, see the section titled “</w:t>
      </w:r>
      <w:r>
        <w:rPr>
          <w:rFonts w:ascii="Arial;sans-serif" w:hAnsi="Arial;sans-serif"/>
          <w:b w:val="false"/>
          <w:i/>
          <w:color w:val="000000"/>
          <w:sz w:val="18"/>
          <w:shd w:fill="FFFFFF" w:val="clear"/>
        </w:rPr>
        <w:t>Considerations in Evaluating Director Nominees</w:t>
      </w:r>
      <w:r>
        <w:rPr>
          <w:rFonts w:ascii="Arial;sans-serif" w:hAnsi="Arial;sans-serif"/>
          <w:b w:val="false"/>
          <w:color w:val="000000"/>
          <w:sz w:val="18"/>
          <w:shd w:fill="FFFFFF" w:val="clear"/>
        </w:rPr>
        <w:t>.”</w:t>
      </w:r>
    </w:p>
    <w:p>
      <w:pPr>
        <w:pStyle w:val="TextBody"/>
        <w:bidi w:val="0"/>
        <w:spacing w:before="0" w:after="0"/>
        <w:jc w:val="center"/>
        <w:rPr/>
      </w:pPr>
      <w:r>
        <w:rPr/>
        <w:drawing>
          <wp:inline distT="0" distB="0" distL="0" distR="0">
            <wp:extent cx="2743200" cy="22860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2743200" cy="2286000"/>
                    </a:xfrm>
                    <a:prstGeom prst="rect">
                      <a:avLst/>
                    </a:prstGeom>
                  </pic:spPr>
                </pic:pic>
              </a:graphicData>
            </a:graphic>
          </wp:inline>
        </w:drawing>
      </w:r>
    </w:p>
    <w:tbl>
      <w:tblPr>
        <w:tblW w:w="1680" w:type="dxa"/>
        <w:jc w:val="center"/>
        <w:tblInd w:w="0" w:type="dxa"/>
        <w:tblLayout w:type="fixed"/>
        <w:tblCellMar>
          <w:top w:w="28" w:type="dxa"/>
          <w:left w:w="28" w:type="dxa"/>
          <w:bottom w:w="28" w:type="dxa"/>
          <w:right w:w="28" w:type="dxa"/>
        </w:tblCellMar>
      </w:tblPr>
      <w:tblGrid>
        <w:gridCol w:w="537"/>
        <w:gridCol w:w="473"/>
        <w:gridCol w:w="670"/>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63A6"/>
                <w:sz w:val="20"/>
              </w:rPr>
            </w:pPr>
            <w:r>
              <w:rPr>
                <w:rFonts w:ascii="Arial;sans-serif" w:hAnsi="Arial;sans-serif"/>
                <w:b w:val="false"/>
                <w:color w:val="0063A6"/>
                <w:sz w:val="20"/>
              </w:rPr>
              <w:t>7 of 8</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3A6"/>
                <w:sz w:val="16"/>
              </w:rPr>
            </w:pPr>
            <w:r>
              <w:rPr>
                <w:rFonts w:ascii="Arial;sans-serif" w:hAnsi="Arial;sans-serif"/>
                <w:b w:val="false"/>
                <w:color w:val="0063A6"/>
                <w:sz w:val="16"/>
              </w:rPr>
              <w:t>Director nominees</w:t>
              <w:br/>
              <w:t>who are independent</w:t>
            </w:r>
          </w:p>
        </w:tc>
      </w:tr>
    </w:tbl>
    <w:p>
      <w:pPr>
        <w:pStyle w:val="TextBody"/>
        <w:bidi w:val="0"/>
        <w:spacing w:before="0" w:after="0"/>
        <w:jc w:val="center"/>
        <w:rPr/>
      </w:pPr>
      <w:r>
        <w:rPr/>
        <w:drawing>
          <wp:inline distT="0" distB="0" distL="0" distR="0">
            <wp:extent cx="2743200" cy="22860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2743200" cy="2286000"/>
                    </a:xfrm>
                    <a:prstGeom prst="rect">
                      <a:avLst/>
                    </a:prstGeom>
                  </pic:spPr>
                </pic:pic>
              </a:graphicData>
            </a:graphic>
          </wp:inline>
        </w:drawing>
      </w:r>
    </w:p>
    <w:tbl>
      <w:tblPr>
        <w:tblW w:w="1470" w:type="dxa"/>
        <w:jc w:val="center"/>
        <w:tblInd w:w="0" w:type="dxa"/>
        <w:tblLayout w:type="fixed"/>
        <w:tblCellMar>
          <w:top w:w="28" w:type="dxa"/>
          <w:left w:w="28" w:type="dxa"/>
          <w:bottom w:w="28" w:type="dxa"/>
          <w:right w:w="28" w:type="dxa"/>
        </w:tblCellMar>
      </w:tblPr>
      <w:tblGrid>
        <w:gridCol w:w="470"/>
        <w:gridCol w:w="413"/>
        <w:gridCol w:w="587"/>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63A6"/>
                <w:sz w:val="20"/>
              </w:rPr>
            </w:pPr>
            <w:r>
              <w:rPr>
                <w:rFonts w:ascii="Arial;sans-serif" w:hAnsi="Arial;sans-serif"/>
                <w:b w:val="false"/>
                <w:color w:val="0063A6"/>
                <w:sz w:val="20"/>
              </w:rPr>
              <w:t>5.8 Years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3A6"/>
                <w:sz w:val="16"/>
              </w:rPr>
            </w:pPr>
            <w:r>
              <w:rPr>
                <w:rFonts w:ascii="Arial;sans-serif" w:hAnsi="Arial;sans-serif"/>
                <w:b w:val="false"/>
                <w:color w:val="0063A6"/>
                <w:sz w:val="16"/>
              </w:rPr>
              <w:t>Average tenure of</w:t>
              <w:br/>
              <w:t>director nominees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36575"/>
                <wp:effectExtent l="0" t="0" r="0" b="0"/>
                <wp:wrapNone/>
                <wp:docPr id="16" name="Frame1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Nominees for Director</w:t>
      </w:r>
    </w:p>
    <w:p>
      <w:pPr>
        <w:pStyle w:val="TextBody"/>
        <w:bidi w:val="0"/>
        <w:spacing w:lineRule="auto" w:line="276" w:before="21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provides summary information about each of our director nominees as of March 31, 2025:</w:t>
      </w:r>
    </w:p>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367"/>
        <w:gridCol w:w="2100"/>
        <w:gridCol w:w="297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ANDREW W. HOUSTON</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160" w:after="75"/>
              <w:jc w:val="left"/>
              <w:rPr/>
            </w:pPr>
            <w:r>
              <w:rPr>
                <w:rFonts w:ascii="Arial;sans-serif" w:hAnsi="Arial;sans-serif"/>
                <w:b/>
                <w:color w:val="000000"/>
                <w:sz w:val="18"/>
              </w:rPr>
              <w:t xml:space="preserve">AGE: </w:t>
            </w:r>
            <w:r>
              <w:rPr>
                <w:rFonts w:ascii="Arial;sans-serif" w:hAnsi="Arial;sans-serif"/>
                <w:b w:val="false"/>
                <w:color w:val="000000"/>
                <w:sz w:val="18"/>
              </w:rPr>
              <w:t>42</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2007</w:t>
            </w:r>
          </w:p>
          <w:p>
            <w:pPr>
              <w:pStyle w:val="TableContents"/>
              <w:bidi w:val="0"/>
              <w:spacing w:lineRule="auto" w:line="276" w:before="120" w:after="75"/>
              <w:jc w:val="left"/>
              <w:rPr/>
            </w:pPr>
            <w:r>
              <w:rPr>
                <w:rFonts w:ascii="Arial;sans-serif" w:hAnsi="Arial;sans-serif"/>
                <w:b/>
                <w:color w:val="000000"/>
                <w:sz w:val="18"/>
              </w:rPr>
              <w:t xml:space="preserve">COMMITTEES: </w:t>
            </w:r>
            <w:r>
              <w:rPr>
                <w:rFonts w:ascii="Arial;sans-serif" w:hAnsi="Arial;sans-serif"/>
                <w:b w:val="false"/>
                <w:color w:val="000000"/>
                <w:sz w:val="18"/>
              </w:rPr>
              <w:t xml:space="preserve">None </w:t>
            </w:r>
          </w:p>
          <w:p>
            <w:pPr>
              <w:pStyle w:val="TableContents"/>
              <w:bidi w:val="0"/>
              <w:spacing w:lineRule="auto" w:line="276" w:before="120" w:after="75"/>
              <w:jc w:val="left"/>
              <w:rPr>
                <w:rFonts w:ascii="Arial;sans-serif" w:hAnsi="Arial;sans-serif"/>
                <w:b/>
                <w:color w:val="000000"/>
                <w:sz w:val="18"/>
              </w:rPr>
            </w:pPr>
            <w:r>
              <w:rPr>
                <w:rFonts w:ascii="Arial;sans-serif" w:hAnsi="Arial;sans-serif"/>
                <w:b/>
                <w:color w:val="000000"/>
                <w:sz w:val="18"/>
              </w:rPr>
              <w:t xml:space="preserve">CHAIR OF THE BOARD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Mr. Houston is one of our co-founders and has served as a member of our board of directors and our Chief Executive Officer since June 2007. Mr. Houston also currently serves as a member of the board of directors of Meta Platforms, Inc.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211"/>
        <w:gridCol w:w="2211"/>
        <w:gridCol w:w="3015"/>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LISA CAMPBELL</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61</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2019</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 xml:space="preserve">Audit; Nominating &amp; Corporate Governance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Ms. Campbell has served as a member of our board of directors since August 2019. From July 2021 to August 2024, Ms. Campbell served as Chief Marketing Officer and Partner for OneTrust. From August 2017 to July 2021, Ms. Campbell served as Chief Marketing Officer and Senior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currently serves as a member of the board of directors for Dynatrace, Inc., an application performance management software company, Similarweb Ltd., a digital data and analytics company, and another privately held technology company. Ms. Campbell holds an M.B.A. from Babson College and a B.A. in Mathematics and Computer Science from Boston College. She was selected to serve on our board of directors because of her valuable expertise in business, industry, and marketing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36575"/>
                <wp:effectExtent l="0" t="0" r="0" b="0"/>
                <wp:wrapNone/>
                <wp:docPr id="19" name="Frame1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357"/>
        <w:gridCol w:w="2243"/>
        <w:gridCol w:w="2837"/>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PAUL E. JACOBS, Ph.D</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62</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2016</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Nominating &amp; Corporate Governance (</w:t>
            </w:r>
            <w:r>
              <w:rPr>
                <w:rFonts w:ascii="Arial;sans-serif" w:hAnsi="Arial;sans-serif"/>
                <w:b w:val="false"/>
                <w:i/>
                <w:color w:val="000000"/>
                <w:sz w:val="18"/>
              </w:rPr>
              <w:t>Chair</w:t>
            </w:r>
            <w:r>
              <w:rPr>
                <w:rFonts w:ascii="Arial;sans-serif" w:hAnsi="Arial;sans-serif"/>
                <w:b w:val="false"/>
                <w:color w:val="000000"/>
                <w:sz w:val="18"/>
              </w:rPr>
              <w:t xml:space="preserve">)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Dr. Jacobs has served as a member of our board of directors since April 2016. Since August 2023, Dr. Jacobs has served as Chief Executive Officer of Globalstar, Inc., or Globalstar, a telecom infrastructure provider. From April 2018 to May 2024, Dr. Jacobs served as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and Arm Holdings plc,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63A6"/>
                <w:sz w:val="18"/>
              </w:rPr>
            </w:pPr>
            <w:r>
              <w:rPr>
                <w:rFonts w:ascii="Arial;sans-serif" w:hAnsi="Arial;sans-serif"/>
                <w:b/>
                <w:color w:val="0063A6"/>
                <w:sz w:val="18"/>
              </w:rPr>
              <w:t>WARREN JENSON</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097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485900" cy="1609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68</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2025</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 xml:space="preserve">Audit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 xml:space="preserve">Warren Jenson has served as a member of our board of directors since January 2025. Mr. Jenson most recently acted as President and Chief Financial Officer of Nielsen Holdings plc, a firm specializing in audience measurement, data, and analytics, where he served from April 2023 to December 2024. From February 2012 to April 2023, Mr. Jenson worked at LiveRamp Holdings, Inc. (formerly known as Acxiom), a software-as-a-service company that provides identity and data connectivity services, where he most recently served as President, Chief Financial Officer and Executive Managing Director of International. Mr. Jenson has also held numerous C-suite positions with Electronic Arts (EA), Amazon.com, Delta Airlines, and NBC. Mr. Jenson currently serves as a member of the board of directors of DigitalOcean Holdings, Inc., a cloud service provider, Ripple Labs, Inc., a provider of cryptocurrency solutions for businesses, and Jobcase, Inc., an online job marketplace and social platform. Mr. Jenson has a B.S. in Accounting and a Master of Accountancy – Business Taxation from Brigham Young University. Mr. Jenson was selected to serve on our board of directors because of his breadth of experience leading and scaling companies through periods of transition and his track record of operational excellence. </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36575"/>
                <wp:effectExtent l="0" t="0" r="0" b="0"/>
                <wp:wrapNone/>
                <wp:docPr id="22" name="Frame1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tbl>
      <w:tblPr>
        <w:tblW w:w="10205" w:type="dxa"/>
        <w:jc w:val="left"/>
        <w:tblInd w:w="0" w:type="dxa"/>
        <w:tblLayout w:type="fixed"/>
        <w:tblCellMar>
          <w:top w:w="28" w:type="dxa"/>
          <w:left w:w="28" w:type="dxa"/>
          <w:bottom w:w="28" w:type="dxa"/>
          <w:right w:w="28" w:type="dxa"/>
        </w:tblCellMar>
      </w:tblPr>
      <w:tblGrid>
        <w:gridCol w:w="874"/>
        <w:gridCol w:w="768"/>
        <w:gridCol w:w="769"/>
        <w:gridCol w:w="109"/>
        <w:gridCol w:w="109"/>
        <w:gridCol w:w="109"/>
        <w:gridCol w:w="2381"/>
        <w:gridCol w:w="2166"/>
        <w:gridCol w:w="2920"/>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63A6"/>
                <w:sz w:val="18"/>
              </w:rPr>
            </w:pPr>
            <w:r>
              <w:rPr>
                <w:rFonts w:ascii="Arial;sans-serif" w:hAnsi="Arial;sans-serif"/>
                <w:b/>
                <w:color w:val="0063A6"/>
                <w:sz w:val="18"/>
              </w:rPr>
              <w:t>ANDREW MOORE, Ph.D</w:t>
            </w:r>
          </w:p>
        </w:tc>
      </w:tr>
      <w:tr>
        <w:trPr/>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66850" cy="160972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1466850" cy="1609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60</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2023</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Audit</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Dr. Moore has served as a member of our board of directors since December 2023. Since March 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 Prior to joining Google, Dr. Moore was an assistant professor and also professor of Computer Science and Robotics at Carnegie Mellon University from 1993-2006. Dr. Moore holds a Ph.D. in Computer Science and a B.A. in Mathematics and Computer Science from the University of Cambridge. Mr. Moore was selected to serve on our board of directors because of his deep academic experience, product knowledge, and engineering leadership.</w:t>
            </w:r>
          </w:p>
        </w:tc>
      </w:tr>
    </w:tbl>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174"/>
        <w:gridCol w:w="2174"/>
        <w:gridCol w:w="3089"/>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ABHAY PARASNIS</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50</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2022</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 xml:space="preserve">Talent and Compensation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Mr. Parasnis has served as a member of our board of directors since March 2022. Since May 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36575"/>
                <wp:effectExtent l="0" t="0" r="0" b="0"/>
                <wp:wrapNone/>
                <wp:docPr id="25" name="Frame1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262"/>
        <w:gridCol w:w="2242"/>
        <w:gridCol w:w="2933"/>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KAREN PEACOCK</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120" w:after="283"/>
              <w:jc w:val="left"/>
              <w:rPr/>
            </w:pPr>
            <w:r>
              <w:rPr>
                <w:rFonts w:ascii="Arial;sans-serif" w:hAnsi="Arial;sans-serif"/>
                <w:b/>
                <w:color w:val="000000"/>
                <w:sz w:val="18"/>
              </w:rPr>
              <w:t xml:space="preserve">AGE: </w:t>
            </w:r>
            <w:r>
              <w:rPr>
                <w:rFonts w:ascii="Arial;sans-serif" w:hAnsi="Arial;sans-serif"/>
                <w:b w:val="false"/>
                <w:color w:val="000000"/>
                <w:sz w:val="18"/>
              </w:rPr>
              <w:t>52</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2019</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 xml:space="preserve">Talent and Compensation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Ms. Peacock has served as a member of our board of directors since August 2019. From July 2020 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tc>
      </w:tr>
    </w:tbl>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226"/>
        <w:gridCol w:w="2226"/>
        <w:gridCol w:w="2985"/>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MICHAEL SEIBEL</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120" w:after="283"/>
              <w:jc w:val="left"/>
              <w:rPr/>
            </w:pPr>
            <w:r>
              <w:rPr>
                <w:rFonts w:ascii="Arial;sans-serif" w:hAnsi="Arial;sans-serif"/>
                <w:b/>
                <w:color w:val="000000"/>
                <w:sz w:val="18"/>
              </w:rPr>
              <w:t xml:space="preserve">AGE: </w:t>
            </w:r>
            <w:r>
              <w:rPr>
                <w:rFonts w:ascii="Arial;sans-serif" w:hAnsi="Arial;sans-serif"/>
                <w:b w:val="false"/>
                <w:color w:val="000000"/>
                <w:sz w:val="18"/>
              </w:rPr>
              <w:t>42</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2020</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 xml:space="preserve">Talent and Compensation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Mr. Seibel has served as a member of our board of directors since December 2020. Mr. Seibel is Partner Emeritus at Y Combinator, an accelerator and investment company for early-stage technology companies, where he previously was a Partner from October 2014 to March 2025, and served as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a community and discussion platform. Mr. Seibel holds a B.A. in Political Science from Yale University. Mr. Seibel was selected to serve on our board of directors because of his financial and managerial experience.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36575"/>
                <wp:effectExtent l="0" t="0" r="0" b="0"/>
                <wp:wrapNone/>
                <wp:docPr id="28" name="Frame1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Non-Continuing Directors</w:t>
      </w:r>
    </w:p>
    <w:p>
      <w:pPr>
        <w:pStyle w:val="TextBody"/>
        <w:bidi w:val="0"/>
        <w:spacing w:lineRule="auto" w:line="276" w:before="21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provides summary information about our non-continuing directors:</w:t>
      </w:r>
    </w:p>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260"/>
        <w:gridCol w:w="2260"/>
        <w:gridCol w:w="2917"/>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color w:val="0063A6"/>
                <w:sz w:val="18"/>
              </w:rPr>
            </w:pPr>
            <w:r>
              <w:rPr>
                <w:rFonts w:ascii="Arial;sans-serif" w:hAnsi="Arial;sans-serif"/>
                <w:b/>
                <w:color w:val="0063A6"/>
                <w:sz w:val="18"/>
              </w:rPr>
              <w:t>DONALD W. BLAIR</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160" w:after="75"/>
              <w:jc w:val="left"/>
              <w:rPr/>
            </w:pPr>
            <w:r>
              <w:rPr>
                <w:rFonts w:ascii="Arial;sans-serif" w:hAnsi="Arial;sans-serif"/>
                <w:b/>
                <w:color w:val="000000"/>
                <w:sz w:val="18"/>
              </w:rPr>
              <w:t xml:space="preserve">AGE: </w:t>
            </w:r>
            <w:r>
              <w:rPr>
                <w:rFonts w:ascii="Arial;sans-serif" w:hAnsi="Arial;sans-serif"/>
                <w:b w:val="false"/>
                <w:color w:val="000000"/>
                <w:sz w:val="18"/>
              </w:rPr>
              <w:t>66</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2007</w:t>
            </w:r>
          </w:p>
          <w:p>
            <w:pPr>
              <w:pStyle w:val="TableContents"/>
              <w:bidi w:val="0"/>
              <w:spacing w:lineRule="auto" w:line="276" w:before="120" w:after="75"/>
              <w:jc w:val="left"/>
              <w:rPr/>
            </w:pPr>
            <w:r>
              <w:rPr>
                <w:rFonts w:ascii="Arial;sans-serif" w:hAnsi="Arial;sans-serif"/>
                <w:b/>
                <w:color w:val="000000"/>
                <w:sz w:val="18"/>
              </w:rPr>
              <w:t xml:space="preserve">COMMITTEES: </w:t>
            </w:r>
            <w:r>
              <w:rPr>
                <w:rFonts w:ascii="Arial;sans-serif" w:hAnsi="Arial;sans-serif"/>
                <w:b w:val="false"/>
                <w:color w:val="000000"/>
                <w:sz w:val="18"/>
              </w:rPr>
              <w:t>Audit (</w:t>
            </w:r>
            <w:r>
              <w:rPr>
                <w:rFonts w:ascii="Arial;sans-serif" w:hAnsi="Arial;sans-serif"/>
                <w:b w:val="false"/>
                <w:i/>
                <w:color w:val="000000"/>
                <w:sz w:val="18"/>
              </w:rPr>
              <w:t>Chair</w:t>
            </w:r>
            <w:r>
              <w:rPr>
                <w:rFonts w:ascii="Arial;sans-serif" w:hAnsi="Arial;sans-serif"/>
                <w:b w:val="false"/>
                <w:color w:val="000000"/>
                <w:sz w:val="18"/>
              </w:rPr>
              <w:t>)</w:t>
            </w:r>
          </w:p>
          <w:p>
            <w:pPr>
              <w:pStyle w:val="TableContents"/>
              <w:bidi w:val="0"/>
              <w:spacing w:lineRule="auto" w:line="276" w:before="120" w:after="75"/>
              <w:jc w:val="left"/>
              <w:rPr>
                <w:rFonts w:ascii="Arial;sans-serif" w:hAnsi="Arial;sans-serif"/>
                <w:b/>
                <w:color w:val="000000"/>
                <w:sz w:val="18"/>
              </w:rPr>
            </w:pPr>
            <w:r>
              <w:rPr>
                <w:rFonts w:ascii="Arial;sans-serif" w:hAnsi="Arial;sans-serif"/>
                <w:b/>
                <w:color w:val="000000"/>
                <w:sz w:val="18"/>
              </w:rPr>
              <w:t xml:space="preserve">LEAD 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 xml:space="preserve">Mr. Blair has served as a member of our Board of Directors since December 2017. From November 1999 to October 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served as a member of the board of directors for Corning Incorporated, a global manufacturing company, from July 2014 to May 2024. Mr. Blair holds an M.B.A. and a B.S. in Economics from the University of Pennsylvania. Mr. Blair was selected to serve on our board of directors because of his extensive financial expertise, and business management and governance experience. </w:t>
            </w:r>
          </w:p>
        </w:tc>
      </w:tr>
    </w:tbl>
    <w:tbl>
      <w:tblPr>
        <w:tblW w:w="10205" w:type="dxa"/>
        <w:jc w:val="left"/>
        <w:tblInd w:w="0" w:type="dxa"/>
        <w:tblLayout w:type="fixed"/>
        <w:tblCellMar>
          <w:top w:w="28" w:type="dxa"/>
          <w:left w:w="28" w:type="dxa"/>
          <w:bottom w:w="28" w:type="dxa"/>
          <w:right w:w="28" w:type="dxa"/>
        </w:tblCellMar>
      </w:tblPr>
      <w:tblGrid>
        <w:gridCol w:w="885"/>
        <w:gridCol w:w="777"/>
        <w:gridCol w:w="779"/>
        <w:gridCol w:w="109"/>
        <w:gridCol w:w="109"/>
        <w:gridCol w:w="109"/>
        <w:gridCol w:w="2173"/>
        <w:gridCol w:w="2173"/>
        <w:gridCol w:w="3091"/>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SARA MATHEW</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6192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485900" cy="16192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000000"/>
                <w:sz w:val="18"/>
              </w:rPr>
              <w:t xml:space="preserve">AGE: </w:t>
            </w:r>
            <w:r>
              <w:rPr>
                <w:rFonts w:ascii="Arial;sans-serif" w:hAnsi="Arial;sans-serif"/>
                <w:b w:val="false"/>
                <w:color w:val="000000"/>
                <w:sz w:val="18"/>
              </w:rPr>
              <w:t>69</w:t>
            </w:r>
          </w:p>
          <w:p>
            <w:pPr>
              <w:pStyle w:val="TableContents"/>
              <w:bidi w:val="0"/>
              <w:spacing w:lineRule="auto" w:line="276" w:before="120" w:after="283"/>
              <w:jc w:val="left"/>
              <w:rPr/>
            </w:pPr>
            <w:r>
              <w:rPr>
                <w:rFonts w:ascii="Arial;sans-serif" w:hAnsi="Arial;sans-serif"/>
                <w:b/>
                <w:color w:val="000000"/>
                <w:sz w:val="18"/>
              </w:rPr>
              <w:t xml:space="preserve">DIRECTOR SINCE: </w:t>
            </w:r>
            <w:r>
              <w:rPr>
                <w:rFonts w:ascii="Arial;sans-serif" w:hAnsi="Arial;sans-serif"/>
                <w:b w:val="false"/>
                <w:color w:val="000000"/>
                <w:sz w:val="18"/>
              </w:rPr>
              <w:t>2021</w:t>
            </w:r>
          </w:p>
          <w:p>
            <w:pPr>
              <w:pStyle w:val="TableContents"/>
              <w:bidi w:val="0"/>
              <w:spacing w:lineRule="auto" w:line="276" w:before="120" w:after="283"/>
              <w:jc w:val="left"/>
              <w:rPr/>
            </w:pPr>
            <w:r>
              <w:rPr>
                <w:rFonts w:ascii="Arial;sans-serif" w:hAnsi="Arial;sans-serif"/>
                <w:b/>
                <w:color w:val="000000"/>
                <w:sz w:val="18"/>
              </w:rPr>
              <w:t xml:space="preserve">COMMITTEES: </w:t>
            </w:r>
            <w:r>
              <w:rPr>
                <w:rFonts w:ascii="Arial;sans-serif" w:hAnsi="Arial;sans-serif"/>
                <w:b w:val="false"/>
                <w:color w:val="000000"/>
                <w:sz w:val="18"/>
              </w:rPr>
              <w:t>Audit; Talent and Compensation (</w:t>
            </w:r>
            <w:r>
              <w:rPr>
                <w:rFonts w:ascii="Arial;sans-serif" w:hAnsi="Arial;sans-serif"/>
                <w:b w:val="false"/>
                <w:i/>
                <w:color w:val="000000"/>
                <w:sz w:val="18"/>
              </w:rPr>
              <w:t>Chair</w:t>
            </w:r>
            <w:r>
              <w:rPr>
                <w:rFonts w:ascii="Arial;sans-serif" w:hAnsi="Arial;sans-serif"/>
                <w:b w:val="false"/>
                <w:color w:val="000000"/>
                <w:sz w:val="18"/>
              </w:rPr>
              <w:t xml:space="preserve">) </w:t>
            </w:r>
          </w:p>
          <w:p>
            <w:pPr>
              <w:pStyle w:val="TableContents"/>
              <w:bidi w:val="0"/>
              <w:spacing w:lineRule="auto" w:line="276" w:before="120" w:after="283"/>
              <w:jc w:val="left"/>
              <w:rPr>
                <w:rFonts w:ascii="Arial;sans-serif" w:hAnsi="Arial;sans-serif"/>
                <w:b/>
                <w:color w:val="000000"/>
                <w:sz w:val="18"/>
              </w:rPr>
            </w:pPr>
            <w:r>
              <w:rPr>
                <w:rFonts w:ascii="Arial;sans-serif" w:hAnsi="Arial;sans-serif"/>
                <w:b/>
                <w:color w:val="000000"/>
                <w:sz w:val="18"/>
              </w:rPr>
              <w:t xml:space="preserve">INDEPENDENT DIRECTOR </w:t>
            </w:r>
          </w:p>
          <w:p>
            <w:pPr>
              <w:pStyle w:val="TableContents"/>
              <w:bidi w:val="0"/>
              <w:spacing w:lineRule="auto" w:line="276" w:before="120" w:after="283"/>
              <w:jc w:val="left"/>
              <w:rPr/>
            </w:pPr>
            <w:r>
              <w:rPr>
                <w:rFonts w:ascii="Arial;sans-serif" w:hAnsi="Arial;sans-serif"/>
                <w:b/>
                <w:color w:val="000000"/>
                <w:sz w:val="18"/>
              </w:rPr>
              <w:t xml:space="preserve">EXPERIENCE: </w:t>
            </w:r>
            <w:r>
              <w:rPr>
                <w:rFonts w:ascii="Arial;sans-serif" w:hAnsi="Arial;sans-serif"/>
                <w:b w:val="false"/>
                <w:color w:val="000000"/>
                <w:sz w:val="18"/>
              </w:rPr>
              <w:t>Ms. Mathew has served as a member of our board of directors since July 2021. From January 2010 to October 2013, Ms. Mathew served as Chief Executive Officer of Dun and Bradstreet Corporation, or Dun and Bradstreet, a commercial data analytics company, as its President and Chief Operating Officer from March 2007 to January 2010 and as its Chief Financial Officer from August 2001 to March 2007. Ms. Mathew also served as a member of the board of directors of Dun and Bradstreet from January 2008 to October 2013, including as Chair from July 2010 to October 2013. Prior to joining Dun and Bradstreet, Ms. Mathew served for eighteen years in a number of executive-level finance positions for the Procter &amp; Gamble Company, or P&amp;G, a consumer goods company. Ms. Mathew currently serves as a member of the board of directors of State Street Corporation, a financial services company. Ms. Mathew previously served as a member of the board of directors of Carnival Corporation &amp; plc, a global leisure travel company, Federal Home Loan Mortgage Company, a government-sponsored mortgage securitization company, XOS, Inc., a manufacturer of electric trucks, Reckitt Benckiser, a consumer products company, Avon Products, Inc. a beauty, household and personal care products manufacturer, Campbell Soup Company, Inc., a consumer food company, and Shire PLC, a biopharmaceutical company. Ms. Mathew holds an M.B.A. from Xavier University, a graduate degree in accounting from the Institute of Cost and Works Accountants from India, and a B.S. in physics, mathematics and chemistry from the University of Madras. Ms. Mathew was selected to serve on our board of directors because of her experience leading multi-national enterprises and valuable financial, strategy and operational expertise.</w:t>
            </w:r>
          </w:p>
        </w:tc>
      </w:tr>
    </w:tbl>
    <w:p>
      <w:pPr>
        <w:pStyle w:val="TextBody"/>
        <w:bidi w:val="0"/>
        <w:spacing w:before="480" w:after="283"/>
        <w:jc w:val="left"/>
        <w:rPr/>
      </w:pPr>
      <w:r>
        <w:rPr/>
      </w:r>
    </w:p>
    <w:p>
      <w:pPr>
        <w:pStyle w:val="TextBody"/>
        <w:bidi w:val="0"/>
        <w:spacing w:before="3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36575"/>
                <wp:effectExtent l="0" t="0" r="0" b="0"/>
                <wp:wrapNone/>
                <wp:docPr id="31" name="Frame1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Director Independence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pStyle w:val="TextBody"/>
        <w:bidi w:val="0"/>
        <w:spacing w:lineRule="auto" w:line="276" w:before="180" w:after="283"/>
        <w:jc w:val="left"/>
        <w:rPr/>
      </w:pPr>
      <w:r>
        <w:rPr>
          <w:rFonts w:ascii="Arial;sans-serif" w:hAnsi="Arial;sans-serif"/>
          <w:b w:val="false"/>
          <w:color w:val="000000"/>
          <w:sz w:val="18"/>
          <w:shd w:fill="FFFFFF" w:val="clear"/>
        </w:rPr>
        <w:t>Our board of directors has undertaken a review of the independence of each director. Based on information provided by each director concerning his or her background, employment, and affiliations, our board of directors has determined that Drs. Jacobs and Moore, Messrs. Blair, Jenson, Parasnis and Seibel, and Mss. Campbell, Mathew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sans-serif" w:hAnsi="Arial;sans-serif"/>
          <w:b w:val="false"/>
          <w:i/>
          <w:color w:val="000000"/>
          <w:sz w:val="18"/>
          <w:shd w:fill="FFFFFF" w:val="clear"/>
        </w:rPr>
        <w:t>Certain Relationships and Related Party Transactions</w:t>
      </w:r>
      <w:r>
        <w:rPr>
          <w:rFonts w:ascii="Arial;sans-serif" w:hAnsi="Arial;sans-serif"/>
          <w:b w:val="false"/>
          <w:color w:val="000000"/>
          <w:sz w:val="18"/>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Board Leadership Structure and Role of the Lead Independent Director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Mr. Houston currently serves as both the chair of our board of directors and as our Chief Executive Officer. As our co-founder, Mr. Houston is best positioned to identify strategic priorities, lead critical discussion, and execute our business plans. </w:t>
      </w:r>
    </w:p>
    <w:p>
      <w:pPr>
        <w:pStyle w:val="TextBody"/>
        <w:bidi w:val="0"/>
        <w:spacing w:lineRule="auto" w:line="268" w:before="0" w:after="0"/>
        <w:jc w:val="left"/>
        <w:rPr/>
      </w:pPr>
      <w:r>
        <w:rPr>
          <w:rFonts w:ascii="Arial;sans-serif" w:hAnsi="Arial;sans-serif"/>
          <w:b w:val="false"/>
          <w:color w:val="000000"/>
          <w:sz w:val="18"/>
          <w:shd w:fill="FFFFFF" w:val="clear"/>
        </w:rPr>
        <w:t xml:space="preserve">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Mr. </w:t>
      </w:r>
      <w:r>
        <w:rPr>
          <w:rFonts w:ascii="Arial;sans-serif" w:hAnsi="Arial;sans-serif"/>
          <w:b w:val="false"/>
          <w:color w:val="000000"/>
          <w:sz w:val="18"/>
        </w:rPr>
        <w:t xml:space="preserve">Blair has served as lead independent director since March 2020. In light of Mr. Blair's departure from the board, our board of directors has appointed Ms. Peacock to serve as lead independent director to succeed </w:t>
      </w:r>
      <w:r>
        <w:rPr>
          <w:rFonts w:ascii="Arial;sans-serif" w:hAnsi="Arial;sans-serif"/>
          <w:b w:val="false"/>
          <w:color w:val="000000"/>
          <w:sz w:val="18"/>
          <w:shd w:fill="FFFFFF" w:val="clear"/>
        </w:rPr>
        <w:t xml:space="preserve">Mr. Blair following the end of his term at the Annual Meeting.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lead independent director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The lead independent director’s responsibilities include: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presiding over all meetings of the board of directors at which the chair is not present;</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calling separate meetings of the independent directors and determining the agenda and serving as chair of meetings of independent directors;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reporting to our Chief Executive Officer and chair regarding feedback from executive sessions;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serving as spokesperson for the company if requested.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the role of a strong lead independent director, as well as the robust independent committees of our board of directors is appropriate and enhances our board of directors’ ability to effectively carry out its roles and responsibilities on behalf of our stockholders.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36575"/>
                <wp:effectExtent l="0" t="0" r="0" b="0"/>
                <wp:wrapNone/>
                <wp:docPr id="32" name="Frame1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Board Committees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 </w:t>
      </w:r>
    </w:p>
    <w:tbl>
      <w:tblPr>
        <w:tblW w:w="9371" w:type="dxa"/>
        <w:jc w:val="left"/>
        <w:tblInd w:w="0" w:type="dxa"/>
        <w:tblLayout w:type="fixed"/>
        <w:tblCellMar>
          <w:top w:w="28" w:type="dxa"/>
          <w:left w:w="28" w:type="dxa"/>
          <w:bottom w:w="28" w:type="dxa"/>
          <w:right w:w="28" w:type="dxa"/>
        </w:tblCellMar>
      </w:tblPr>
      <w:tblGrid>
        <w:gridCol w:w="775"/>
        <w:gridCol w:w="680"/>
        <w:gridCol w:w="689"/>
        <w:gridCol w:w="595"/>
        <w:gridCol w:w="595"/>
        <w:gridCol w:w="609"/>
        <w:gridCol w:w="719"/>
        <w:gridCol w:w="719"/>
        <w:gridCol w:w="721"/>
        <w:gridCol w:w="956"/>
        <w:gridCol w:w="956"/>
        <w:gridCol w:w="1357"/>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Director</w:t>
            </w:r>
          </w:p>
        </w:tc>
        <w:tc>
          <w:tcPr>
            <w:tcW w:w="179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Audit</w:t>
            </w:r>
          </w:p>
        </w:tc>
        <w:tc>
          <w:tcPr>
            <w:tcW w:w="21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Talent and Compensation</w:t>
            </w:r>
          </w:p>
        </w:tc>
        <w:tc>
          <w:tcPr>
            <w:tcW w:w="326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Nominating and Corporate Governance</w:t>
            </w:r>
          </w:p>
        </w:tc>
      </w:tr>
      <w:tr>
        <w:trPr/>
        <w:tc>
          <w:tcPr>
            <w:tcW w:w="214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Andrew W. Houston</w:t>
            </w:r>
          </w:p>
        </w:tc>
        <w:tc>
          <w:tcPr>
            <w:tcW w:w="179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Donald W. Blair</w:t>
            </w:r>
          </w:p>
        </w:tc>
        <w:tc>
          <w:tcPr>
            <w:tcW w:w="17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0"/>
              <w:jc w:val="center"/>
              <w:rPr/>
            </w:pPr>
            <w:r>
              <w:rPr/>
              <w:drawing>
                <wp:inline distT="0" distB="0" distL="0" distR="0">
                  <wp:extent cx="114300" cy="1143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14300" cy="114300"/>
                          </a:xfrm>
                          <a:prstGeom prst="rect">
                            <a:avLst/>
                          </a:prstGeom>
                        </pic:spPr>
                      </pic:pic>
                    </a:graphicData>
                  </a:graphic>
                </wp:inline>
              </w:drawing>
            </w:r>
            <w:r>
              <w:rPr>
                <w:color w:val="000000"/>
              </w:rPr>
              <w:t>  </w:t>
            </w:r>
            <w:r>
              <w:rPr/>
              <w:drawing>
                <wp:inline distT="0" distB="0" distL="0" distR="0">
                  <wp:extent cx="152400" cy="123825"/>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152400" cy="123825"/>
                          </a:xfrm>
                          <a:prstGeom prst="rect">
                            <a:avLst/>
                          </a:prstGeom>
                        </pic:spPr>
                      </pic:pic>
                    </a:graphicData>
                  </a:graphic>
                </wp:inline>
              </w:drawing>
            </w:r>
          </w:p>
        </w:tc>
        <w:tc>
          <w:tcPr>
            <w:tcW w:w="2159" w:type="dxa"/>
            <w:gridSpan w:val="3"/>
            <w:tcBorders>
              <w:left w:val="single" w:sz="12"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12" w:space="0" w:color="FFFFFF"/>
              <w:right w:val="single" w:sz="12" w:space="0" w:color="FFFFFF"/>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Lisa Campbell</w:t>
            </w:r>
          </w:p>
        </w:tc>
        <w:tc>
          <w:tcPr>
            <w:tcW w:w="179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114300" cy="114300"/>
                          </a:xfrm>
                          <a:prstGeom prst="rect">
                            <a:avLst/>
                          </a:prstGeom>
                        </pic:spPr>
                      </pic:pic>
                    </a:graphicData>
                  </a:graphic>
                </wp:inline>
              </w:drawing>
            </w:r>
          </w:p>
        </w:tc>
        <w:tc>
          <w:tcPr>
            <w:tcW w:w="215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0"/>
              <w:jc w:val="center"/>
              <w:rPr/>
            </w:pPr>
            <w:r>
              <w:rPr/>
              <w:drawing>
                <wp:inline distT="0" distB="0" distL="0" distR="0">
                  <wp:extent cx="114300" cy="1143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114300" cy="114300"/>
                          </a:xfrm>
                          <a:prstGeom prst="rect">
                            <a:avLst/>
                          </a:prstGeom>
                        </pic:spPr>
                      </pic:pic>
                    </a:graphicData>
                  </a:graphic>
                </wp:inline>
              </w:drawing>
            </w:r>
          </w:p>
        </w:tc>
      </w:tr>
      <w:tr>
        <w:trPr/>
        <w:tc>
          <w:tcPr>
            <w:tcW w:w="214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Paul E. Jacobs, Ph.D</w:t>
            </w:r>
          </w:p>
        </w:tc>
        <w:tc>
          <w:tcPr>
            <w:tcW w:w="17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5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center"/>
              <w:rPr/>
            </w:pPr>
            <w:r>
              <w:rPr/>
              <w:drawing>
                <wp:inline distT="0" distB="0" distL="0" distR="0">
                  <wp:extent cx="114300" cy="1143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114300" cy="114300"/>
                          </a:xfrm>
                          <a:prstGeom prst="rect">
                            <a:avLst/>
                          </a:prstGeom>
                        </pic:spPr>
                      </pic:pic>
                    </a:graphicData>
                  </a:graphic>
                </wp:inline>
              </w:drawing>
            </w:r>
          </w:p>
        </w:tc>
      </w:tr>
      <w:tr>
        <w:trPr/>
        <w:tc>
          <w:tcPr>
            <w:tcW w:w="214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Warren Jenson</w:t>
            </w:r>
          </w:p>
        </w:tc>
        <w:tc>
          <w:tcPr>
            <w:tcW w:w="17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40" w:before="0" w:after="0"/>
              <w:jc w:val="center"/>
              <w:rPr/>
            </w:pPr>
            <w:r>
              <w:rPr/>
              <w:drawing>
                <wp:inline distT="0" distB="0" distL="0" distR="0">
                  <wp:extent cx="114300" cy="1143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114300" cy="114300"/>
                          </a:xfrm>
                          <a:prstGeom prst="rect">
                            <a:avLst/>
                          </a:prstGeom>
                        </pic:spPr>
                      </pic:pic>
                    </a:graphicData>
                  </a:graphic>
                </wp:inline>
              </w:drawing>
            </w:r>
            <w:r>
              <w:rPr>
                <w:color w:val="000000"/>
              </w:rPr>
              <w:t>  </w:t>
            </w:r>
            <w:r>
              <w:rPr/>
              <w:drawing>
                <wp:inline distT="0" distB="0" distL="0" distR="0">
                  <wp:extent cx="152400" cy="123825"/>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152400" cy="123825"/>
                          </a:xfrm>
                          <a:prstGeom prst="rect">
                            <a:avLst/>
                          </a:prstGeom>
                        </pic:spPr>
                      </pic:pic>
                    </a:graphicData>
                  </a:graphic>
                </wp:inline>
              </w:drawing>
            </w:r>
            <w:r>
              <w:rPr>
                <w:color w:val="000000"/>
              </w:rPr>
              <w:t> </w:t>
            </w:r>
          </w:p>
        </w:tc>
        <w:tc>
          <w:tcPr>
            <w:tcW w:w="215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Sara Mathew</w:t>
            </w:r>
          </w:p>
        </w:tc>
        <w:tc>
          <w:tcPr>
            <w:tcW w:w="17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0"/>
              <w:jc w:val="center"/>
              <w:rPr/>
            </w:pPr>
            <w:r>
              <w:rPr/>
              <w:drawing>
                <wp:inline distT="0" distB="0" distL="0" distR="0">
                  <wp:extent cx="114300" cy="1143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r>
              <w:rPr>
                <w:color w:val="000000"/>
              </w:rPr>
              <w:t> </w:t>
            </w:r>
            <w:r>
              <w:rPr/>
              <w:drawing>
                <wp:inline distT="0" distB="0" distL="0" distR="0">
                  <wp:extent cx="133350" cy="1143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133350" cy="114300"/>
                          </a:xfrm>
                          <a:prstGeom prst="rect">
                            <a:avLst/>
                          </a:prstGeom>
                        </pic:spPr>
                      </pic:pic>
                    </a:graphicData>
                  </a:graphic>
                </wp:inline>
              </w:drawing>
            </w:r>
          </w:p>
        </w:tc>
        <w:tc>
          <w:tcPr>
            <w:tcW w:w="215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114300" cy="114300"/>
                          </a:xfrm>
                          <a:prstGeom prst="rect">
                            <a:avLst/>
                          </a:prstGeom>
                        </pic:spPr>
                      </pic:pic>
                    </a:graphicData>
                  </a:graphic>
                </wp:inline>
              </w:drawing>
            </w:r>
          </w:p>
        </w:tc>
        <w:tc>
          <w:tcPr>
            <w:tcW w:w="3269"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left"/>
              <w:rPr>
                <w:rFonts w:ascii="Arial;sans-serif" w:hAnsi="Arial;sans-serif"/>
                <w:b/>
                <w:color w:val="000000"/>
                <w:sz w:val="18"/>
              </w:rPr>
            </w:pPr>
            <w:r>
              <w:rPr>
                <w:rFonts w:ascii="Arial;sans-serif" w:hAnsi="Arial;sans-serif"/>
                <w:b/>
                <w:color w:val="000000"/>
                <w:sz w:val="18"/>
              </w:rPr>
              <w:t>Andrew Moore, Ph.D</w:t>
            </w:r>
          </w:p>
        </w:tc>
        <w:tc>
          <w:tcPr>
            <w:tcW w:w="179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114300" cy="114300"/>
                          </a:xfrm>
                          <a:prstGeom prst="rect">
                            <a:avLst/>
                          </a:prstGeom>
                        </pic:spPr>
                      </pic:pic>
                    </a:graphicData>
                  </a:graphic>
                </wp:inline>
              </w:drawing>
            </w:r>
          </w:p>
        </w:tc>
        <w:tc>
          <w:tcPr>
            <w:tcW w:w="215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Abhay Parasnis</w:t>
            </w:r>
          </w:p>
        </w:tc>
        <w:tc>
          <w:tcPr>
            <w:tcW w:w="179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114300" cy="114300"/>
                          </a:xfrm>
                          <a:prstGeom prst="rect">
                            <a:avLst/>
                          </a:prstGeom>
                        </pic:spPr>
                      </pic:pic>
                    </a:graphicData>
                  </a:graphic>
                </wp:inline>
              </w:drawing>
            </w:r>
          </w:p>
        </w:tc>
        <w:tc>
          <w:tcPr>
            <w:tcW w:w="3269"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Karen Peacock</w:t>
            </w:r>
          </w:p>
        </w:tc>
        <w:tc>
          <w:tcPr>
            <w:tcW w:w="179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28"/>
                          <a:stretch>
                            <a:fillRect/>
                          </a:stretch>
                        </pic:blipFill>
                        <pic:spPr bwMode="auto">
                          <a:xfrm>
                            <a:off x="0" y="0"/>
                            <a:ext cx="114300" cy="114300"/>
                          </a:xfrm>
                          <a:prstGeom prst="rect">
                            <a:avLst/>
                          </a:prstGeom>
                        </pic:spPr>
                      </pic:pic>
                    </a:graphicData>
                  </a:graphic>
                </wp:inline>
              </w:drawing>
            </w:r>
          </w:p>
        </w:tc>
        <w:tc>
          <w:tcPr>
            <w:tcW w:w="3269"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Michael Seibel</w:t>
            </w:r>
          </w:p>
        </w:tc>
        <w:tc>
          <w:tcPr>
            <w:tcW w:w="179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29"/>
                          <a:stretch>
                            <a:fillRect/>
                          </a:stretch>
                        </pic:blipFill>
                        <pic:spPr bwMode="auto">
                          <a:xfrm>
                            <a:off x="0" y="0"/>
                            <a:ext cx="114300" cy="114300"/>
                          </a:xfrm>
                          <a:prstGeom prst="rect">
                            <a:avLst/>
                          </a:prstGeom>
                        </pic:spPr>
                      </pic:pic>
                    </a:graphicData>
                  </a:graphic>
                </wp:inline>
              </w:drawing>
            </w:r>
          </w:p>
        </w:tc>
        <w:tc>
          <w:tcPr>
            <w:tcW w:w="3269"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Number of Meetings</w:t>
            </w:r>
          </w:p>
        </w:tc>
        <w:tc>
          <w:tcPr>
            <w:tcW w:w="17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215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69"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144" w:type="dxa"/>
            <w:gridSpan w:val="3"/>
            <w:tcBorders>
              <w:top w:val="single" w:sz="12" w:space="0" w:color="FFFFFF"/>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240" w:before="0" w:after="0"/>
              <w:jc w:val="center"/>
              <w:rPr/>
            </w:pPr>
            <w:r>
              <w:rPr/>
              <w:drawing>
                <wp:inline distT="0" distB="0" distL="0" distR="0">
                  <wp:extent cx="114300" cy="114300"/>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r>
              <w:rPr>
                <w:color w:val="000000"/>
              </w:rPr>
              <w:t xml:space="preserve">    </w:t>
            </w:r>
            <w:r>
              <w:rPr>
                <w:rFonts w:ascii="Arial;sans-serif" w:hAnsi="Arial;sans-serif"/>
                <w:b w:val="false"/>
                <w:color w:val="000000"/>
                <w:sz w:val="18"/>
              </w:rPr>
              <w:t>Committee member</w:t>
            </w:r>
          </w:p>
        </w:tc>
        <w:tc>
          <w:tcPr>
            <w:tcW w:w="1799" w:type="dxa"/>
            <w:gridSpan w:val="3"/>
            <w:tcBorders>
              <w:top w:val="single" w:sz="12" w:space="0" w:color="FFFFFF"/>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273" w:before="0" w:after="0"/>
              <w:jc w:val="center"/>
              <w:rPr/>
            </w:pPr>
            <w:r>
              <w:rPr/>
              <w:drawing>
                <wp:inline distT="0" distB="0" distL="0" distR="0">
                  <wp:extent cx="114300" cy="114300"/>
                  <wp:effectExtent l="0" t="0" r="0" b="0"/>
                  <wp:docPr id="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 descr=""/>
                          <pic:cNvPicPr>
                            <a:picLocks noChangeAspect="1" noChangeArrowheads="1"/>
                          </pic:cNvPicPr>
                        </pic:nvPicPr>
                        <pic:blipFill>
                          <a:blip r:embed="rId31"/>
                          <a:stretch>
                            <a:fillRect/>
                          </a:stretch>
                        </pic:blipFill>
                        <pic:spPr bwMode="auto">
                          <a:xfrm>
                            <a:off x="0" y="0"/>
                            <a:ext cx="114300" cy="114300"/>
                          </a:xfrm>
                          <a:prstGeom prst="rect">
                            <a:avLst/>
                          </a:prstGeom>
                        </pic:spPr>
                      </pic:pic>
                    </a:graphicData>
                  </a:graphic>
                </wp:inline>
              </w:drawing>
            </w:r>
            <w:r>
              <w:rPr>
                <w:color w:val="000000"/>
              </w:rPr>
              <w:t>   </w:t>
            </w:r>
            <w:r>
              <w:rPr>
                <w:rFonts w:ascii="Arial;sans-serif" w:hAnsi="Arial;sans-serif"/>
                <w:b w:val="false"/>
                <w:color w:val="000000"/>
                <w:sz w:val="18"/>
              </w:rPr>
              <w:t>Committee chair</w:t>
            </w:r>
          </w:p>
        </w:tc>
        <w:tc>
          <w:tcPr>
            <w:tcW w:w="2159" w:type="dxa"/>
            <w:gridSpan w:val="3"/>
            <w:tcBorders>
              <w:top w:val="single" w:sz="12" w:space="0" w:color="FFFFFF"/>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273" w:before="0" w:after="0"/>
              <w:jc w:val="center"/>
              <w:rPr/>
            </w:pPr>
            <w:r>
              <w:rPr/>
              <w:drawing>
                <wp:inline distT="0" distB="0" distL="0" distR="0">
                  <wp:extent cx="152400" cy="123825"/>
                  <wp:effectExtent l="0" t="0" r="0" b="0"/>
                  <wp:docPr id="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1" descr=""/>
                          <pic:cNvPicPr>
                            <a:picLocks noChangeAspect="1" noChangeArrowheads="1"/>
                          </pic:cNvPicPr>
                        </pic:nvPicPr>
                        <pic:blipFill>
                          <a:blip r:embed="rId32"/>
                          <a:stretch>
                            <a:fillRect/>
                          </a:stretch>
                        </pic:blipFill>
                        <pic:spPr bwMode="auto">
                          <a:xfrm>
                            <a:off x="0" y="0"/>
                            <a:ext cx="152400" cy="123825"/>
                          </a:xfrm>
                          <a:prstGeom prst="rect">
                            <a:avLst/>
                          </a:prstGeom>
                        </pic:spPr>
                      </pic:pic>
                    </a:graphicData>
                  </a:graphic>
                </wp:inline>
              </w:drawing>
            </w:r>
            <w:r>
              <w:rPr>
                <w:color w:val="000000"/>
              </w:rPr>
              <w:t>   </w:t>
            </w:r>
            <w:r>
              <w:rPr>
                <w:rFonts w:ascii="Arial;sans-serif" w:hAnsi="Arial;sans-serif"/>
                <w:b w:val="false"/>
                <w:color w:val="000000"/>
                <w:sz w:val="18"/>
              </w:rPr>
              <w:t>Financial expert</w:t>
            </w:r>
          </w:p>
        </w:tc>
        <w:tc>
          <w:tcPr>
            <w:tcW w:w="3269" w:type="dxa"/>
            <w:gridSpan w:val="3"/>
            <w:tcBorders>
              <w:top w:val="single" w:sz="12" w:space="0" w:color="FFFFFF"/>
              <w:left w:val="single" w:sz="12" w:space="0" w:color="FFFFFF"/>
              <w:bottom w:val="single" w:sz="12" w:space="0" w:color="FFFFFF"/>
              <w:right w:val="single" w:sz="12" w:space="0" w:color="FFFFFF"/>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40" w:after="283"/>
        <w:jc w:val="left"/>
        <w:rPr>
          <w:rFonts w:ascii="Arial;sans-serif" w:hAnsi="Arial;sans-serif"/>
          <w:b/>
          <w:color w:val="0063A6"/>
          <w:sz w:val="18"/>
          <w:shd w:fill="FFFFFF" w:val="clear"/>
        </w:rPr>
      </w:pPr>
      <w:r>
        <w:rPr>
          <w:rFonts w:ascii="Arial;sans-serif" w:hAnsi="Arial;sans-serif"/>
          <w:b/>
          <w:color w:val="0063A6"/>
          <w:sz w:val="18"/>
          <w:shd w:fill="FFFFFF" w:val="clear"/>
        </w:rPr>
        <w:t>Audit Committee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audit committee consists of Messrs. Blair and Jenson, Dr. Moore and Mss. Campbell and Mathew, with Mr. Blair serving as chair. Upon the end of Mr. Blair's term at the Annual Meeting, Mr. Jenson will become chair of the audit committee.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Messrs. Blair and Jenson and Ms. Mathew are audit committee financial experts within the meaning of Item 407(d) of Regulation S-K. Our audit committee is responsible for, among other things: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selecting a qualified firm to serve as the independent registered public accounting firm to audit our financial statements;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helping to ensure the independence and overseeing performance of the independent registered public accounting firm;</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reviewing our financial statements and our critical accounting policies and estimates;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overseeing and monitoring the integrity of our financial statements and our compliance with legal and regulatory requirements as they relate to financial statements or accounting matters;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 xml:space="preserve">overseeing programs and policies with respect to assessing and managing risks pertaining to our operational infrastructure, particularly reliability, business continuity, cybersecurity, and data privacy; </w:t>
      </w:r>
    </w:p>
    <w:p>
      <w:pPr>
        <w:pStyle w:val="TextBody"/>
        <w:bidi w:val="0"/>
        <w:spacing w:lineRule="auto" w:line="276" w:before="120" w:after="283"/>
        <w:ind w:left="0" w:right="0" w:hanging="360"/>
        <w:jc w:val="left"/>
        <w:rPr/>
      </w:pPr>
      <w:r>
        <w:rPr>
          <w:color w:val="000000"/>
          <w:shd w:fill="FFFFFF" w:val="clear"/>
        </w:rPr>
        <w:t>•</w:t>
      </w:r>
      <w:r>
        <w:rPr>
          <w:rFonts w:ascii="Arial;sans-serif" w:hAnsi="Arial;sans-serif"/>
          <w:b w:val="false"/>
          <w:color w:val="000000"/>
          <w:sz w:val="18"/>
          <w:shd w:fill="FFFFFF" w:val="clear"/>
        </w:rPr>
        <w:t>reviewing and approving any amendments to the internal audit charter;</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reviewing the design, implementation, adequacy, and effectiveness of our internal controls;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overseeing the performance of our internal audit department, which functionally reports to the audit committee;</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establishing and overseeing procedures for employees to submit concerns anonymously about questionable accounting, internal accounting controls, or audit matters;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overseeing management’s assessment and mitigation of enterprise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36575"/>
                <wp:effectExtent l="0" t="0" r="0" b="0"/>
                <wp:wrapNone/>
                <wp:docPr id="50" name="Frame1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overseeing compliance with our code of business conduct and ethics;</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reviewing and approving related party transactions; and</w:t>
      </w:r>
    </w:p>
    <w:p>
      <w:pPr>
        <w:pStyle w:val="TextBody"/>
        <w:bidi w:val="0"/>
        <w:spacing w:lineRule="auto" w:line="276" w:before="120" w:after="283"/>
        <w:ind w:left="0" w:right="0" w:hanging="360"/>
        <w:jc w:val="left"/>
        <w:rPr/>
      </w:pPr>
      <w:r>
        <w:rPr>
          <w:color w:val="0063A6"/>
        </w:rPr>
        <w:t>•</w:t>
      </w:r>
      <w:r>
        <w:rPr>
          <w:rFonts w:ascii="Arial;sans-serif" w:hAnsi="Arial;sans-serif"/>
          <w:b w:val="false"/>
          <w:color w:val="000000"/>
          <w:sz w:val="18"/>
          <w:shd w:fill="FFFFFF" w:val="clear"/>
        </w:rPr>
        <w:t>pre-approving all audit and all permissible non-audit services to be performed by the independent registered public accounting firm.</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audit committee operates under a written charter that satisfies the applicable rules and regulations of the SEC and the listing standards of Nasdaq. A copy of the charter for our audit committee is available on our website at investors.dropbox.com. During 2024, our audit committee held five meetings.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Talent and Compensation Committee</w:t>
      </w:r>
    </w:p>
    <w:p>
      <w:pPr>
        <w:pStyle w:val="TextBody"/>
        <w:bidi w:val="0"/>
        <w:spacing w:lineRule="auto" w:line="276" w:before="100" w:after="283"/>
        <w:jc w:val="left"/>
        <w:rPr/>
      </w:pPr>
      <w:r>
        <w:rPr>
          <w:rFonts w:ascii="Arial;sans-serif" w:hAnsi="Arial;sans-serif"/>
          <w:b w:val="false"/>
          <w:color w:val="000000"/>
          <w:sz w:val="18"/>
          <w:shd w:fill="FFFFFF" w:val="clear"/>
        </w:rPr>
        <w:t>Our talent and compensation committee consists of Mss. Mathew and Peacock and Messrs. Parasnis and Seibel, with Ms. Mathew serving as chair. Upon the end of Ms. Mathew's term at the Annual Meeting, Dr. Jacobs will join the talent and compensation committee and will succeed Ms. Mathew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sans-serif" w:hAnsi="Arial;sans-serif"/>
          <w:b/>
          <w:i/>
          <w:color w:val="000000"/>
          <w:sz w:val="18"/>
          <w:shd w:fill="FFFFFF" w:val="clear"/>
        </w:rPr>
        <w:t>Exchange Act</w:t>
      </w:r>
      <w:r>
        <w:rPr>
          <w:color w:val="000000"/>
          <w:shd w:fill="FFFFFF" w:val="clear"/>
        </w:rPr>
        <w:t>”</w:t>
      </w:r>
      <w:r>
        <w:rPr>
          <w:rFonts w:ascii="Arial;sans-serif" w:hAnsi="Arial;sans-serif"/>
          <w:b w:val="false"/>
          <w:color w:val="000000"/>
          <w:sz w:val="18"/>
          <w:shd w:fill="FFFFFF" w:val="clear"/>
        </w:rPr>
        <w:t>), or Rule 16b-3. Our talent and compensation committee is responsible for, among other things: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reviewing, approving, and determining, or making recommendations to our board of directors regarding, the compensation of our executive officers, including our Chief Executive Officer;</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reviewing, approving, and administering incentive compensation and equity compensation plans;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reviewing and approving our overall compensation philosophy;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making recommendations regarding non-employee director compensation to our full board of directors;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reviewing our human capital management disclosures and activities, including assisting our board with matters related to talent acquisition, management and development, and employee engagement.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2024, our talent and compensation committee held five meetings.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Nominating and Corporate Governance Committee</w:t>
      </w:r>
    </w:p>
    <w:p>
      <w:pPr>
        <w:pStyle w:val="TextBody"/>
        <w:bidi w:val="0"/>
        <w:spacing w:lineRule="auto" w:line="276" w:before="100" w:after="283"/>
        <w:jc w:val="left"/>
        <w:rPr/>
      </w:pPr>
      <w:r>
        <w:rPr>
          <w:rFonts w:ascii="Arial;sans-serif" w:hAnsi="Arial;sans-serif"/>
          <w:b w:val="false"/>
          <w:color w:val="000000"/>
          <w:sz w:val="18"/>
          <w:shd w:fill="FFFFFF" w:val="clear"/>
        </w:rPr>
        <w:t>Our nominating and corporate governance committee consists of Ms. Campbell and Dr. Jacobs, with Dr. Jacobs serving as c</w:t>
      </w:r>
      <w:r>
        <w:rPr>
          <w:rFonts w:ascii="Arial;sans-serif" w:hAnsi="Arial;sans-serif"/>
          <w:b w:val="false"/>
          <w:color w:val="000000"/>
          <w:sz w:val="18"/>
        </w:rPr>
        <w:t>hair. Following the Annual Meeting, and in connection with Dr. Jacobs succeeding Ms. Mathew as chair of the talent and compensation committee, Ms. Campbell will succeed Dr. Jacobs as chair. Each</w:t>
      </w:r>
      <w:r>
        <w:rPr>
          <w:color w:val="000000"/>
          <w:shd w:fill="FFFFFF" w:val="clear"/>
        </w:rPr>
        <w:t xml:space="preserve"> </w:t>
      </w:r>
      <w:r>
        <w:rPr>
          <w:rFonts w:ascii="Arial;sans-serif" w:hAnsi="Arial;sans-serif"/>
          <w:b w:val="false"/>
          <w:color w:val="000000"/>
          <w:sz w:val="18"/>
          <w:shd w:fill="FFFFFF" w:val="clear"/>
        </w:rPr>
        <w:t>member of the nominating and corporate governance committee meets the requirements for independence under the listing standards of Nasdaq. Our nominating and corporate governance committee is responsible for, among other things: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identifying, evaluating, and making recommendations to our board of directors regarding nominees for election to our board of directors and its committees;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overseeing the evaluation of the performance of our board of directors and of individual directors;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considering and making recommendations to our board of directors regarding the composition of our board of directors and its committees;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overseeing our corporate governance practices;</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reviewing succession planning processes for executive officers, including the CEO and assisting the board in the succession planning process;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developing and making recommendations to our board of directors regarding corporate governance guidelines and matters;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overseeing compliance with corporate sustainability reporting requirements and related risks.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2024, our nominating and corporate governance committee held three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36575"/>
                <wp:effectExtent l="0" t="0" r="0" b="0"/>
                <wp:wrapNone/>
                <wp:docPr id="51" name="Frame2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Attendance at Board and Stockholder Meetings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During our fiscal year ended December 31, 2024, our board of directors held seven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Although we do not have a formal policy regarding attendance by members of our board of directors at annual meetings of stockholders, we strongly encourage, but do not require, our directors to attend. All of our directors who then served on the board attended our 2024 annual meeting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Compensation Committee Interlocks and Insider Participation</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Considerations in Evaluating Director Nominees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pStyle w:val="TextBody"/>
        <w:bidi w:val="0"/>
        <w:spacing w:lineRule="auto" w:line="276" w:before="180" w:after="283"/>
        <w:jc w:val="left"/>
        <w:rPr/>
      </w:pPr>
      <w:r>
        <w:rPr>
          <w:rFonts w:ascii="Arial;sans-serif" w:hAnsi="Arial;sans-serif"/>
          <w:b w:val="false"/>
          <w:color w:val="000000"/>
          <w:sz w:val="18"/>
          <w:shd w:fill="FFFFFF" w:val="clear"/>
        </w:rPr>
        <w:t>The nominating and corporate governance committee considers the suitability of each director candidate, including current directors, in light of the current size and composition of our board.</w:t>
      </w:r>
      <w:r>
        <w:rPr>
          <w:color w:val="000000"/>
        </w:rPr>
        <w:t xml:space="preserve"> </w:t>
      </w:r>
      <w:r>
        <w:rPr>
          <w:rFonts w:ascii="Arial;sans-serif" w:hAnsi="Arial;sans-serif"/>
          <w:b w:val="false"/>
          <w:color w:val="000000"/>
          <w:sz w:val="18"/>
        </w:rPr>
        <w:t xml:space="preserve">We do not maintain a specific policy with regards to board diversity and our board of directors believes that our board should exhibit a wide range of views and perspectives. </w:t>
      </w:r>
      <w:r>
        <w:rPr>
          <w:rFonts w:ascii="Arial;sans-serif" w:hAnsi="Arial;sans-serif"/>
          <w:b w:val="false"/>
          <w:color w:val="000000"/>
          <w:sz w:val="18"/>
          <w:shd w:fill="FFFFFF" w:val="clear"/>
        </w:rPr>
        <w:t>After completing its review and evaluation of director candidates, including incumbent directors, our nominating and corporate governance committee recommends to our full board of directors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Board Evaluations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 </w:t>
      </w:r>
    </w:p>
    <w:p>
      <w:pPr>
        <w:pStyle w:val="TextBody"/>
        <w:bidi w:val="0"/>
        <w:spacing w:lineRule="auto" w:line="276" w:before="180" w:after="283"/>
        <w:jc w:val="left"/>
        <w:rPr/>
      </w:pPr>
      <w:r>
        <w:rPr>
          <w:rFonts w:ascii="Arial;sans-serif" w:hAnsi="Arial;sans-serif"/>
          <w:b w:val="false"/>
          <w:color w:val="000000"/>
          <w:sz w:val="18"/>
          <w:shd w:fill="FFFFFF" w:val="clear"/>
        </w:rPr>
        <w:t>Our board of directors engaged a third-party board governance consultant (the “</w:t>
      </w:r>
      <w:r>
        <w:rPr>
          <w:rFonts w:ascii="Arial;sans-serif" w:hAnsi="Arial;sans-serif"/>
          <w:b/>
          <w:i/>
          <w:color w:val="000000"/>
          <w:sz w:val="18"/>
          <w:shd w:fill="FFFFFF" w:val="clear"/>
        </w:rPr>
        <w:t>Consultant</w:t>
      </w:r>
      <w:r>
        <w:rPr>
          <w:color w:val="000000"/>
          <w:shd w:fill="FFFFFF" w:val="clear"/>
        </w:rPr>
        <w:t>”</w:t>
      </w:r>
      <w:r>
        <w:rPr>
          <w:rFonts w:ascii="Arial;sans-serif" w:hAnsi="Arial;sans-serif"/>
          <w:b w:val="false"/>
          <w:color w:val="000000"/>
          <w:sz w:val="18"/>
          <w:shd w:fill="FFFFFF" w:val="clear"/>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and its committees implement improvements and take further actions, as appropriate, based on opportunities identified during its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36575"/>
                <wp:effectExtent l="0" t="0" r="0" b="0"/>
                <wp:wrapNone/>
                <wp:docPr id="52" name="Frame2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3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Stockholder Recommendations and Nominations to the Board of Directors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articles of incorporation, bylaws, and applicable laws, rules and regulations, including those promulgated by the SEC. Our nominating and corporate governance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bylaws. Our nominating and corporate governance committee has discretion to decide which individuals to recommend for nomination as directors.</w:t>
      </w:r>
    </w:p>
    <w:p>
      <w:pPr>
        <w:pStyle w:val="TextBody"/>
        <w:bidi w:val="0"/>
        <w:spacing w:lineRule="auto" w:line="276" w:before="180" w:after="283"/>
        <w:jc w:val="left"/>
        <w:rPr/>
      </w:pPr>
      <w:r>
        <w:rPr>
          <w:rFonts w:ascii="Arial;sans-serif" w:hAnsi="Arial;sans-serif"/>
          <w:b w:val="false"/>
          <w:color w:val="000000"/>
          <w:sz w:val="18"/>
          <w:shd w:fill="FFFFFF" w:val="clear"/>
        </w:rPr>
        <w:t>Under our bylaws, stockholders may also directly nominate persons for our board of directors. Any nomination must comply with the requirements set forth in our bylaws and should be sent in writing to our Corporate Secretary at Dropbox, Inc., 1800 Owens Street San Francisco, California 94158. To be timely for the 2026 annual meeting of stockholders, nominations must be received by our Corporate Secretary observing the same deadlines for stockholder proposals discussed above under “</w:t>
      </w:r>
      <w:r>
        <w:rPr>
          <w:rFonts w:ascii="Arial;sans-serif" w:hAnsi="Arial;sans-serif"/>
          <w:b w:val="false"/>
          <w:i/>
          <w:color w:val="000000"/>
          <w:sz w:val="18"/>
          <w:shd w:fill="FFFFFF" w:val="clear"/>
        </w:rPr>
        <w:t>What is the deadline to propose actions for consideration at next year’s annual meeting of stockholders or to nominate individuals to serve as directors? – Stockholder Proposals.</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Communications with the Board of Directors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pStyle w:val="TextBody"/>
        <w:bidi w:val="0"/>
        <w:spacing w:lineRule="auto" w:line="276" w:before="180" w:after="283"/>
        <w:jc w:val="left"/>
        <w:rPr/>
      </w:pPr>
      <w:r>
        <w:rPr>
          <w:rFonts w:ascii="Arial;sans-serif" w:hAnsi="Arial;sans-serif"/>
          <w:b w:val="false"/>
          <w:color w:val="000000"/>
          <w:sz w:val="18"/>
          <w:shd w:fill="FFFFFF" w:val="clear"/>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sans-serif" w:hAnsi="Arial;sans-serif"/>
          <w:b w:val="false"/>
          <w:i/>
          <w:color w:val="000000"/>
          <w:sz w:val="18"/>
          <w:shd w:fill="FFFFFF" w:val="clear"/>
        </w:rPr>
        <w:t>What is the deadline to propose actions for consideration at next year’s annual meeting of stockholders or to nominate individuals to serve as directors?—Stockholder Proposals</w:t>
      </w:r>
      <w:r>
        <w:rPr>
          <w:color w:val="000000"/>
          <w:shd w:fill="FFFFFF" w:val="clear"/>
        </w:rPr>
        <w:t xml:space="preserve">” </w:t>
      </w:r>
      <w:r>
        <w:rPr>
          <w:rFonts w:ascii="Arial;sans-serif" w:hAnsi="Arial;sans-serif"/>
          <w:b w:val="false"/>
          <w:color w:val="000000"/>
          <w:sz w:val="18"/>
          <w:shd w:fill="FFFFFF" w:val="clear"/>
        </w:rPr>
        <w:t>described above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Corporate Governance Guidelines and Code of Business Conduct and Ethics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pStyle w:val="TextBody"/>
        <w:bidi w:val="0"/>
        <w:spacing w:lineRule="auto" w:line="276" w:before="3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Stock Ownership Guidelines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talent and compensation committee of our board of directors adopted stock ownership guidelines for our independent directors and executive officers. Under these guidelines, all independent directors are required to acquire and 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36575"/>
                <wp:effectExtent l="0" t="0" r="0" b="0"/>
                <wp:wrapNone/>
                <wp:docPr id="53" name="Frame2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80" w:after="283"/>
        <w:jc w:val="left"/>
        <w:rPr/>
      </w:pPr>
      <w:r>
        <w:rPr>
          <w:rFonts w:ascii="Arial;sans-serif" w:hAnsi="Arial;sans-serif"/>
          <w:b w:val="false"/>
          <w:color w:val="000000"/>
          <w:sz w:val="18"/>
          <w:shd w:fill="FFFFFF" w:val="clear"/>
        </w:rPr>
        <w:t>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 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w:t>
      </w:r>
      <w:r>
        <w:rPr>
          <w:rFonts w:ascii="Arial;sans-serif" w:hAnsi="Arial;sans-serif"/>
          <w:b w:val="false"/>
          <w:i/>
          <w:color w:val="000000"/>
          <w:sz w:val="18"/>
          <w:shd w:fill="FFFFFF" w:val="clear"/>
        </w:rPr>
        <w:t>Executive Compensation — Compensation Discussion and Analysis — Stock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Role of Board in Risk Oversight Process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addition, our board has designated standing committees with oversight of certain categories of risk and receives regular reports on significant risk-related committee activities at full board meetings. Delegated committee oversight of specific risks is below. </w:t>
      </w:r>
    </w:p>
    <w:tbl>
      <w:tblPr>
        <w:tblW w:w="10205" w:type="dxa"/>
        <w:jc w:val="left"/>
        <w:tblInd w:w="0" w:type="dxa"/>
        <w:tblLayout w:type="fixed"/>
        <w:tblCellMar>
          <w:top w:w="28" w:type="dxa"/>
          <w:left w:w="28" w:type="dxa"/>
          <w:bottom w:w="28" w:type="dxa"/>
          <w:right w:w="28" w:type="dxa"/>
        </w:tblCellMar>
      </w:tblPr>
      <w:tblGrid>
        <w:gridCol w:w="2590"/>
        <w:gridCol w:w="1421"/>
        <w:gridCol w:w="1421"/>
        <w:gridCol w:w="1894"/>
        <w:gridCol w:w="1190"/>
        <w:gridCol w:w="1689"/>
      </w:tblGrid>
      <w:tr>
        <w:trPr/>
        <w:tc>
          <w:tcPr>
            <w:tcW w:w="259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r>
      <w:tr>
        <w:trPr/>
        <w:tc>
          <w:tcPr>
            <w:tcW w:w="5432"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5EFFD"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63A6"/>
                <w:sz w:val="24"/>
              </w:rPr>
            </w:pPr>
            <w:r>
              <w:rPr>
                <w:rFonts w:ascii="Arial;sans-serif" w:hAnsi="Arial;sans-serif"/>
                <w:b/>
                <w:color w:val="0063A6"/>
                <w:sz w:val="24"/>
              </w:rPr>
              <w:t xml:space="preserve">Audit </w:t>
              <w:br/>
              <w:t>Committee</w:t>
            </w:r>
          </w:p>
        </w:tc>
      </w:tr>
      <w:tr>
        <w:trPr/>
        <w:tc>
          <w:tcPr>
            <w:tcW w:w="5432"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tc>
      </w:tr>
      <w:tr>
        <w:trPr/>
        <w:tc>
          <w:tcPr>
            <w:tcW w:w="5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2" w:type="dxa"/>
            <w:gridSpan w:val="3"/>
            <w:tcBorders/>
            <w:shd w:fill="E5EFFD"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63A6"/>
                <w:sz w:val="24"/>
              </w:rPr>
            </w:pPr>
            <w:r>
              <w:rPr>
                <w:rFonts w:ascii="Arial;sans-serif" w:hAnsi="Arial;sans-serif"/>
                <w:b/>
                <w:color w:val="0063A6"/>
                <w:sz w:val="24"/>
              </w:rPr>
              <w:t xml:space="preserve">Talent and Compensation </w:t>
              <w:br/>
              <w:t>Committee</w:t>
            </w:r>
          </w:p>
        </w:tc>
        <w:tc>
          <w:tcPr>
            <w:tcW w:w="4773" w:type="dxa"/>
            <w:gridSpan w:val="3"/>
            <w:tcBorders>
              <w:left w:val="single" w:sz="12" w:space="0" w:color="FFFFFF"/>
            </w:tcBorders>
            <w:shd w:fill="E5EFFD"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0063A6"/>
                <w:sz w:val="24"/>
              </w:rPr>
            </w:pPr>
            <w:r>
              <w:rPr>
                <w:rFonts w:ascii="Arial;sans-serif" w:hAnsi="Arial;sans-serif"/>
                <w:b/>
                <w:color w:val="0063A6"/>
                <w:sz w:val="24"/>
              </w:rPr>
              <w:t xml:space="preserve">Nominating and </w:t>
              <w:br/>
              <w:t>Corporate Governance Committee</w:t>
            </w:r>
          </w:p>
        </w:tc>
      </w:tr>
      <w:tr>
        <w:trPr/>
        <w:tc>
          <w:tcPr>
            <w:tcW w:w="5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tc>
        <w:tc>
          <w:tcPr>
            <w:tcW w:w="477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Our nominating and corporate governance committee assesses risks relating to our corporate governance practices and the independence of the board. Our nominating and corporate governance committee also generally oversees our compliance with corporate sustainability reporting and related risks.</w:t>
            </w:r>
          </w:p>
        </w:tc>
      </w:tr>
    </w:tbl>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board of directors believes its current leadership structure supports the risk oversight function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0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Cybersecurity and Data Privacy Governance</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Our Guiding Value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pStyle w:val="TextBody"/>
        <w:bidi w:val="0"/>
        <w:spacing w:lineRule="auto" w:line="276" w:before="280" w:after="283"/>
        <w:jc w:val="left"/>
        <w:rPr>
          <w:rFonts w:ascii="Arial;sans-serif" w:hAnsi="Arial;sans-serif"/>
          <w:b/>
          <w:color w:val="0063A6"/>
          <w:sz w:val="18"/>
          <w:shd w:fill="FFFFFF" w:val="clear"/>
        </w:rPr>
      </w:pPr>
      <w:r>
        <w:rPr>
          <w:rFonts w:ascii="Arial;sans-serif" w:hAnsi="Arial;sans-serif"/>
          <w:b/>
          <w:color w:val="0063A6"/>
          <w:sz w:val="18"/>
          <w:shd w:fill="FFFFFF" w:val="clear"/>
        </w:rPr>
        <w:t>Board and Management Oversight</w:t>
      </w:r>
    </w:p>
    <w:p>
      <w:pPr>
        <w:pStyle w:val="TextBody"/>
        <w:bidi w:val="0"/>
        <w:spacing w:lineRule="auto" w:line="276" w:before="100" w:after="283"/>
        <w:jc w:val="left"/>
        <w:rPr/>
      </w:pPr>
      <w:r>
        <w:rPr>
          <w:rFonts w:ascii="Arial;sans-serif" w:hAnsi="Arial;sans-serif"/>
          <w:b w:val="false"/>
          <w:color w:val="000000"/>
          <w:sz w:val="18"/>
          <w:shd w:fill="FFFFFF" w:val="clear"/>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w:t>
      </w:r>
      <w:r>
        <w:rPr>
          <w:color w:val="000000"/>
        </w:rPr>
        <w:t xml:space="preserve"> </w:t>
      </w:r>
      <w:r>
        <w:rPr>
          <w:rFonts w:ascii="Arial;sans-serif" w:hAnsi="Arial;sans-serif"/>
          <w:b w:val="false"/>
          <w:color w:val="000000"/>
          <w:sz w:val="18"/>
        </w:rPr>
        <w:t>Additionally, our audit committee oversees programs and policies related to cybersecurity risks and initiatives. Our audit committee is comprised entirely of independent directors who evaluate these issues at least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36575"/>
                <wp:effectExtent l="0" t="0" r="0" b="0"/>
                <wp:wrapNone/>
                <wp:docPr id="54" name="Frame2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before="100" w:after="283"/>
        <w:jc w:val="left"/>
        <w:rPr/>
      </w:pPr>
      <w:r>
        <w:rPr/>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Legal Officer and Chief Privacy Officer, our VP of Security, and our Chief Technology Officer.</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8"/>
        </w:rPr>
        <w:t>Members of senior leadership are informed about and monitor the prevention, mitigation, detection, and remediation of cybersecurity incidents through their management of, and participation in, our cybersecurity risk management and strategy processes, including the operation of our incident response plan. 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r>
        <w:rPr>
          <w:color w:val="000000"/>
          <w:shd w:fill="FFFFFF" w:val="clear"/>
        </w:rPr>
        <w:t xml:space="preserve"> </w:t>
      </w:r>
    </w:p>
    <w:p>
      <w:pPr>
        <w:pStyle w:val="TextBody"/>
        <w:bidi w:val="0"/>
        <w:spacing w:lineRule="auto" w:line="276" w:before="180" w:after="283"/>
        <w:jc w:val="left"/>
        <w:rPr>
          <w:rFonts w:ascii="Arial;sans-serif" w:hAnsi="Arial;sans-serif"/>
          <w:b w:val="false"/>
          <w:color w:val="000000"/>
          <w:sz w:val="18"/>
        </w:rPr>
      </w:pPr>
      <w:r>
        <w:rPr>
          <w:rFonts w:ascii="Arial;sans-serif" w:hAnsi="Arial;sans-serif"/>
          <w:b w:val="false"/>
          <w:color w:val="000000"/>
          <w:sz w:val="18"/>
        </w:rPr>
        <w:t>We also have a Data Protection Officer who provides independent oversight of our privacy program and guidance on privacy issues. Our Data Protection Officer acts as the single point of contact for privacy-related requests for users subject to the General Data Protection Regulation, as well as for regulatory authorities. Our Data Protection Officer reports periodically to executive management, the board of directors, and the audit committee on privacy risks to provide an independent assessment of our privacy program.</w:t>
      </w:r>
    </w:p>
    <w:p>
      <w:pPr>
        <w:pStyle w:val="TextBody"/>
        <w:bidi w:val="0"/>
        <w:spacing w:lineRule="auto" w:line="276" w:before="440" w:after="283"/>
        <w:jc w:val="left"/>
        <w:rPr>
          <w:rFonts w:ascii="Arial;sans-serif" w:hAnsi="Arial;sans-serif"/>
          <w:b/>
          <w:color w:val="0063A6"/>
          <w:sz w:val="18"/>
        </w:rPr>
      </w:pPr>
      <w:r>
        <w:rPr>
          <w:rFonts w:ascii="Arial;sans-serif" w:hAnsi="Arial;sans-serif"/>
          <w:b/>
          <w:color w:val="0063A6"/>
          <w:sz w:val="18"/>
        </w:rPr>
        <w:t>External Auditing Standards</w:t>
      </w:r>
    </w:p>
    <w:p>
      <w:pPr>
        <w:pStyle w:val="TextBody"/>
        <w:bidi w:val="0"/>
        <w:spacing w:lineRule="auto" w:line="276" w:before="100" w:after="283"/>
        <w:jc w:val="left"/>
        <w:rPr>
          <w:rFonts w:ascii="Arial;sans-serif" w:hAnsi="Arial;sans-serif"/>
          <w:b w:val="false"/>
          <w:color w:val="000000"/>
          <w:sz w:val="18"/>
        </w:rPr>
      </w:pPr>
      <w:r>
        <w:rPr>
          <w:rFonts w:ascii="Arial;sans-serif" w:hAnsi="Arial;sans-serif"/>
          <w:b w:val="false"/>
          <w:color w:val="000000"/>
          <w:sz w:val="18"/>
        </w:rPr>
        <w:t>Several of our security and privacy management systems are independently examined and/or certified according to internationally recognized standards:</w:t>
      </w:r>
    </w:p>
    <w:p>
      <w:pPr>
        <w:pStyle w:val="TextBody"/>
        <w:bidi w:val="0"/>
        <w:spacing w:lineRule="auto" w:line="276" w:before="140" w:after="283"/>
        <w:ind w:left="0" w:right="0" w:hanging="360"/>
        <w:jc w:val="left"/>
        <w:rPr/>
      </w:pPr>
      <w:r>
        <w:rPr>
          <w:color w:val="0063A6"/>
        </w:rPr>
        <w:t>•</w:t>
      </w:r>
      <w:r>
        <w:rPr>
          <w:rFonts w:ascii="Arial;sans-serif" w:hAnsi="Arial;sans-serif"/>
          <w:b w:val="false"/>
          <w:color w:val="000000"/>
          <w:sz w:val="18"/>
        </w:rPr>
        <w:t>Our primary information security management system is independently examined on an annual basis and is ISO 27001 certified.</w:t>
      </w:r>
    </w:p>
    <w:p>
      <w:pPr>
        <w:pStyle w:val="TextBody"/>
        <w:bidi w:val="0"/>
        <w:spacing w:lineRule="auto" w:line="276" w:before="140" w:after="283"/>
        <w:ind w:left="0" w:right="0" w:hanging="360"/>
        <w:jc w:val="left"/>
        <w:rPr/>
      </w:pPr>
      <w:r>
        <w:rPr>
          <w:color w:val="0063A6"/>
        </w:rPr>
        <w:t>•</w:t>
      </w:r>
      <w:r>
        <w:rPr>
          <w:rFonts w:ascii="Arial;sans-serif" w:hAnsi="Arial;sans-serif"/>
          <w:b w:val="false"/>
          <w:color w:val="000000"/>
          <w:sz w:val="18"/>
        </w:rPr>
        <w:t xml:space="preserve">Our primary privacy information management system is independently examined on an annual basis and is ISO 27701 certified. </w:t>
      </w:r>
    </w:p>
    <w:p>
      <w:pPr>
        <w:pStyle w:val="TextBody"/>
        <w:bidi w:val="0"/>
        <w:spacing w:lineRule="auto" w:line="276" w:before="140" w:after="283"/>
        <w:ind w:left="0" w:right="0" w:hanging="360"/>
        <w:jc w:val="left"/>
        <w:rPr/>
      </w:pPr>
      <w:r>
        <w:rPr>
          <w:color w:val="0063A6"/>
        </w:rPr>
        <w:t>•</w:t>
      </w:r>
      <w:r>
        <w:rPr>
          <w:rFonts w:ascii="Arial;sans-serif" w:hAnsi="Arial;sans-serif"/>
          <w:b w:val="false"/>
          <w:color w:val="000000"/>
          <w:sz w:val="18"/>
        </w:rPr>
        <w:t xml:space="preserve">Our primary cloud security controls are ISO 27017 certified and our cloud privacy and data protection controls are ISO 27018 certified. </w:t>
      </w:r>
    </w:p>
    <w:p>
      <w:pPr>
        <w:pStyle w:val="TextBody"/>
        <w:bidi w:val="0"/>
        <w:spacing w:lineRule="auto" w:line="276" w:before="140" w:after="283"/>
        <w:ind w:left="0" w:right="0" w:hanging="360"/>
        <w:jc w:val="left"/>
        <w:rPr/>
      </w:pPr>
      <w:r>
        <w:rPr>
          <w:color w:val="0063A6"/>
        </w:rPr>
        <w:t>•</w:t>
      </w:r>
      <w:r>
        <w:rPr>
          <w:rFonts w:ascii="Arial;sans-serif" w:hAnsi="Arial;sans-serif"/>
          <w:b w:val="false"/>
          <w:color w:val="000000"/>
          <w:sz w:val="18"/>
        </w:rPr>
        <w:t>Our primary incident-response policies and procedures are examined as part of SOC 2, ISO 27001, and other security assessments.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Employee Training</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All employees are required to complete annual information security and privacy training. They also receive ongoing security awareness education via informational emails, talks and presentations, and resources available on our intranet.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Our Impact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At Dropbox, our mission is to create a more enlightened way of working. We believe Dropbox’s long-term success will be strengthened by helping to create a better world for our stakeholders.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pStyle w:val="TextBody"/>
        <w:bidi w:val="0"/>
        <w:spacing w:lineRule="auto" w:line="276" w:before="160" w:after="283"/>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Employee Wellness and Development</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In 2020, we announced our Virtual First work model pursuant to which remote work has become the primary experience for all of our employees; as part of our Virtual First workforce strategy, we strive to support our employees by: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Providing a quarterly allowance that gives employees the flexibility to focus this benefit towards what really matters to them; this may include health and wellness, family and caregiver support, productivity and ergonomics, learning and development programs or financial wellness.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Empowering our employees to adopt flexible working arrangements and providing tools for efficient remote collaboration.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Continuing to provide opportunities for in-person collaboration at our “Dropbox Studios” locations and “On-Demand Spaces” and through team offsites and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36575"/>
                <wp:effectExtent l="0" t="0" r="0" b="0"/>
                <wp:wrapNone/>
                <wp:docPr id="55" name="Frame2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18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are committed to supporting the well-being of our employees by providing paid parental leave for all eligible employees, as well as mental and physical wellness benefits.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sans-serif" w:hAnsi="Arial;sans-serif"/>
          <w:b/>
          <w:i/>
          <w:color w:val="000000"/>
          <w:sz w:val="18"/>
          <w:shd w:fill="FFFFFF" w:val="clear"/>
        </w:rPr>
        <w:t>GSOC</w:t>
      </w:r>
      <w:r>
        <w:rPr>
          <w:color w:val="000000"/>
          <w:shd w:fill="FFFFFF" w:val="clear"/>
        </w:rPr>
        <w:t>”</w:t>
      </w:r>
      <w:r>
        <w:rPr>
          <w:rFonts w:ascii="Arial;sans-serif" w:hAnsi="Arial;sans-serif"/>
          <w:b w:val="false"/>
          <w:color w:val="000000"/>
          <w:sz w:val="18"/>
          <w:shd w:fill="FFFFFF" w:val="clear"/>
        </w:rPr>
        <w:t>). GSOC helps employees whenever there’s an emergency or incident and is the main contact during a crisis response by Dropbox. GSOC provides around-the-clock support for employees whether they’re in a studio, on a business trip, or at home.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With the shift to our Virtual First work model, we remain committed to supporting employee wellness and development: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provide subsidized dependent care and access to dependent care resources, as well as supporting flexible working arrangements for our employees with caregiving obligations.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offer a program to help employees and their dependents manage their mental health through coaching, therapy, and on-demand resources.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We continue to offer a variety of learning and development opportunities for our employees and managers, which include digital learnings, skill-building workshops as well as coaching pods to support connection and peer learning in a remote context.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We conduct a bi-annual employee engagement survey, the results of which are used by management to refine our employee wellness and development initiatives. </w:t>
      </w:r>
    </w:p>
    <w:p>
      <w:pPr>
        <w:pStyle w:val="TextBody"/>
        <w:bidi w:val="0"/>
        <w:spacing w:lineRule="auto" w:line="276" w:before="180" w:after="283"/>
        <w:jc w:val="left"/>
        <w:rPr/>
      </w:pPr>
      <w:r>
        <w:rPr>
          <w:rFonts w:ascii="Arial;sans-serif" w:hAnsi="Arial;sans-serif"/>
          <w:b w:val="false"/>
          <w:i/>
          <w:color w:val="000000"/>
          <w:sz w:val="18"/>
          <w:shd w:fill="FFFFFF" w:val="clear"/>
        </w:rPr>
        <w:t>Social Impact</w:t>
      </w:r>
      <w:r>
        <w:rPr>
          <w:color w:val="000000"/>
          <w:shd w:fill="FFFFFF" w:val="clear"/>
        </w:rPr>
        <w:t xml:space="preserve">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At Dropbox, we’re committed to leveraging our people, products, and resources for good, which we believe positively contributes to our work culture and helps us recruit and retain talented employees.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empower our employees to give back to their communities by providing paid volunteer time off, matching a portion of employee donations to nonprofits and making Dropbox product donations to nonprofit organizations that are nominated by our employees.</w:t>
      </w:r>
    </w:p>
    <w:p>
      <w:pPr>
        <w:pStyle w:val="TextBody"/>
        <w:bidi w:val="0"/>
        <w:spacing w:lineRule="auto" w:line="276" w:before="180" w:after="283"/>
        <w:jc w:val="left"/>
        <w:rPr/>
      </w:pPr>
      <w:r>
        <w:rPr>
          <w:rFonts w:ascii="Arial;sans-serif" w:hAnsi="Arial;sans-serif"/>
          <w:b w:val="false"/>
          <w:i/>
          <w:color w:val="000000"/>
          <w:sz w:val="18"/>
          <w:shd w:fill="FFFFFF" w:val="clear"/>
        </w:rPr>
        <w:t>Business Conduct and Ethics; Human and Labor Rights</w:t>
      </w:r>
      <w:r>
        <w:rPr>
          <w:color w:val="000000"/>
          <w:shd w:fill="FFFFFF" w:val="clear"/>
        </w:rPr>
        <w:t xml:space="preserve">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have a Worldwide Code of Business Conduct and Ethics (the “</w:t>
      </w:r>
      <w:r>
        <w:rPr>
          <w:rFonts w:ascii="Arial;sans-serif" w:hAnsi="Arial;sans-serif"/>
          <w:b/>
          <w:i/>
          <w:color w:val="000000"/>
          <w:sz w:val="18"/>
          <w:shd w:fill="FFFFFF" w:val="clear"/>
        </w:rPr>
        <w:t>Code of Conduct</w:t>
      </w:r>
      <w:r>
        <w:rPr>
          <w:color w:val="000000"/>
          <w:shd w:fill="FFFFFF" w:val="clear"/>
        </w:rPr>
        <w:t>”</w:t>
      </w:r>
      <w:r>
        <w:rPr>
          <w:rFonts w:ascii="Arial;sans-serif" w:hAnsi="Arial;sans-serif"/>
          <w:b w:val="false"/>
          <w:color w:val="000000"/>
          <w:sz w:val="18"/>
          <w:shd w:fill="FFFFFF" w:val="clear"/>
        </w:rPr>
        <w:t xml:space="preserve">) that is applicable to all our employees, officers, directors and independent contractors, as well as written policies addressing insider trading, anti-corruption, financial controls and maintaining confidentiality.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The Code of Conduct and our internal policies are reviewed on an annual basis and updated as necessary.</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All employees are required to complete a training course on the Code of Conduct and related policies on an annual basis; additional trainings on select topics are provided to certain employees based on their roles.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We prohibit all forms of slavery, human trafficking, and discrimination in our operations, and we strive to ensure that our policies and procedures are reflective of our commitment to human and labor rights.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Our Supplier Code of Conduct establishes our expectations of a supplier’s commitment to safeguarding human rights in their own operations. </w:t>
      </w:r>
    </w:p>
    <w:p>
      <w:pPr>
        <w:pStyle w:val="TextBody"/>
        <w:bidi w:val="0"/>
        <w:spacing w:lineRule="auto" w:line="276" w:before="160" w:after="283"/>
        <w:ind w:left="0" w:right="0" w:firstLine="36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AI Principles</w:t>
      </w:r>
    </w:p>
    <w:p>
      <w:pPr>
        <w:pStyle w:val="TextBody"/>
        <w:bidi w:val="0"/>
        <w:spacing w:lineRule="auto" w:line="276" w:before="180" w:after="283"/>
        <w:ind w:left="0" w:right="0" w:hanging="360"/>
        <w:jc w:val="left"/>
        <w:rPr/>
      </w:pPr>
      <w:r>
        <w:rPr>
          <w:color w:val="0063A6"/>
          <w:shd w:fill="FFFFFF" w:val="clear"/>
        </w:rPr>
        <w:t>•</w:t>
      </w:r>
      <w:r>
        <w:rPr>
          <w:rFonts w:ascii="Arial;sans-serif" w:hAnsi="Arial;sans-serif"/>
          <w:b w:val="false"/>
          <w:color w:val="000000"/>
          <w:sz w:val="18"/>
          <w:shd w:fill="FFFFFF" w:val="clear"/>
        </w:rPr>
        <w:t>We have a dedicated website disclosing AI principles that will continue to guide our teams as we develop AI products and features responsibly in the years to come.</w:t>
      </w:r>
    </w:p>
    <w:p>
      <w:pPr>
        <w:pStyle w:val="TextBody"/>
        <w:bidi w:val="0"/>
        <w:spacing w:lineRule="auto" w:line="276" w:before="180" w:after="283"/>
        <w:ind w:left="0" w:right="0" w:firstLine="360"/>
        <w:jc w:val="left"/>
        <w:rPr>
          <w:rFonts w:ascii="Arial;sans-serif" w:hAnsi="Arial;sans-serif"/>
          <w:b w:val="false"/>
          <w:i/>
          <w:color w:val="000000"/>
          <w:sz w:val="18"/>
          <w:shd w:fill="FFFFFF" w:val="clear"/>
        </w:rPr>
      </w:pPr>
      <w:r>
        <w:rPr>
          <w:rFonts w:ascii="Arial;sans-serif" w:hAnsi="Arial;sans-serif"/>
          <w:b w:val="false"/>
          <w:i/>
          <w:color w:val="000000"/>
          <w:sz w:val="18"/>
          <w:shd w:fill="FFFFFF" w:val="clear"/>
        </w:rPr>
        <w:t>Insider Trading Policy</w:t>
      </w:r>
    </w:p>
    <w:p>
      <w:pPr>
        <w:pStyle w:val="TextBody"/>
        <w:bidi w:val="0"/>
        <w:spacing w:lineRule="auto" w:line="276" w:before="180" w:after="283"/>
        <w:ind w:left="0" w:right="0" w:hanging="360"/>
        <w:jc w:val="left"/>
        <w:rPr/>
      </w:pPr>
      <w:r>
        <w:rPr>
          <w:color w:val="0063A6"/>
          <w:shd w:fill="FFFFFF" w:val="clear"/>
        </w:rPr>
        <w:t>•</w:t>
      </w:r>
      <w:r>
        <w:rPr>
          <w:rFonts w:ascii="Arial;sans-serif" w:hAnsi="Arial;sans-serif"/>
          <w:b w:val="false"/>
          <w:color w:val="000000"/>
          <w:sz w:val="18"/>
          <w:shd w:fill="FFFFFF" w:val="clear"/>
        </w:rPr>
        <w:t xml:space="preserve">We </w:t>
      </w:r>
      <w:r>
        <w:rPr>
          <w:rFonts w:ascii="Arial;sans-serif" w:hAnsi="Arial;sans-serif"/>
          <w:b w:val="false"/>
          <w:color w:val="000000"/>
          <w:sz w:val="18"/>
        </w:rPr>
        <w:t xml:space="preserve">have adopted an insider trading policy governing the purchase, sale and other dispositions of our securities that applies to all personnel of Dropbox and our subsidiaries, including directors, officers, and employees, and to certain other covered persons. We believe that our insider trading policy is reasonably designed to promote compliance with insider trading laws, rules, and regulations, as well as applicable listing standards. A copy of our insider trading policy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36575"/>
                <wp:effectExtent l="0" t="0" r="0" b="0"/>
                <wp:wrapNone/>
                <wp:docPr id="56" name="Frame2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80" w:after="283"/>
        <w:jc w:val="left"/>
        <w:rPr>
          <w:rFonts w:ascii="Arial;sans-serif" w:hAnsi="Arial;sans-serif"/>
          <w:b w:val="false"/>
          <w:color w:val="000000"/>
          <w:sz w:val="18"/>
        </w:rPr>
      </w:pPr>
      <w:r>
        <w:rPr>
          <w:rFonts w:ascii="Arial;sans-serif" w:hAnsi="Arial;sans-serif"/>
          <w:b w:val="false"/>
          <w:color w:val="000000"/>
          <w:sz w:val="18"/>
        </w:rPr>
        <w:t>filed as an Exhibit 19.1 to our Annual Report on Form 10-K filed on February 21, 2025.</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18"/>
        </w:rPr>
        <w:t>From time to time, we engage in transactions in our own securities, including purchases and sales. We comply with all applicable securities and state laws (including appropriate approvals by our board of directors or appropriate committee, if required) when engaging in transactions in our securities.</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Director Compensation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adopted a compensation policy for our non-employee directors. Under the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believe the director compensation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director compensation policy. Our director compensation policy follows the principles listed below.</w:t>
      </w:r>
    </w:p>
    <w:tbl>
      <w:tblPr>
        <w:tblW w:w="10205" w:type="dxa"/>
        <w:jc w:val="left"/>
        <w:tblInd w:w="0" w:type="dxa"/>
        <w:tblLayout w:type="fixed"/>
        <w:tblCellMar>
          <w:top w:w="28" w:type="dxa"/>
          <w:left w:w="28" w:type="dxa"/>
          <w:bottom w:w="28" w:type="dxa"/>
          <w:right w:w="28" w:type="dxa"/>
        </w:tblCellMar>
      </w:tblPr>
      <w:tblGrid>
        <w:gridCol w:w="564"/>
        <w:gridCol w:w="495"/>
        <w:gridCol w:w="498"/>
        <w:gridCol w:w="2547"/>
        <w:gridCol w:w="2521"/>
        <w:gridCol w:w="3580"/>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op w:val="single" w:sz="8" w:space="0" w:color="0063A6"/>
              <w:left w:val="single" w:sz="8" w:space="0" w:color="0063A6"/>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op w:val="single" w:sz="8" w:space="0" w:color="0063A6"/>
              <w:left w:val="single" w:sz="8" w:space="0" w:color="0063A6"/>
              <w:right w:val="single" w:sz="8" w:space="0" w:color="0063A6"/>
            </w:tcBorders>
            <w:shd w:fill="0063A6" w:val="clear"/>
            <w:tcMar>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Principle</w:t>
            </w:r>
          </w:p>
        </w:tc>
        <w:tc>
          <w:tcPr>
            <w:tcW w:w="8648" w:type="dxa"/>
            <w:gridSpan w:val="3"/>
            <w:tcBorders>
              <w:left w:val="single" w:sz="8" w:space="0" w:color="0063A6"/>
              <w:right w:val="single" w:sz="8" w:space="0" w:color="0063A6"/>
            </w:tcBorders>
            <w:shd w:fill="0063A6" w:val="clear"/>
            <w:tcMar>
              <w:top w:w="0" w:type="dxa"/>
              <w:left w:w="67" w:type="dxa"/>
              <w:bottom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557" w:type="dxa"/>
            <w:gridSpan w:val="3"/>
            <w:tcBorders>
              <w:left w:val="single" w:sz="8" w:space="0" w:color="0063A6"/>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right w:val="single" w:sz="8" w:space="0" w:color="0063A6"/>
            </w:tcBorders>
            <w:shd w:fill="0063A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Pay Mix</w:t>
            </w:r>
          </w:p>
        </w:tc>
        <w:tc>
          <w:tcPr>
            <w:tcW w:w="8648" w:type="dxa"/>
            <w:gridSpan w:val="3"/>
            <w:tcBorders>
              <w:left w:val="single" w:sz="8" w:space="0" w:color="0063A6"/>
              <w:right w:val="single" w:sz="8" w:space="0" w:color="0063A6"/>
            </w:tcBorders>
            <w:tcMar>
              <w:top w:w="0" w:type="dxa"/>
              <w:left w:w="67" w:type="dxa"/>
              <w:bottom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Our director compensation policy consists of a balance of cash and equity, with an emphasis on equity over cash, in order to better align the interests of our directors with that of our stockholders.</w:t>
            </w:r>
          </w:p>
        </w:tc>
      </w:tr>
      <w:tr>
        <w:trPr/>
        <w:tc>
          <w:tcPr>
            <w:tcW w:w="1557"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Compensation Limit</w:t>
            </w:r>
          </w:p>
        </w:tc>
        <w:tc>
          <w:tcPr>
            <w:tcW w:w="8648" w:type="dxa"/>
            <w:gridSpan w:val="3"/>
            <w:tcBorders>
              <w:left w:val="single" w:sz="8" w:space="0" w:color="0063A6"/>
              <w:right w:val="single" w:sz="8" w:space="0" w:color="0063A6"/>
            </w:tcBorders>
            <w:tcMar>
              <w:top w:w="0" w:type="dxa"/>
              <w:bottom w:w="0" w:type="dxa"/>
            </w:tcMar>
            <w:vAlign w:val="center"/>
          </w:tcPr>
          <w:p>
            <w:pPr>
              <w:pStyle w:val="TableContents"/>
              <w:bidi w:val="0"/>
              <w:spacing w:lineRule="auto" w:line="276" w:before="80" w:after="80"/>
              <w:jc w:val="left"/>
              <w:rPr/>
            </w:pPr>
            <w:r>
              <w:rPr>
                <w:rFonts w:ascii="Arial;sans-serif" w:hAnsi="Arial;sans-serif"/>
                <w:b w:val="false"/>
                <w:color w:val="000000"/>
                <w:sz w:val="18"/>
              </w:rPr>
              <w:t>Our director compensation policy includes a maximum annual limit of $1,200,000 of cash compensation and equity awards that may be paid, issued, or granted to a non-employee director in any fiscal year. The maximum limit does not reflect the intended size of any potential compensation or equity awards to our non-employee directors. Any cash compensation paid or equity awards granted to a person for his or her services as an employee, or for his or her services as a consultant (other than as a non-employee director), will not count for purposes of the limitation. For purposes of this limitation, the value of equity awards is based on the grant date fair value (determined in accordance with U.S. Generally Accepted Accounting Principles (“</w:t>
            </w:r>
            <w:r>
              <w:rPr>
                <w:rFonts w:ascii="Arial;sans-serif" w:hAnsi="Arial;sans-serif"/>
                <w:b/>
                <w:i/>
                <w:color w:val="000000"/>
                <w:sz w:val="18"/>
              </w:rPr>
              <w:t>GAAP</w:t>
            </w:r>
            <w:r>
              <w:rPr>
                <w:color w:val="000000"/>
              </w:rPr>
              <w:t>”</w:t>
            </w:r>
            <w:r>
              <w:rPr>
                <w:rFonts w:ascii="Arial;sans-serif" w:hAnsi="Arial;sans-serif"/>
                <w:b w:val="false"/>
                <w:color w:val="000000"/>
                <w:sz w:val="18"/>
              </w:rPr>
              <w:t>)).</w:t>
            </w:r>
          </w:p>
        </w:tc>
      </w:tr>
      <w:tr>
        <w:trPr/>
        <w:tc>
          <w:tcPr>
            <w:tcW w:w="1557"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Regular Review</w:t>
            </w:r>
          </w:p>
        </w:tc>
        <w:tc>
          <w:tcPr>
            <w:tcW w:w="8648" w:type="dxa"/>
            <w:gridSpan w:val="3"/>
            <w:tcBorders>
              <w:left w:val="single" w:sz="8" w:space="0" w:color="0063A6"/>
              <w:right w:val="single" w:sz="8" w:space="0" w:color="0063A6"/>
            </w:tcBorders>
            <w:tcMar>
              <w:top w:w="0" w:type="dxa"/>
              <w:left w:w="67" w:type="dxa"/>
              <w:bottom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With advice from Compensia, our talent and compensation committee regularly reviews the amount and form of director compensation to ensure consistency with prudent governance practices and comparability with our peer group.</w:t>
            </w:r>
          </w:p>
        </w:tc>
      </w:tr>
      <w:tr>
        <w:trPr/>
        <w:tc>
          <w:tcPr>
            <w:tcW w:w="1557"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Board Leadership Compensation</w:t>
            </w:r>
          </w:p>
        </w:tc>
        <w:tc>
          <w:tcPr>
            <w:tcW w:w="8648" w:type="dxa"/>
            <w:gridSpan w:val="3"/>
            <w:tcBorders>
              <w:left w:val="single" w:sz="8" w:space="0" w:color="0063A6"/>
              <w:right w:val="single" w:sz="8" w:space="0" w:color="0063A6"/>
            </w:tcBorders>
            <w:tcMar>
              <w:top w:w="0" w:type="dxa"/>
              <w:left w:w="67" w:type="dxa"/>
              <w:bottom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Our director compensation policy provides additional compensation for leadership positions on the board of directors, including lead independent director and committee chair roles, to account for the added time and effort associated with these positions.</w:t>
            </w:r>
          </w:p>
        </w:tc>
      </w:tr>
      <w:tr>
        <w:trPr/>
        <w:tc>
          <w:tcPr>
            <w:tcW w:w="1557" w:type="dxa"/>
            <w:gridSpan w:val="3"/>
            <w:tcBorders>
              <w:left w:val="single" w:sz="8" w:space="0" w:color="0063A6"/>
              <w:bottom w:val="single" w:sz="8" w:space="0" w:color="0063A6"/>
            </w:tcBorders>
            <w:tcMar>
              <w:top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left w:val="single" w:sz="8" w:space="0" w:color="0063A6"/>
              <w:bottom w:val="single" w:sz="8" w:space="0" w:color="0063A6"/>
              <w:right w:val="single" w:sz="8" w:space="0" w:color="0063A6"/>
            </w:tcBorders>
            <w:tcMar>
              <w:top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36575"/>
                <wp:effectExtent l="0" t="0" r="0" b="0"/>
                <wp:wrapNone/>
                <wp:docPr id="57" name="Frame2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80" w:after="283"/>
        <w:jc w:val="left"/>
        <w:rPr>
          <w:rFonts w:ascii="Arial;sans-serif" w:hAnsi="Arial;sans-serif"/>
          <w:b/>
          <w:color w:val="0063A6"/>
          <w:sz w:val="18"/>
          <w:shd w:fill="FFFFFF" w:val="clear"/>
        </w:rPr>
      </w:pPr>
      <w:r>
        <w:rPr>
          <w:rFonts w:ascii="Arial;sans-serif" w:hAnsi="Arial;sans-serif"/>
          <w:b/>
          <w:color w:val="0063A6"/>
          <w:sz w:val="18"/>
          <w:shd w:fill="FFFFFF" w:val="clear"/>
        </w:rPr>
        <w:t>Components of Compensation</w:t>
      </w:r>
    </w:p>
    <w:p>
      <w:pPr>
        <w:pStyle w:val="TextBody"/>
        <w:bidi w:val="0"/>
        <w:spacing w:lineRule="auto" w:line="276"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tbl>
      <w:tblPr>
        <w:tblW w:w="10205" w:type="dxa"/>
        <w:jc w:val="left"/>
        <w:tblInd w:w="0" w:type="dxa"/>
        <w:tblLayout w:type="fixed"/>
        <w:tblCellMar>
          <w:top w:w="28" w:type="dxa"/>
          <w:left w:w="28" w:type="dxa"/>
          <w:bottom w:w="28" w:type="dxa"/>
          <w:right w:w="28" w:type="dxa"/>
        </w:tblCellMar>
      </w:tblPr>
      <w:tblGrid>
        <w:gridCol w:w="830"/>
        <w:gridCol w:w="510"/>
        <w:gridCol w:w="513"/>
        <w:gridCol w:w="2603"/>
        <w:gridCol w:w="2378"/>
        <w:gridCol w:w="3371"/>
      </w:tblGrid>
      <w:tr>
        <w:trPr/>
        <w:tc>
          <w:tcPr>
            <w:tcW w:w="8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left w:val="single" w:sz="8" w:space="0" w:color="0063A6"/>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left w:val="single" w:sz="8" w:space="0" w:color="0063A6"/>
              <w:right w:val="single" w:sz="8" w:space="0" w:color="0063A6"/>
            </w:tcBorders>
            <w:shd w:fill="0063A6" w:val="clear"/>
            <w:tcMar>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left w:val="single" w:sz="8" w:space="0" w:color="0063A6"/>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Component</w:t>
            </w:r>
          </w:p>
        </w:tc>
        <w:tc>
          <w:tcPr>
            <w:tcW w:w="8352" w:type="dxa"/>
            <w:gridSpan w:val="3"/>
            <w:tcBorders>
              <w:left w:val="single" w:sz="8" w:space="0" w:color="0063A6"/>
              <w:right w:val="single" w:sz="8" w:space="0" w:color="0063A6"/>
            </w:tcBorders>
            <w:shd w:fill="0063A6" w:val="clear"/>
            <w:tcMar>
              <w:top w:w="0" w:type="dxa"/>
              <w:left w:w="67" w:type="dxa"/>
              <w:bottom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853" w:type="dxa"/>
            <w:gridSpan w:val="3"/>
            <w:tcBorders>
              <w:left w:val="single" w:sz="8" w:space="0" w:color="0063A6"/>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left w:val="single" w:sz="8" w:space="0" w:color="0063A6"/>
              <w:right w:val="single" w:sz="8" w:space="0" w:color="0063A6"/>
            </w:tcBorders>
            <w:shd w:fill="0063A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left w:val="single" w:sz="8" w:space="0" w:color="0063A6"/>
            </w:tcBorders>
            <w:shd w:fill="E5EFF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right w:val="single" w:sz="8" w:space="0" w:color="0063A6"/>
            </w:tcBorders>
            <w:shd w:fill="E5EFF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63A6"/>
              <w:right w:val="single" w:sz="8" w:space="0" w:color="0063A6"/>
            </w:tcBorders>
            <w:shd w:fill="E5EFFD" w:val="clear"/>
            <w:tcMar>
              <w:top w:w="0" w:type="dxa"/>
              <w:left w:w="67" w:type="dxa"/>
              <w:bottom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Cash Compensation</w:t>
            </w:r>
          </w:p>
        </w:tc>
      </w:tr>
      <w:tr>
        <w:trPr/>
        <w:tc>
          <w:tcPr>
            <w:tcW w:w="1853" w:type="dxa"/>
            <w:gridSpan w:val="3"/>
            <w:tcBorders>
              <w:left w:val="single" w:sz="8" w:space="0" w:color="0063A6"/>
            </w:tcBorders>
            <w:shd w:fill="E5EFF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right w:val="single" w:sz="8" w:space="0" w:color="0063A6"/>
            </w:tcBorders>
            <w:shd w:fill="E5EFF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Annual Cash Retainer</w:t>
            </w:r>
          </w:p>
        </w:tc>
        <w:tc>
          <w:tcPr>
            <w:tcW w:w="8352" w:type="dxa"/>
            <w:gridSpan w:val="3"/>
            <w:tcBorders>
              <w:left w:val="single" w:sz="8" w:space="0" w:color="0063A6"/>
              <w:right w:val="single" w:sz="8" w:space="0" w:color="0063A6"/>
            </w:tcBorders>
            <w:tcMar>
              <w:top w:w="0" w:type="dxa"/>
              <w:left w:w="67" w:type="dxa"/>
              <w:bottom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$50,000, paid quarterly in arrears on a prorated basis.</w:t>
            </w:r>
          </w:p>
        </w:tc>
      </w:tr>
      <w:tr>
        <w:trPr/>
        <w:tc>
          <w:tcPr>
            <w:tcW w:w="1853"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Committee and Board Leadership Compensation</w:t>
            </w:r>
          </w:p>
        </w:tc>
        <w:tc>
          <w:tcPr>
            <w:tcW w:w="8352" w:type="dxa"/>
            <w:gridSpan w:val="3"/>
            <w:tcBorders>
              <w:left w:val="single" w:sz="8" w:space="0" w:color="0063A6"/>
              <w:right w:val="single" w:sz="8" w:space="0" w:color="0063A6"/>
            </w:tcBorders>
            <w:tcMar>
              <w:top w:w="0" w:type="dxa"/>
              <w:bottom w:w="0" w:type="dxa"/>
            </w:tcMar>
            <w:vAlign w:val="center"/>
          </w:tcPr>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Under the director compensation policy in fiscal 2024, each non-employee director was entitled to receive the following cash compensation for their additional services:</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$35,000 per year for service as a lead independent director;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$30,000 per year for service as chair of the audit committee;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$12,500 per year for service as a member of the audit committee;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$20,000 per year for service as chair of the talent and compensation committee;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$10,000 per year for service as a member of the talent and compensation committee;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$15,000 per year for service as chair of the nominating and corporate governance committee; and </w:t>
            </w:r>
          </w:p>
          <w:p>
            <w:pPr>
              <w:pStyle w:val="TableContents"/>
              <w:bidi w:val="0"/>
              <w:spacing w:lineRule="auto" w:line="276" w:before="120" w:after="283"/>
              <w:ind w:left="0" w:right="0" w:hanging="180"/>
              <w:jc w:val="left"/>
              <w:rPr/>
            </w:pPr>
            <w:r>
              <w:rPr>
                <w:color w:val="0063A6"/>
              </w:rPr>
              <w:t>•</w:t>
            </w:r>
            <w:r>
              <w:rPr>
                <w:rFonts w:ascii="Arial;sans-serif" w:hAnsi="Arial;sans-serif"/>
                <w:b w:val="false"/>
                <w:color w:val="000000"/>
                <w:sz w:val="18"/>
              </w:rPr>
              <w:t xml:space="preserve">$5,000 per year for service as a member of the nominating and corporate governance committee. </w:t>
            </w:r>
          </w:p>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Directors who serve as the chair of a committee will receive only the annual fee as the chair of the committee and not any additional fees for serving as a member of that committee.</w:t>
            </w:r>
          </w:p>
        </w:tc>
      </w:tr>
      <w:tr>
        <w:trPr/>
        <w:tc>
          <w:tcPr>
            <w:tcW w:w="1853"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left w:val="single" w:sz="8" w:space="0" w:color="0063A6"/>
            </w:tcBorders>
            <w:shd w:fill="E5EFFD" w:val="clear"/>
            <w:tcMar>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right w:val="single" w:sz="8" w:space="0" w:color="0063A6"/>
            </w:tcBorders>
            <w:shd w:fill="E5EFFD"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0063A6"/>
              <w:right w:val="single" w:sz="8" w:space="0" w:color="0063A6"/>
            </w:tcBorders>
            <w:shd w:fill="E5EFFD" w:val="clear"/>
            <w:tcMar>
              <w:top w:w="0" w:type="dxa"/>
              <w:left w:w="67" w:type="dxa"/>
              <w:bottom w:w="0" w:type="dxa"/>
            </w:tcMar>
            <w:vAlign w:val="center"/>
          </w:tcPr>
          <w:p>
            <w:pPr>
              <w:pStyle w:val="TableContents"/>
              <w:bidi w:val="0"/>
              <w:spacing w:lineRule="auto" w:line="273" w:before="0" w:after="283"/>
              <w:jc w:val="left"/>
              <w:rPr>
                <w:rFonts w:ascii="Arial;sans-serif" w:hAnsi="Arial;sans-serif"/>
                <w:b/>
                <w:color w:val="0063A6"/>
                <w:sz w:val="18"/>
              </w:rPr>
            </w:pPr>
            <w:r>
              <w:rPr>
                <w:rFonts w:ascii="Arial;sans-serif" w:hAnsi="Arial;sans-serif"/>
                <w:b/>
                <w:color w:val="0063A6"/>
                <w:sz w:val="18"/>
              </w:rPr>
              <w:t>Equity Compensation</w:t>
            </w:r>
          </w:p>
        </w:tc>
      </w:tr>
      <w:tr>
        <w:trPr/>
        <w:tc>
          <w:tcPr>
            <w:tcW w:w="1853" w:type="dxa"/>
            <w:gridSpan w:val="3"/>
            <w:tcBorders>
              <w:left w:val="single" w:sz="8" w:space="0" w:color="0063A6"/>
            </w:tcBorders>
            <w:shd w:fill="E5EFF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right w:val="single" w:sz="8" w:space="0" w:color="0063A6"/>
            </w:tcBorders>
            <w:shd w:fill="E5EFF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Initial Award</w:t>
            </w:r>
          </w:p>
        </w:tc>
        <w:tc>
          <w:tcPr>
            <w:tcW w:w="8352" w:type="dxa"/>
            <w:gridSpan w:val="3"/>
            <w:tcBorders>
              <w:left w:val="single" w:sz="8" w:space="0" w:color="0063A6"/>
              <w:right w:val="single" w:sz="8" w:space="0" w:color="0063A6"/>
            </w:tcBorders>
            <w:tcMar>
              <w:top w:w="0" w:type="dxa"/>
              <w:bottom w:w="0" w:type="dxa"/>
            </w:tcMar>
            <w:vAlign w:val="center"/>
          </w:tcPr>
          <w:p>
            <w:pPr>
              <w:pStyle w:val="TableContents"/>
              <w:bidi w:val="0"/>
              <w:spacing w:lineRule="auto" w:line="276" w:before="120" w:after="283"/>
              <w:jc w:val="left"/>
              <w:rPr/>
            </w:pPr>
            <w:r>
              <w:rPr>
                <w:rFonts w:ascii="Arial;sans-serif" w:hAnsi="Arial;sans-serif"/>
                <w:b w:val="false"/>
                <w:color w:val="000000"/>
                <w:sz w:val="18"/>
              </w:rPr>
              <w:t>Each person who first becomes a non-employee director receives, on the first trading date on or after the date on which the person first becomes a non-employee director, an initial award of restricted stock units (“</w:t>
            </w:r>
            <w:r>
              <w:rPr>
                <w:rFonts w:ascii="Arial;sans-serif" w:hAnsi="Arial;sans-serif"/>
                <w:b/>
                <w:i/>
                <w:color w:val="000000"/>
                <w:sz w:val="18"/>
              </w:rPr>
              <w:t>RSUs</w:t>
            </w:r>
            <w:r>
              <w:rPr>
                <w:color w:val="000000"/>
              </w:rPr>
              <w:t>”</w:t>
            </w:r>
            <w:r>
              <w:rPr>
                <w:rFonts w:ascii="Arial;sans-serif" w:hAnsi="Arial;sans-serif"/>
                <w:b w:val="false"/>
                <w:color w:val="000000"/>
                <w:sz w:val="18"/>
              </w:rPr>
              <w:t>), or the Initial Award. An employee director who becomes a non-employee director due to termination of employment will not be entitled to an Initial Award.</w:t>
            </w:r>
          </w:p>
          <w:p>
            <w:pPr>
              <w:pStyle w:val="TableContents"/>
              <w:bidi w:val="0"/>
              <w:spacing w:lineRule="auto" w:line="276" w:before="120" w:after="283"/>
              <w:jc w:val="left"/>
              <w:rPr>
                <w:rFonts w:ascii="Arial;sans-serif" w:hAnsi="Arial;sans-serif"/>
                <w:b w:val="false"/>
                <w:i/>
                <w:color w:val="000000"/>
                <w:sz w:val="18"/>
                <w:u w:val="single"/>
              </w:rPr>
            </w:pPr>
            <w:r>
              <w:rPr>
                <w:rFonts w:ascii="Arial;sans-serif" w:hAnsi="Arial;sans-serif"/>
                <w:b w:val="false"/>
                <w:i/>
                <w:color w:val="000000"/>
                <w:sz w:val="18"/>
                <w:u w:val="single"/>
              </w:rPr>
              <w:t>Number of Shares</w:t>
            </w:r>
          </w:p>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 xml:space="preserve">The Initial Award covers a number of shares of our Class A common stock having a grant date fair value (determined in accordance with GAAP) equal to $250,000 multiplied by the fraction obtained by dividing (a) the number of full months during the period beginning on the date the person first becomes a non-employee director and ending on the one-year anniversary of the date of the then-most recent annual meeting of the company’s stockholders, or the Initial Award Vesting Period by (b) 12, rounded to the nearest whole share. </w:t>
            </w:r>
          </w:p>
          <w:p>
            <w:pPr>
              <w:pStyle w:val="TableContents"/>
              <w:bidi w:val="0"/>
              <w:spacing w:lineRule="auto" w:line="276" w:before="120" w:after="283"/>
              <w:jc w:val="left"/>
              <w:rPr>
                <w:rFonts w:ascii="Arial;sans-serif" w:hAnsi="Arial;sans-serif"/>
                <w:b w:val="false"/>
                <w:i/>
                <w:color w:val="000000"/>
                <w:sz w:val="18"/>
                <w:u w:val="single"/>
              </w:rPr>
            </w:pPr>
            <w:r>
              <w:rPr>
                <w:rFonts w:ascii="Arial;sans-serif" w:hAnsi="Arial;sans-serif"/>
                <w:b w:val="false"/>
                <w:i/>
                <w:color w:val="000000"/>
                <w:sz w:val="18"/>
                <w:u w:val="single"/>
              </w:rPr>
              <w:t>Vesting of Award</w:t>
            </w:r>
          </w:p>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The Initial Award vests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w:t>
            </w:r>
          </w:p>
        </w:tc>
      </w:tr>
      <w:tr>
        <w:trPr/>
        <w:tc>
          <w:tcPr>
            <w:tcW w:w="1853"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op w:val="single" w:sz="8" w:space="0" w:color="0063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gridSpan w:val="3"/>
            <w:tcBorders>
              <w:top w:val="single" w:sz="8" w:space="0" w:color="0063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36575"/>
                <wp:effectExtent l="0" t="0" r="0" b="0"/>
                <wp:wrapNone/>
                <wp:docPr id="58" name="Frame2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tbl>
      <w:tblPr>
        <w:tblW w:w="10205" w:type="dxa"/>
        <w:jc w:val="left"/>
        <w:tblInd w:w="0" w:type="dxa"/>
        <w:tblLayout w:type="fixed"/>
        <w:tblCellMar>
          <w:top w:w="28" w:type="dxa"/>
          <w:left w:w="28" w:type="dxa"/>
          <w:bottom w:w="28" w:type="dxa"/>
          <w:right w:w="28" w:type="dxa"/>
        </w:tblCellMar>
      </w:tblPr>
      <w:tblGrid>
        <w:gridCol w:w="453"/>
        <w:gridCol w:w="398"/>
        <w:gridCol w:w="400"/>
        <w:gridCol w:w="2619"/>
        <w:gridCol w:w="2619"/>
        <w:gridCol w:w="3716"/>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8" w:space="0" w:color="0063A6"/>
              <w:left w:val="single" w:sz="8" w:space="0" w:color="0063A6"/>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op w:val="single" w:sz="8" w:space="0" w:color="0063A6"/>
              <w:left w:val="single" w:sz="8" w:space="0" w:color="0063A6"/>
              <w:right w:val="single" w:sz="8" w:space="0" w:color="0063A6"/>
            </w:tcBorders>
            <w:shd w:fill="0063A6" w:val="clear"/>
            <w:tcMar>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left w:val="single" w:sz="8" w:space="0" w:color="0063A6"/>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Component</w:t>
            </w:r>
          </w:p>
        </w:tc>
        <w:tc>
          <w:tcPr>
            <w:tcW w:w="8954" w:type="dxa"/>
            <w:gridSpan w:val="3"/>
            <w:tcBorders>
              <w:left w:val="single" w:sz="8" w:space="0" w:color="0063A6"/>
              <w:right w:val="single" w:sz="8" w:space="0" w:color="0063A6"/>
            </w:tcBorders>
            <w:shd w:fill="0063A6" w:val="clear"/>
            <w:tcMar>
              <w:top w:w="0" w:type="dxa"/>
              <w:left w:w="67" w:type="dxa"/>
              <w:bottom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251" w:type="dxa"/>
            <w:gridSpan w:val="3"/>
            <w:tcBorders>
              <w:left w:val="single" w:sz="8" w:space="0" w:color="0063A6"/>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left w:val="single" w:sz="8" w:space="0" w:color="0063A6"/>
              <w:right w:val="single" w:sz="8" w:space="0" w:color="0063A6"/>
            </w:tcBorders>
            <w:shd w:fill="0063A6"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Annual Award</w:t>
            </w:r>
          </w:p>
        </w:tc>
        <w:tc>
          <w:tcPr>
            <w:tcW w:w="8954" w:type="dxa"/>
            <w:gridSpan w:val="3"/>
            <w:tcBorders>
              <w:left w:val="single" w:sz="8" w:space="0" w:color="0063A6"/>
              <w:right w:val="single" w:sz="8" w:space="0" w:color="0063A6"/>
            </w:tcBorders>
            <w:tcMar>
              <w:top w:w="0" w:type="dxa"/>
              <w:bottom w:w="0" w:type="dxa"/>
            </w:tcMar>
            <w:vAlign w:val="center"/>
          </w:tcPr>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 xml:space="preserve">Each non-employee director will automatically receive, on the date of each annual meeting of stockholders following the effective date of the director compensation policy, an annual award of RSUs, each of which we refer to as an Annual Award. </w:t>
            </w:r>
          </w:p>
          <w:p>
            <w:pPr>
              <w:pStyle w:val="TableContents"/>
              <w:bidi w:val="0"/>
              <w:spacing w:lineRule="auto" w:line="276" w:before="120" w:after="283"/>
              <w:jc w:val="left"/>
              <w:rPr>
                <w:rFonts w:ascii="Arial;sans-serif" w:hAnsi="Arial;sans-serif"/>
                <w:b w:val="false"/>
                <w:i/>
                <w:color w:val="000000"/>
                <w:sz w:val="18"/>
                <w:u w:val="single"/>
              </w:rPr>
            </w:pPr>
            <w:r>
              <w:rPr>
                <w:rFonts w:ascii="Arial;sans-serif" w:hAnsi="Arial;sans-serif"/>
                <w:b w:val="false"/>
                <w:i/>
                <w:color w:val="000000"/>
                <w:sz w:val="18"/>
                <w:u w:val="single"/>
              </w:rPr>
              <w:t>Number of Shares</w:t>
            </w:r>
          </w:p>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 xml:space="preserve">Each Annual Award covers a number of shares of our Class A common stock having a grant date fair value (determined in accordance with GAAP) of $250,000, rounded to the nearest whole share. </w:t>
            </w:r>
          </w:p>
          <w:p>
            <w:pPr>
              <w:pStyle w:val="TableContents"/>
              <w:bidi w:val="0"/>
              <w:spacing w:lineRule="auto" w:line="276" w:before="120" w:after="283"/>
              <w:jc w:val="left"/>
              <w:rPr>
                <w:rFonts w:ascii="Arial;sans-serif" w:hAnsi="Arial;sans-serif"/>
                <w:b w:val="false"/>
                <w:i/>
                <w:color w:val="000000"/>
                <w:sz w:val="18"/>
                <w:u w:val="single"/>
              </w:rPr>
            </w:pPr>
            <w:r>
              <w:rPr>
                <w:rFonts w:ascii="Arial;sans-serif" w:hAnsi="Arial;sans-serif"/>
                <w:b w:val="false"/>
                <w:i/>
                <w:color w:val="000000"/>
                <w:sz w:val="18"/>
                <w:u w:val="single"/>
              </w:rPr>
              <w:t>Vesting of Award</w:t>
            </w:r>
          </w:p>
          <w:p>
            <w:pPr>
              <w:pStyle w:val="TableContents"/>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tc>
      </w:tr>
      <w:tr>
        <w:trPr/>
        <w:tc>
          <w:tcPr>
            <w:tcW w:w="1251"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left w:val="single" w:sz="8" w:space="0" w:color="0063A6"/>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Deferral of Awards</w:t>
            </w:r>
          </w:p>
        </w:tc>
        <w:tc>
          <w:tcPr>
            <w:tcW w:w="8954" w:type="dxa"/>
            <w:gridSpan w:val="3"/>
            <w:tcBorders>
              <w:left w:val="single" w:sz="8" w:space="0" w:color="0063A6"/>
              <w:right w:val="single" w:sz="8" w:space="0" w:color="0063A6"/>
            </w:tcBorders>
            <w:tcMar>
              <w:top w:w="0" w:type="dxa"/>
              <w:bottom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Each non-employee director may elect to defer the delivery of the settlement of any Initial Award or Annual Award that would otherwise be delivered to such non-employee director on or following the date such award vests pursuant to the terms of a deferral election such non-employee director makes in accordance with the director compensation policy.</w:t>
            </w:r>
          </w:p>
        </w:tc>
      </w:tr>
      <w:tr>
        <w:trPr/>
        <w:tc>
          <w:tcPr>
            <w:tcW w:w="1251" w:type="dxa"/>
            <w:gridSpan w:val="3"/>
            <w:tcBorders>
              <w:left w:val="single" w:sz="8" w:space="0" w:color="0063A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left w:val="single" w:sz="8" w:space="0" w:color="0063A6"/>
              <w:right w:val="single" w:sz="8" w:space="0" w:color="0063A6"/>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8" w:space="0" w:color="0063A6"/>
              <w:left w:val="single" w:sz="8" w:space="0" w:color="0063A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op w:val="single" w:sz="8" w:space="0" w:color="0063A6"/>
              <w:left w:val="single" w:sz="8" w:space="0" w:color="0063A6"/>
              <w:right w:val="single" w:sz="8" w:space="0" w:color="0063A6"/>
            </w:tcBorders>
            <w:tcMar>
              <w:bottom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left w:val="single" w:sz="8" w:space="0" w:color="0063A6"/>
              <w:bottom w:val="single" w:sz="8" w:space="0" w:color="0063A6"/>
            </w:tcBorders>
            <w:tcMar>
              <w:top w:w="0" w:type="dxa"/>
              <w:left w:w="67"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Change in Control</w:t>
            </w:r>
          </w:p>
        </w:tc>
        <w:tc>
          <w:tcPr>
            <w:tcW w:w="8954" w:type="dxa"/>
            <w:gridSpan w:val="3"/>
            <w:tcBorders>
              <w:left w:val="single" w:sz="8" w:space="0" w:color="0063A6"/>
              <w:bottom w:val="single" w:sz="8" w:space="0" w:color="0063A6"/>
              <w:right w:val="single" w:sz="8" w:space="0" w:color="0063A6"/>
            </w:tcBorders>
            <w:tcMar>
              <w:top w:w="0" w:type="dxa"/>
              <w:left w:w="67" w:type="dxa"/>
              <w:bottom w:w="3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 the event of a “change in control” (as defined in our 2018 Equity Incentive Plan), each non-employee director will fully vest in his or her outstanding company equity awards, including any Initial Award or Annual Award, provided that the non-employee director continues to be a non-employee director through such date.</w:t>
            </w:r>
          </w:p>
        </w:tc>
      </w:tr>
    </w:tbl>
    <w:p>
      <w:pPr>
        <w:pStyle w:val="TextBody"/>
        <w:bidi w:val="0"/>
        <w:spacing w:lineRule="auto" w:line="276" w:before="280" w:after="283"/>
        <w:jc w:val="left"/>
        <w:rPr>
          <w:rFonts w:ascii="Arial;sans-serif" w:hAnsi="Arial;sans-serif"/>
          <w:b/>
          <w:color w:val="0063A6"/>
          <w:sz w:val="18"/>
          <w:shd w:fill="FFFFFF" w:val="clear"/>
        </w:rPr>
      </w:pPr>
      <w:r>
        <w:rPr>
          <w:rFonts w:ascii="Arial;sans-serif" w:hAnsi="Arial;sans-serif"/>
          <w:b/>
          <w:color w:val="0063A6"/>
          <w:sz w:val="18"/>
          <w:shd w:fill="FFFFFF" w:val="clear"/>
        </w:rPr>
        <w:t>2024 Compensation</w:t>
      </w:r>
    </w:p>
    <w:p>
      <w:pPr>
        <w:pStyle w:val="TextBody"/>
        <w:bidi w:val="0"/>
        <w:spacing w:lineRule="auto" w:line="276" w:before="100" w:after="283"/>
        <w:jc w:val="left"/>
        <w:rPr/>
      </w:pPr>
      <w:r>
        <w:rPr>
          <w:rFonts w:ascii="Arial;sans-serif" w:hAnsi="Arial;sans-serif"/>
          <w:b w:val="false"/>
          <w:color w:val="000000"/>
          <w:sz w:val="18"/>
          <w:shd w:fill="FFFFFF" w:val="clear"/>
        </w:rPr>
        <w:t>The following table provides information regarding compensation of our non-employee directors for their service as directors, for the fiscal year ended December 31, 2024. Directors who are also our employees receive no additional compensation for their service as directors. During 2024, Mr. Houston was an employee and executive officer of the company and therefore, did not receive compensation as a director. See “</w:t>
      </w:r>
      <w:r>
        <w:rPr>
          <w:rFonts w:ascii="Arial;sans-serif" w:hAnsi="Arial;sans-serif"/>
          <w:b w:val="false"/>
          <w:i/>
          <w:color w:val="000000"/>
          <w:sz w:val="18"/>
          <w:shd w:fill="FFFFFF" w:val="clear"/>
        </w:rPr>
        <w:t>Executive Compensation</w:t>
      </w:r>
      <w:r>
        <w:rPr>
          <w:color w:val="000000"/>
          <w:shd w:fill="FFFFFF" w:val="clear"/>
        </w:rPr>
        <w:t xml:space="preserve">” </w:t>
      </w:r>
      <w:r>
        <w:rPr>
          <w:rFonts w:ascii="Arial;sans-serif" w:hAnsi="Arial;sans-serif"/>
          <w:b w:val="false"/>
          <w:color w:val="000000"/>
          <w:sz w:val="18"/>
          <w:shd w:fill="FFFFFF" w:val="clear"/>
        </w:rPr>
        <w:t xml:space="preserve">for additional information regarding Mr. Houston’s compensation. </w:t>
      </w:r>
    </w:p>
    <w:tbl>
      <w:tblPr>
        <w:tblW w:w="6310" w:type="dxa"/>
        <w:jc w:val="left"/>
        <w:tblInd w:w="0" w:type="dxa"/>
        <w:tblLayout w:type="fixed"/>
        <w:tblCellMar>
          <w:top w:w="28" w:type="dxa"/>
          <w:left w:w="28" w:type="dxa"/>
          <w:bottom w:w="28" w:type="dxa"/>
          <w:right w:w="28" w:type="dxa"/>
        </w:tblCellMar>
      </w:tblPr>
      <w:tblGrid>
        <w:gridCol w:w="548"/>
        <w:gridCol w:w="479"/>
        <w:gridCol w:w="488"/>
        <w:gridCol w:w="304"/>
        <w:gridCol w:w="304"/>
        <w:gridCol w:w="306"/>
        <w:gridCol w:w="399"/>
        <w:gridCol w:w="399"/>
        <w:gridCol w:w="401"/>
        <w:gridCol w:w="109"/>
        <w:gridCol w:w="109"/>
        <w:gridCol w:w="109"/>
        <w:gridCol w:w="509"/>
        <w:gridCol w:w="509"/>
        <w:gridCol w:w="511"/>
        <w:gridCol w:w="240"/>
        <w:gridCol w:w="240"/>
        <w:gridCol w:w="346"/>
      </w:tblGrid>
      <w:tr>
        <w:trPr/>
        <w:tc>
          <w:tcPr>
            <w:tcW w:w="5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9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Fees Paid </w:t>
              <w:br/>
              <w:t xml:space="preserve">or </w:t>
              <w:br/>
              <w:t xml:space="preserve">Earned in </w:t>
              <w:br/>
              <w:t>Cash ($)</w:t>
            </w:r>
          </w:p>
        </w:tc>
        <w:tc>
          <w:tcPr>
            <w:tcW w:w="1199" w:type="dxa"/>
            <w:gridSpan w:val="3"/>
            <w:tcBorders/>
            <w:shd w:fill="0063A6"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76" w:before="0" w:after="0"/>
              <w:jc w:val="center"/>
              <w:rPr/>
            </w:pPr>
            <w:r>
              <w:rPr>
                <w:rFonts w:ascii="Arial;sans-serif" w:hAnsi="Arial;sans-serif"/>
                <w:b/>
                <w:color w:val="FFFFFF"/>
                <w:sz w:val="16"/>
              </w:rPr>
              <w:t>Awards ($)</w:t>
            </w:r>
            <w:r>
              <w:rPr>
                <w:rFonts w:ascii="Arial;sans-serif" w:hAnsi="Arial;sans-serif"/>
                <w:b/>
                <w:color w:val="FFFFFF"/>
                <w:sz w:val="10"/>
              </w:rPr>
              <w:t>(1)(2)</w:t>
            </w:r>
          </w:p>
        </w:tc>
        <w:tc>
          <w:tcPr>
            <w:tcW w:w="327"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All Other </w:t>
              <w:br/>
              <w:t>Compensation ($)</w:t>
            </w:r>
          </w:p>
        </w:tc>
        <w:tc>
          <w:tcPr>
            <w:tcW w:w="82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Total ($)</w:t>
            </w:r>
          </w:p>
        </w:tc>
      </w:tr>
      <w:tr>
        <w:trPr/>
        <w:tc>
          <w:tcPr>
            <w:tcW w:w="151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Donald W. Blair</w:t>
            </w:r>
          </w:p>
        </w:tc>
        <w:tc>
          <w:tcPr>
            <w:tcW w:w="9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115,000</w:t>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365,005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Lisa Campbell</w:t>
            </w:r>
          </w:p>
        </w:tc>
        <w:tc>
          <w:tcPr>
            <w:tcW w:w="9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67,500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317,505</w:t>
            </w:r>
          </w:p>
        </w:tc>
      </w:tr>
      <w:tr>
        <w:trPr/>
        <w:tc>
          <w:tcPr>
            <w:tcW w:w="1515"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Paul E. Jacobs</w:t>
            </w:r>
          </w:p>
        </w:tc>
        <w:tc>
          <w:tcPr>
            <w:tcW w:w="9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65,000</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315,005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Sara Mathew</w:t>
            </w:r>
          </w:p>
        </w:tc>
        <w:tc>
          <w:tcPr>
            <w:tcW w:w="9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82,500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332,505</w:t>
            </w:r>
          </w:p>
        </w:tc>
      </w:tr>
      <w:tr>
        <w:trPr/>
        <w:tc>
          <w:tcPr>
            <w:tcW w:w="1515"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Andrew Moore</w:t>
            </w:r>
          </w:p>
        </w:tc>
        <w:tc>
          <w:tcPr>
            <w:tcW w:w="9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50,102</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r>
          </w:p>
        </w:tc>
        <w:tc>
          <w:tcPr>
            <w:tcW w:w="15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300,107</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Abhay Parasnis</w:t>
            </w:r>
          </w:p>
        </w:tc>
        <w:tc>
          <w:tcPr>
            <w:tcW w:w="9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60,000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310,005</w:t>
            </w:r>
          </w:p>
        </w:tc>
      </w:tr>
      <w:tr>
        <w:trPr/>
        <w:tc>
          <w:tcPr>
            <w:tcW w:w="1515"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Karen Peacock</w:t>
            </w:r>
          </w:p>
        </w:tc>
        <w:tc>
          <w:tcPr>
            <w:tcW w:w="9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60,000</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310,005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Michael Seibel</w:t>
            </w:r>
          </w:p>
        </w:tc>
        <w:tc>
          <w:tcPr>
            <w:tcW w:w="9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60,000</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310,005</w:t>
            </w:r>
          </w:p>
        </w:tc>
      </w:tr>
      <w:tr>
        <w:trPr/>
        <w:tc>
          <w:tcPr>
            <w:tcW w:w="1515"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Warren Jenson</w:t>
            </w:r>
            <w:r>
              <w:rPr>
                <w:rFonts w:ascii="Arial;sans-serif" w:hAnsi="Arial;sans-serif"/>
                <w:b w:val="false"/>
                <w:color w:val="000000"/>
                <w:sz w:val="12"/>
              </w:rPr>
              <w:t>(3)</w:t>
            </w:r>
          </w:p>
        </w:tc>
        <w:tc>
          <w:tcPr>
            <w:tcW w:w="914"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Amounts shown do not reflect compensation actually received by the director, and there can be no assurance that these amounts will ever be realized by the non-employee directors. Instead, the amount shown is the grant date fair value of the RSU awards granted in fiscal 2024 computed in accordance with ASC Topic 718 — Compensation — Stock Compensation (“</w:t>
      </w:r>
      <w:r>
        <w:rPr>
          <w:rFonts w:ascii="Arial;sans-serif" w:hAnsi="Arial;sans-serif"/>
          <w:b/>
          <w:i/>
          <w:color w:val="000000"/>
          <w:sz w:val="16"/>
        </w:rPr>
        <w:t>ASC Topic 718</w:t>
      </w:r>
      <w:r>
        <w:rPr>
          <w:color w:val="000000"/>
        </w:rPr>
        <w:t>”</w:t>
      </w:r>
      <w:r>
        <w:rPr>
          <w:rFonts w:ascii="Arial;sans-serif" w:hAnsi="Arial;sans-serif"/>
          <w:b w:val="false"/>
          <w:color w:val="000000"/>
          <w:sz w:val="16"/>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is $23.86, which represents the closing price for a share of our Class A common stock as reported by Nasdaq on May 15, 2024.</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100% of the shares of our Class A common stock underlying the RSUs vest on May 16, 2025 or the day before the next annual meeting of our stockholders, if earlier, subject to the director’s continued service with us. See “</w:t>
      </w:r>
      <w:r>
        <w:rPr>
          <w:rFonts w:ascii="Arial;sans-serif" w:hAnsi="Arial;sans-serif"/>
          <w:b w:val="false"/>
          <w:i/>
          <w:color w:val="000000"/>
          <w:sz w:val="16"/>
        </w:rPr>
        <w:t>Director Compensation</w:t>
      </w:r>
      <w:r>
        <w:rPr>
          <w:color w:val="000000"/>
        </w:rPr>
        <w:t xml:space="preserve">” </w:t>
      </w:r>
      <w:r>
        <w:rPr>
          <w:rFonts w:ascii="Arial;sans-serif" w:hAnsi="Arial;sans-serif"/>
          <w:b w:val="false"/>
          <w:color w:val="000000"/>
          <w:sz w:val="16"/>
        </w:rPr>
        <w:t>above.</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Mr. Jenson joined our board of directors in January 2025.</w:t>
      </w:r>
    </w:p>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36575"/>
                <wp:effectExtent l="0" t="0" r="0" b="0"/>
                <wp:wrapNone/>
                <wp:docPr id="59" name="Frame2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4"/>
        </w:rPr>
      </w:pPr>
      <w:r>
        <w:rPr>
          <w:rFonts w:ascii="Arial;sans-serif" w:hAnsi="Arial;sans-serif"/>
          <w:b w:val="false"/>
          <w:color w:val="0063A6"/>
          <w:sz w:val="34"/>
        </w:rPr>
        <w:t>BOARD OF DIRECTORS AND CORPORATE GOVERNANCE</w:t>
      </w:r>
    </w:p>
    <w:p>
      <w:pPr>
        <w:pStyle w:val="TextBody"/>
        <w:bidi w:val="0"/>
        <w:spacing w:lineRule="auto" w:line="276" w:before="0" w:after="0"/>
        <w:jc w:val="left"/>
        <w:rPr>
          <w:rFonts w:ascii="Arial;sans-serif" w:hAnsi="Arial;sans-serif"/>
          <w:b w:val="false"/>
          <w:color w:val="0063A6"/>
          <w:sz w:val="34"/>
        </w:rPr>
      </w:pPr>
      <w:r>
        <w:rPr>
          <w:rFonts w:ascii="Arial;sans-serif" w:hAnsi="Arial;sans-serif"/>
          <w:b w:val="false"/>
          <w:color w:val="0063A6"/>
          <w:sz w:val="34"/>
        </w:rPr>
        <w:t>(continued)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lists all outstanding equity awards held by non-employee directors as of December 31, 2024:</w:t>
      </w:r>
    </w:p>
    <w:tbl>
      <w:tblPr>
        <w:tblW w:w="4961" w:type="dxa"/>
        <w:jc w:val="left"/>
        <w:tblInd w:w="0" w:type="dxa"/>
        <w:tblLayout w:type="fixed"/>
        <w:tblCellMar>
          <w:top w:w="28" w:type="dxa"/>
          <w:left w:w="28" w:type="dxa"/>
          <w:bottom w:w="28" w:type="dxa"/>
          <w:right w:w="28" w:type="dxa"/>
        </w:tblCellMar>
      </w:tblPr>
      <w:tblGrid>
        <w:gridCol w:w="510"/>
        <w:gridCol w:w="446"/>
        <w:gridCol w:w="454"/>
        <w:gridCol w:w="309"/>
        <w:gridCol w:w="309"/>
        <w:gridCol w:w="312"/>
        <w:gridCol w:w="749"/>
        <w:gridCol w:w="749"/>
        <w:gridCol w:w="751"/>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93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Date of </w:t>
            </w:r>
          </w:p>
          <w:p>
            <w:pPr>
              <w:pStyle w:val="TableContents"/>
              <w:bidi w:val="0"/>
              <w:spacing w:lineRule="auto" w:line="276" w:before="0" w:after="0"/>
              <w:jc w:val="center"/>
              <w:rPr/>
            </w:pPr>
            <w:r>
              <w:rPr>
                <w:rFonts w:ascii="Arial;sans-serif" w:hAnsi="Arial;sans-serif"/>
                <w:b/>
                <w:color w:val="FFFFFF"/>
                <w:sz w:val="16"/>
              </w:rPr>
              <w:t>Grant</w:t>
            </w:r>
            <w:r>
              <w:rPr>
                <w:rFonts w:ascii="Arial;sans-serif" w:hAnsi="Arial;sans-serif"/>
                <w:b/>
                <w:color w:val="FFFFFF"/>
                <w:sz w:val="10"/>
              </w:rPr>
              <w:t>(1)</w:t>
            </w:r>
          </w:p>
        </w:tc>
        <w:tc>
          <w:tcPr>
            <w:tcW w:w="224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Shares </w:t>
              <w:br/>
              <w:t xml:space="preserve">Underlying </w:t>
              <w:br/>
              <w:t>Unvested Stock Awards (#)</w:t>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Donald W. Blair</w:t>
            </w:r>
          </w:p>
        </w:tc>
        <w:tc>
          <w:tcPr>
            <w:tcW w:w="93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Lisa Campbell</w:t>
            </w:r>
          </w:p>
        </w:tc>
        <w:tc>
          <w:tcPr>
            <w:tcW w:w="9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Paul E. Jacobs</w:t>
            </w:r>
          </w:p>
        </w:tc>
        <w:tc>
          <w:tcPr>
            <w:tcW w:w="9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Sara Mathew</w:t>
            </w:r>
          </w:p>
        </w:tc>
        <w:tc>
          <w:tcPr>
            <w:tcW w:w="9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28,135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(2)</w:t>
            </w:r>
          </w:p>
        </w:tc>
      </w:tr>
      <w:tr>
        <w:trPr/>
        <w:tc>
          <w:tcPr>
            <w:tcW w:w="141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Andrew Moore</w:t>
            </w:r>
          </w:p>
        </w:tc>
        <w:tc>
          <w:tcPr>
            <w:tcW w:w="9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Abhay Parasnis</w:t>
            </w:r>
          </w:p>
        </w:tc>
        <w:tc>
          <w:tcPr>
            <w:tcW w:w="9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Karen Peacock</w:t>
            </w:r>
          </w:p>
        </w:tc>
        <w:tc>
          <w:tcPr>
            <w:tcW w:w="9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10,478</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Michael Seibel</w:t>
            </w:r>
          </w:p>
        </w:tc>
        <w:tc>
          <w:tcPr>
            <w:tcW w:w="9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5/16/2024</w:t>
            </w:r>
          </w:p>
        </w:tc>
        <w:tc>
          <w:tcPr>
            <w:tcW w:w="22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35,522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(3)</w:t>
            </w:r>
          </w:p>
        </w:tc>
      </w:tr>
      <w:tr>
        <w:trPr/>
        <w:tc>
          <w:tcPr>
            <w:tcW w:w="141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Warren Jenson</w:t>
            </w:r>
          </w:p>
        </w:tc>
        <w:tc>
          <w:tcPr>
            <w:tcW w:w="9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22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(4)</w:t>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100% of the shares of our Class A common stock underlying the RSUs vest on May 16, 2025 or the day before the next annual meeting of our stockholders, if earlier, subject to the director’s continued service with us. See “</w:t>
      </w:r>
      <w:r>
        <w:rPr>
          <w:rFonts w:ascii="Arial;sans-serif" w:hAnsi="Arial;sans-serif"/>
          <w:b w:val="false"/>
          <w:i/>
          <w:color w:val="000000"/>
          <w:sz w:val="16"/>
        </w:rPr>
        <w:t>Director Compensation</w:t>
      </w:r>
      <w:r>
        <w:rPr>
          <w:color w:val="000000"/>
        </w:rPr>
        <w:t xml:space="preserve">” </w:t>
      </w:r>
      <w:r>
        <w:rPr>
          <w:rFonts w:ascii="Arial;sans-serif" w:hAnsi="Arial;sans-serif"/>
          <w:b w:val="false"/>
          <w:color w:val="000000"/>
          <w:sz w:val="16"/>
        </w:rPr>
        <w:t>above.</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Includes 6,580 vested RSUs granted on July 28, 2021 and 11,077 vested RSUs granted on May 18, 2023 that were deferred at time of grant. These vested RSUs will be settled upon the earlier of (a) immediately prior to a Change in Control or (b) within 60 days of Ms. Mathew's separation from the board or death.</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Includes 4,632 vested RSUs granted on December 11, 2020, 9,335 vested RSUs granted on May 20, 2021, and 11,077 vested RSUs granted on May 18, 2023 that were deferred at time of grant. These vested RSUs will be settled upon the earlier of (a) immediately prior to a Change in Control or (b) within 60 days of Mr. Seibel’s separation from the board or death.</w:t>
      </w:r>
    </w:p>
    <w:p>
      <w:pPr>
        <w:pStyle w:val="TextBody"/>
        <w:bidi w:val="0"/>
        <w:spacing w:lineRule="auto" w:line="268" w:before="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Mr. Jenson joined our board of directors in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36575"/>
                <wp:effectExtent l="0" t="0" r="0" b="0"/>
                <wp:wrapNone/>
                <wp:docPr id="60" name="Frame2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rPr>
      </w:pPr>
      <w:r>
        <w:rPr>
          <w:rFonts w:ascii="Arial;sans-serif" w:hAnsi="Arial;sans-serif"/>
          <w:b w:val="false"/>
          <w:color w:val="0063A6"/>
          <w:sz w:val="36"/>
        </w:rPr>
        <w:t>PROPOSAL NO. 1—ELECTION OF DIRECTORS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board of directors consists of ten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Donald Blair and Sara Mathew are not standing for reelection at the annual meeting and therefore, following the meeting, the number of authorized directors will be decreased to eight (8). The Board is grateful for Mr. Blair's and Ms. Mathew's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Nominees</w:t>
      </w:r>
    </w:p>
    <w:p>
      <w:pPr>
        <w:pStyle w:val="TextBody"/>
        <w:bidi w:val="0"/>
        <w:spacing w:lineRule="auto" w:line="276" w:before="180" w:after="283"/>
        <w:jc w:val="left"/>
        <w:rPr/>
      </w:pPr>
      <w:r>
        <w:rPr>
          <w:rFonts w:ascii="Arial;sans-serif" w:hAnsi="Arial;sans-serif"/>
          <w:b w:val="false"/>
          <w:color w:val="000000"/>
          <w:sz w:val="18"/>
          <w:shd w:fill="FFFFFF" w:val="clear"/>
        </w:rPr>
        <w:t>Our nominating and corporate governance committee has recommended, and our board of directors has approved, Andrew W. Houston, Lisa Campbell, Paul E. Jacobs, Warren Jenson, Andrew Moore, Abhay Parasnis, Karen Peacock and Michael Seibel as nominees for election as directors at the Annual Meeting. Each of the nominees is an incumbent director, except Mr. Jenson who is standing for election by stockholders for the first time. Mr. Jenson was identified as a director candidate thr</w:t>
      </w:r>
      <w:r>
        <w:rPr>
          <w:rFonts w:ascii="Arial;sans-serif" w:hAnsi="Arial;sans-serif"/>
          <w:b w:val="false"/>
          <w:color w:val="000000"/>
          <w:sz w:val="18"/>
        </w:rPr>
        <w:t>ough our third party executive recruiting agency. If elected, each of the nominees will serve as directors until the 2026 annual meeting of stockholders and until their successor</w:t>
      </w:r>
      <w:r>
        <w:rPr>
          <w:rFonts w:ascii="Arial;sans-serif" w:hAnsi="Arial;sans-serif"/>
          <w:b w:val="false"/>
          <w:color w:val="000000"/>
          <w:sz w:val="18"/>
          <w:shd w:fill="FFFFFF" w:val="clear"/>
        </w:rPr>
        <w:t>s are duly elected and qualified. For information concerning the nominees, please see “</w:t>
      </w:r>
      <w:r>
        <w:rPr>
          <w:rFonts w:ascii="Arial;sans-serif" w:hAnsi="Arial;sans-serif"/>
          <w:b w:val="false"/>
          <w:i/>
          <w:color w:val="000000"/>
          <w:sz w:val="18"/>
          <w:shd w:fill="FFFFFF" w:val="clear"/>
        </w:rPr>
        <w:t>Board of Directors and Corporate Governance</w:t>
      </w:r>
      <w:r>
        <w:rPr>
          <w:rFonts w:ascii="Arial;sans-serif" w:hAnsi="Arial;sans-serif"/>
          <w:b w:val="false"/>
          <w:color w:val="000000"/>
          <w:sz w:val="18"/>
          <w:shd w:fill="FFFFFF" w:val="clear"/>
        </w:rPr>
        <w:t xml:space="preserve">.” We expect that each of Drs. Jacobs and Moore, Messrs. Houston, Jenson, Parasnis and Seibel,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you are a stockholder of record and you sign your proxy card or vote by telephone or over the Internet but do not give instructions with respect to the voting of directors, your shares will be voted “FOR” the election of Drs. Jacobs and Moore, Messrs. Houston, Jenson, Parasnis and Seibel, and Mss. Campbell and Peacock. If you are a street name stockholder and you do not give voting instructions to your broker or nominee, your broker will leave your shares unvoted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Vote Required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Each director is elected by a plurality of the votes of the shares present virtually or represented by proxy at the meeting and entitled to vote on the election of directors at the Annual Meeting.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THE BOARD OF DIRECTORS RECOMMENDS A VOTE “FOR” EACH OF THE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36575"/>
                <wp:effectExtent l="0" t="0" r="0" b="0"/>
                <wp:wrapNone/>
                <wp:docPr id="61" name="Frame3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240" w:after="283"/>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PROPOSAL NO. 2—RATIFICATION OF APPOINTMENT OF INDEPENDENT REGISTERED PUBLIC ACCOUNTING FIRM</w:t>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audit committee has appointed Ernst &amp; Young LLP, an independent registered public accounting firm, to audit our consolidated financial statements for our fiscal year ending December 31, 2025. Ernst &amp; Young LLP has served as our independent registered public accounting firm since 2013.</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At the Annual Meeting, our stockholders are being asked to ratify the appointment of Ernst &amp; Young LLP as our independent registered public accounting firm for our fiscal year ending December 31, 2025.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Fees Paid to the Independent Registered Public Accounting Firm</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presents fees for professional audit services and other services rendered to our company by Ernst &amp; Young LLP for our fiscal years ended December 31, 2024 and 2023.</w:t>
      </w:r>
    </w:p>
    <w:tbl>
      <w:tblPr>
        <w:tblW w:w="4512" w:type="dxa"/>
        <w:jc w:val="left"/>
        <w:tblInd w:w="0" w:type="dxa"/>
        <w:tblLayout w:type="fixed"/>
        <w:tblCellMar>
          <w:top w:w="28" w:type="dxa"/>
          <w:left w:w="28" w:type="dxa"/>
          <w:bottom w:w="28" w:type="dxa"/>
          <w:right w:w="28" w:type="dxa"/>
        </w:tblCellMar>
      </w:tblPr>
      <w:tblGrid>
        <w:gridCol w:w="668"/>
        <w:gridCol w:w="583"/>
        <w:gridCol w:w="594"/>
        <w:gridCol w:w="211"/>
        <w:gridCol w:w="991"/>
        <w:gridCol w:w="109"/>
        <w:gridCol w:w="211"/>
        <w:gridCol w:w="99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0"/>
              <w:jc w:val="center"/>
              <w:rPr>
                <w:rFonts w:ascii="Arial;sans-serif" w:hAnsi="Arial;sans-serif"/>
                <w:b/>
                <w:color w:val="FFFFFF"/>
                <w:sz w:val="16"/>
              </w:rPr>
            </w:pPr>
            <w:r>
              <w:rPr>
                <w:rFonts w:ascii="Arial;sans-serif" w:hAnsi="Arial;sans-serif"/>
                <w:b/>
                <w:color w:val="FFFFFF"/>
                <w:sz w:val="16"/>
              </w:rPr>
              <w:t>2024</w:t>
            </w:r>
          </w:p>
        </w:tc>
        <w:tc>
          <w:tcPr>
            <w:tcW w:w="135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0"/>
              <w:jc w:val="center"/>
              <w:rPr>
                <w:rFonts w:ascii="Arial;sans-serif" w:hAnsi="Arial;sans-serif"/>
                <w:b/>
                <w:color w:val="FFFFFF"/>
                <w:sz w:val="16"/>
              </w:rPr>
            </w:pPr>
            <w:r>
              <w:rPr>
                <w:rFonts w:ascii="Arial;sans-serif" w:hAnsi="Arial;sans-serif"/>
                <w:b/>
                <w:color w:val="FFFFFF"/>
                <w:sz w:val="16"/>
              </w:rPr>
              <w:t>2023</w:t>
            </w:r>
          </w:p>
        </w:tc>
      </w:tr>
      <w:tr>
        <w:trPr/>
        <w:tc>
          <w:tcPr>
            <w:tcW w:w="184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2F2F2"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Audit Fees</w:t>
            </w:r>
            <w:r>
              <w:rPr>
                <w:rFonts w:ascii="Arial;sans-serif" w:hAnsi="Arial;sans-serif"/>
                <w:b w:val="false"/>
                <w:color w:val="000000"/>
                <w:sz w:val="12"/>
              </w:rPr>
              <w:t>(1)</w:t>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4,780,000 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3,900,000 </w:t>
            </w:r>
          </w:p>
        </w:tc>
        <w:tc>
          <w:tcPr>
            <w:tcW w:w="154" w:type="dxa"/>
            <w:tcBorders>
              <w:right w:val="single" w:sz="12" w:space="0" w:color="FFFFFF"/>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Audit-Related Fees</w:t>
            </w:r>
            <w:r>
              <w:rPr>
                <w:rFonts w:ascii="Arial;sans-serif" w:hAnsi="Arial;sans-serif"/>
                <w:b w:val="false"/>
                <w:color w:val="000000"/>
                <w:sz w:val="12"/>
              </w:rPr>
              <w:t>(2)</w:t>
            </w:r>
          </w:p>
        </w:tc>
        <w:tc>
          <w:tcPr>
            <w:tcW w:w="211" w:type="dxa"/>
            <w:tcBorders>
              <w:left w:val="single" w:sz="12" w:space="0" w:color="FFFFFF"/>
            </w:tcBorders>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12" w:space="0" w:color="FFFFFF"/>
            </w:tcBorders>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1,950,000 </w:t>
            </w:r>
          </w:p>
        </w:tc>
        <w:tc>
          <w:tcPr>
            <w:tcW w:w="154" w:type="dxa"/>
            <w:tcBorders>
              <w:right w:val="single" w:sz="12"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2F2F2"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Tax Fees</w:t>
            </w:r>
            <w:r>
              <w:rPr>
                <w:rFonts w:ascii="Arial;sans-serif" w:hAnsi="Arial;sans-serif"/>
                <w:b w:val="false"/>
                <w:color w:val="000000"/>
                <w:sz w:val="12"/>
              </w:rPr>
              <w:t>(3)</w:t>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260,000 </w:t>
            </w:r>
          </w:p>
        </w:tc>
        <w:tc>
          <w:tcPr>
            <w:tcW w:w="154" w:type="dxa"/>
            <w:tcBorders>
              <w:right w:val="single" w:sz="12" w:space="0" w:color="FFFFFF"/>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All Other Fees</w:t>
            </w:r>
            <w:r>
              <w:rPr>
                <w:rFonts w:ascii="Arial;sans-serif" w:hAnsi="Arial;sans-serif"/>
                <w:b w:val="false"/>
                <w:color w:val="000000"/>
                <w:sz w:val="12"/>
              </w:rPr>
              <w:t>(4)</w:t>
            </w:r>
          </w:p>
        </w:tc>
        <w:tc>
          <w:tcPr>
            <w:tcW w:w="211" w:type="dxa"/>
            <w:tcBorders>
              <w:left w:val="single" w:sz="12" w:space="0" w:color="FFFFFF"/>
            </w:tcBorders>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12" w:space="0" w:color="FFFFFF"/>
            </w:tcBorders>
            <w:tcMar>
              <w:top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54" w:type="dxa"/>
            <w:tcBorders>
              <w:right w:val="single" w:sz="12"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Fees</w:t>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6,770,000</w:t>
            </w: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2F2F2"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6,117,000</w:t>
            </w:r>
            <w:r>
              <w:rPr>
                <w:color w:val="000000"/>
              </w:rPr>
              <w:t> </w:t>
            </w:r>
          </w:p>
        </w:tc>
        <w:tc>
          <w:tcPr>
            <w:tcW w:w="154" w:type="dxa"/>
            <w:tcBorders>
              <w:right w:val="single" w:sz="12" w:space="0" w:color="FFFFFF"/>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sans-serif" w:hAnsi="Arial;sans-serif"/>
          <w:b w:val="false"/>
          <w:i/>
          <w:color w:val="000000"/>
          <w:sz w:val="16"/>
        </w:rPr>
        <w:t>Audit Fees</w:t>
      </w:r>
      <w:r>
        <w:rPr>
          <w:color w:val="000000"/>
        </w:rPr>
        <w:t>”</w:t>
      </w:r>
      <w:r>
        <w:rPr>
          <w:rFonts w:ascii="Arial;sans-serif" w:hAnsi="Arial;sans-serif"/>
          <w:b w:val="false"/>
          <w:color w:val="000000"/>
          <w:sz w:val="16"/>
        </w:rPr>
        <w:t>. This includes fees for professional services with respect to the Statement on Standards for Attestation Engagements (SSAE) No. 18 and other service organization control related examinations, certifications, and assessments.</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Tax Fees consist of fees for professional services for domestic and international tax advisory services.</w:t>
      </w:r>
    </w:p>
    <w:p>
      <w:pPr>
        <w:pStyle w:val="TextBody"/>
        <w:bidi w:val="0"/>
        <w:spacing w:lineRule="auto" w:line="268" w:before="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36575"/>
                <wp:effectExtent l="0" t="0" r="0" b="0"/>
                <wp:wrapNone/>
                <wp:docPr id="62" name="Frame3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240" w:after="283"/>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PROPOSAL NO. 2—RATIFICATION OF APPOINTMENT OF INDEPENDENT REGISTERED PUBLIC ACCOUNTING FIRM</w:t>
      </w:r>
    </w:p>
    <w:p>
      <w:pPr>
        <w:pStyle w:val="TextBody"/>
        <w:bidi w:val="0"/>
        <w:spacing w:lineRule="auto" w:line="276" w:before="0" w:after="0"/>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(continued)</w:t>
      </w:r>
    </w:p>
    <w:p>
      <w:pPr>
        <w:pStyle w:val="TextBody"/>
        <w:bidi w:val="0"/>
        <w:spacing w:lineRule="auto" w:line="276" w:before="2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Auditor Independence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our fiscal year ended December 31, 2024, there were no other professional services provided by Ernst &amp; Young LLP, other than those listed above, that would have required our audit committee to consider their compatibility with maintaining the independence of Ernst &amp; Young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Audit Committee Policy on Pre-Approval of Audit and Permissible Non-Audit Services of Independent Registered Public Accounting Firm</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2023 and 2024 were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Vote Required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ratification of the appointment of Ernst &amp; Young LLP as our independent registered public accounting firm for our fiscal year ending December 31, 2025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THE BOARD OF DIRECTORS RECOMMENDS A VOTE “FOR” THE RATIFICATION OF THE APPOINTMENT OF ERNST &amp; YOUNG LLP AS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36575"/>
                <wp:effectExtent l="0" t="0" r="0" b="0"/>
                <wp:wrapNone/>
                <wp:docPr id="63" name="Frame3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240" w:after="283"/>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REPORT OF THE AUDIT COMMITTEE</w:t>
      </w:r>
    </w:p>
    <w:p>
      <w:pPr>
        <w:pStyle w:val="TextBody"/>
        <w:bidi w:val="0"/>
        <w:spacing w:lineRule="auto" w:line="276" w:before="180" w:after="283"/>
        <w:jc w:val="left"/>
        <w:rPr/>
      </w:pPr>
      <w:r>
        <w:rPr>
          <w:rFonts w:ascii="Arial;sans-serif" w:hAnsi="Arial;sans-serif"/>
          <w:b w:val="false"/>
          <w:color w:val="000000"/>
          <w:sz w:val="18"/>
          <w:shd w:fill="FFFFFF" w:val="clear"/>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sans-serif" w:hAnsi="Arial;sans-serif"/>
          <w:b/>
          <w:i/>
          <w:color w:val="000000"/>
          <w:sz w:val="18"/>
          <w:shd w:fill="FFFFFF" w:val="clear"/>
        </w:rPr>
        <w:t>Ernst &amp; Young</w:t>
      </w:r>
      <w:r>
        <w:rPr>
          <w:color w:val="000000"/>
          <w:shd w:fill="FFFFFF" w:val="clear"/>
        </w:rPr>
        <w:t>”</w:t>
      </w:r>
      <w:r>
        <w:rPr>
          <w:rFonts w:ascii="Arial;sans-serif" w:hAnsi="Arial;sans-serif"/>
          <w:b w:val="false"/>
          <w:color w:val="000000"/>
          <w:sz w:val="18"/>
          <w:shd w:fill="FFFFFF" w:val="clear"/>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reviewed and discussed the audited consolidated financial statements with management, internal audit and Ernst &amp; Young;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discussed with Ernst &amp; Young the matters required to be discussed by the applicable requirements of the Public Company Accounting Oversight Board (“</w:t>
      </w:r>
      <w:r>
        <w:rPr>
          <w:rFonts w:ascii="Arial;sans-serif" w:hAnsi="Arial;sans-serif"/>
          <w:b/>
          <w:i/>
          <w:color w:val="000000"/>
          <w:sz w:val="18"/>
          <w:shd w:fill="FFFFFF" w:val="clear"/>
        </w:rPr>
        <w:t>PCAOB</w:t>
      </w:r>
      <w:r>
        <w:rPr>
          <w:color w:val="000000"/>
          <w:shd w:fill="FFFFFF" w:val="clear"/>
        </w:rPr>
        <w:t>”</w:t>
      </w:r>
      <w:r>
        <w:rPr>
          <w:rFonts w:ascii="Arial;sans-serif" w:hAnsi="Arial;sans-serif"/>
          <w:b w:val="false"/>
          <w:color w:val="000000"/>
          <w:sz w:val="18"/>
          <w:shd w:fill="FFFFFF" w:val="clear"/>
        </w:rPr>
        <w:t>);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received the written disclosures and the letter from Ernst &amp; Young required by applicable requirements of the PCAOB regarding the independent accountant’s communications with the audit committee concerning independence, and has discussed with Ernst &amp; Young its independence.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Based on the audit committee’s review and discussions with management and Ernst &amp; Young, the audit committee recommended to the board of directors that the audited financial statements be included in the Annual Report on Form 10-K for the fiscal year ended December 31, 2024 for filing with the SEC.</w:t>
      </w:r>
    </w:p>
    <w:p>
      <w:pPr>
        <w:pStyle w:val="TextBody"/>
        <w:bidi w:val="0"/>
        <w:spacing w:lineRule="auto" w:line="276"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Respectfully submitted by the members of the audit committee of the board of directors:</w:t>
      </w:r>
    </w:p>
    <w:p>
      <w:pPr>
        <w:pStyle w:val="TextBody"/>
        <w:bidi w:val="0"/>
        <w:spacing w:lineRule="auto" w:line="276" w:before="240" w:after="283"/>
        <w:jc w:val="left"/>
        <w:rPr>
          <w:rFonts w:ascii="Arial;sans-serif" w:hAnsi="Arial;sans-serif"/>
          <w:b/>
          <w:color w:val="000000"/>
          <w:sz w:val="18"/>
          <w:shd w:fill="FFFFFF" w:val="clear"/>
        </w:rPr>
      </w:pPr>
      <w:r>
        <w:rPr>
          <w:rFonts w:ascii="Arial;sans-serif" w:hAnsi="Arial;sans-serif"/>
          <w:b/>
          <w:color w:val="000000"/>
          <w:sz w:val="18"/>
          <w:shd w:fill="FFFFFF" w:val="clear"/>
        </w:rPr>
        <w:t>Donald W. Blair (Chair)</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Lisa Campbell</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Sara Mathew</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Andrew Moore</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Warren Jenson*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 Mr. Jenson joined the Audit Committee in January 2025.</w:t>
      </w:r>
    </w:p>
    <w:p>
      <w:pPr>
        <w:pStyle w:val="TextBody"/>
        <w:bidi w:val="0"/>
        <w:spacing w:lineRule="auto" w:line="276" w:before="180" w:after="283"/>
        <w:jc w:val="left"/>
        <w:rPr/>
      </w:pPr>
      <w:r>
        <w:rPr>
          <w:rFonts w:ascii="Arial;sans-serif" w:hAnsi="Arial;sans-serif"/>
          <w:b w:val="false"/>
          <w:color w:val="000000"/>
          <w:sz w:val="18"/>
          <w:shd w:fill="FFFFFF" w:val="clear"/>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sans-serif" w:hAnsi="Arial;sans-serif"/>
          <w:b/>
          <w:i/>
          <w:color w:val="000000"/>
          <w:sz w:val="18"/>
          <w:shd w:fill="FFFFFF" w:val="clear"/>
        </w:rPr>
        <w:t>Securities Act</w:t>
      </w:r>
      <w:r>
        <w:rPr>
          <w:color w:val="000000"/>
          <w:shd w:fill="FFFFFF" w:val="clear"/>
        </w:rPr>
        <w:t>”</w:t>
      </w:r>
      <w:r>
        <w:rPr>
          <w:rFonts w:ascii="Arial;sans-serif" w:hAnsi="Arial;sans-serif"/>
          <w:b w:val="false"/>
          <w:color w:val="000000"/>
          <w:sz w:val="18"/>
          <w:shd w:fill="FFFFFF" w:val="clear"/>
        </w:rPr>
        <w:t>), or under the Exchange Act, except to the extent that we specifically incorporate this information by reference, and will not otherwise be deemed “soliciting material” or “filed” under either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36575"/>
                <wp:effectExtent l="0" t="0" r="0" b="0"/>
                <wp:wrapNone/>
                <wp:docPr id="64" name="Frame3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240" w:after="283"/>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PROPOSAL NO. 3—ADVISORY VOTE ON THE COMPENSATION OF OUR NAMED EXECUTIVE OFFICERS</w:t>
      </w:r>
    </w:p>
    <w:p>
      <w:pPr>
        <w:pStyle w:val="TextBody"/>
        <w:bidi w:val="0"/>
        <w:spacing w:lineRule="auto" w:line="276" w:before="180" w:after="283"/>
        <w:jc w:val="left"/>
        <w:rPr/>
      </w:pPr>
      <w:r>
        <w:rPr>
          <w:rFonts w:ascii="Arial;sans-serif" w:hAnsi="Arial;sans-serif"/>
          <w:b w:val="false"/>
          <w:color w:val="000000"/>
          <w:sz w:val="18"/>
          <w:shd w:fill="FFFFFF" w:val="clear"/>
        </w:rPr>
        <w:t>In accordance with the Dodd-Frank Wall Street Reform and Consumer Protection Act of 2010 (the “</w:t>
      </w:r>
      <w:r>
        <w:rPr>
          <w:rFonts w:ascii="Arial;sans-serif" w:hAnsi="Arial;sans-serif"/>
          <w:b/>
          <w:i/>
          <w:color w:val="000000"/>
          <w:sz w:val="18"/>
          <w:shd w:fill="FFFFFF" w:val="clear"/>
        </w:rPr>
        <w:t>Dodd-Frank Act</w:t>
      </w:r>
      <w:r>
        <w:rPr>
          <w:color w:val="000000"/>
          <w:shd w:fill="FFFFFF" w:val="clear"/>
        </w:rPr>
        <w:t>”</w:t>
      </w:r>
      <w:r>
        <w:rPr>
          <w:rFonts w:ascii="Arial;sans-serif" w:hAnsi="Arial;sans-serif"/>
          <w:b w:val="false"/>
          <w:color w:val="000000"/>
          <w:sz w:val="18"/>
          <w:shd w:fill="FFFFFF" w:val="clear"/>
        </w:rPr>
        <w:t xml:space="preserve">)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pStyle w:val="TextBody"/>
        <w:bidi w:val="0"/>
        <w:spacing w:lineRule="auto" w:line="276" w:before="180" w:after="283"/>
        <w:jc w:val="left"/>
        <w:rPr/>
      </w:pPr>
      <w:r>
        <w:rPr>
          <w:rFonts w:ascii="Arial;sans-serif" w:hAnsi="Arial;sans-serif"/>
          <w:b w:val="false"/>
          <w:color w:val="000000"/>
          <w:sz w:val="18"/>
          <w:shd w:fill="FFFFFF" w:val="clear"/>
        </w:rPr>
        <w:t>We believe that the information provided in the section titled “</w:t>
      </w:r>
      <w:r>
        <w:rPr>
          <w:rFonts w:ascii="Arial;sans-serif" w:hAnsi="Arial;sans-serif"/>
          <w:b w:val="false"/>
          <w:i/>
          <w:color w:val="000000"/>
          <w:sz w:val="18"/>
          <w:shd w:fill="FFFFFF" w:val="clear"/>
        </w:rPr>
        <w:t>Executive Compensation</w:t>
      </w:r>
      <w:r>
        <w:rPr>
          <w:rFonts w:ascii="Arial;sans-serif" w:hAnsi="Arial;sans-serif"/>
          <w:b w:val="false"/>
          <w:color w:val="000000"/>
          <w:sz w:val="18"/>
          <w:shd w:fill="FFFFFF" w:val="clear"/>
        </w:rPr>
        <w:t>,” and in particular the information discussed in the section titled “</w:t>
      </w:r>
      <w:r>
        <w:rPr>
          <w:rFonts w:ascii="Arial;sans-serif" w:hAnsi="Arial;sans-serif"/>
          <w:b w:val="false"/>
          <w:i/>
          <w:color w:val="000000"/>
          <w:sz w:val="18"/>
          <w:shd w:fill="FFFFFF" w:val="clear"/>
        </w:rPr>
        <w:t>Executive Compensation—Compensation Philosophy</w:t>
      </w:r>
      <w:r>
        <w:rPr>
          <w:rFonts w:ascii="Arial;sans-serif" w:hAnsi="Arial;sans-serif"/>
          <w:b w:val="false"/>
          <w:color w:val="000000"/>
          <w:sz w:val="18"/>
          <w:shd w:fill="FFFFFF" w:val="clear"/>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pStyle w:val="TextBody"/>
        <w:bidi w:val="0"/>
        <w:spacing w:lineRule="auto" w:line="276" w:before="18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Vote Required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THE BOARD OF DIRECTORS RECOMMENDS A VOTE “FOR” THE APPROVAL, ON AN ADVISORY BASIS,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36575"/>
                <wp:effectExtent l="0" t="0" r="0" b="0"/>
                <wp:wrapNone/>
                <wp:docPr id="65" name="Frame3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240" w:after="283"/>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68" w:before="0" w:after="0"/>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 xml:space="preserve">PROPOSAL NO. 4 — ADVISORY VOTE ON THE FREQUENCY OF FUTURE STOCKHOLDER ADVISORY VOTES ON THE COMPENSATION OF OUR NAMED EXECUTIVE OFFICERS </w:t>
      </w:r>
    </w:p>
    <w:p>
      <w:pPr>
        <w:pStyle w:val="TextBody"/>
        <w:bidi w:val="0"/>
        <w:spacing w:before="180" w:after="283"/>
        <w:jc w:val="left"/>
        <w:rPr/>
      </w:pPr>
      <w:r>
        <w:rPr/>
      </w:r>
    </w:p>
    <w:p>
      <w:pPr>
        <w:pStyle w:val="TextBody"/>
        <w:bidi w:val="0"/>
        <w:spacing w:lineRule="auto" w:line="276" w:before="180" w:after="283"/>
        <w:jc w:val="left"/>
        <w:rPr>
          <w:rFonts w:ascii="Arial;sans-serif" w:hAnsi="Arial;sans-serif"/>
          <w:b w:val="false"/>
          <w:color w:val="000000"/>
          <w:sz w:val="18"/>
        </w:rPr>
      </w:pPr>
      <w:r>
        <w:rPr>
          <w:rFonts w:ascii="Arial;sans-serif" w:hAnsi="Arial;sans-serif"/>
          <w:b w:val="false"/>
          <w:color w:val="000000"/>
          <w:sz w:val="18"/>
        </w:rPr>
        <w:t xml:space="preserve">In accordance with the Dodd-Frank Act and SEC rules, at least once every six years, we must provide our stockholders with the opportunity to indicate their preference regarding how frequently we should hold the Say-on-Pay vote. Accordingly, we are asking our stockholders to indicate whether they would prefer an advisory vote every one year, two years or three years. Alternatively, stockholders may abstain from casting a vote. </w:t>
      </w:r>
    </w:p>
    <w:p>
      <w:pPr>
        <w:pStyle w:val="TextBody"/>
        <w:bidi w:val="0"/>
        <w:spacing w:before="0" w:after="0"/>
        <w:jc w:val="left"/>
        <w:rPr/>
      </w:pPr>
      <w:r>
        <w:rPr/>
      </w:r>
    </w:p>
    <w:p>
      <w:pPr>
        <w:pStyle w:val="TextBody"/>
        <w:bidi w:val="0"/>
        <w:spacing w:lineRule="auto" w:line="249" w:before="0" w:after="0"/>
        <w:jc w:val="left"/>
        <w:rPr/>
      </w:pPr>
      <w:r>
        <w:rPr>
          <w:rFonts w:ascii="Arial;sans-serif" w:hAnsi="Arial;sans-serif"/>
          <w:b w:val="false"/>
          <w:color w:val="000000"/>
          <w:sz w:val="18"/>
        </w:rPr>
        <w:t>Our stockholders voted on a similar proposal in 2019 with the holders of a majority of the voting power of our Class A common stock voting to hold the Say-on-Pay vote every year.</w:t>
      </w:r>
      <w:r>
        <w:rPr>
          <w:color w:val="000000"/>
        </w:rPr>
        <w:t xml:space="preserve"> </w:t>
      </w:r>
      <w:r>
        <w:rPr>
          <w:rFonts w:ascii="Arial;sans-serif" w:hAnsi="Arial;sans-serif"/>
          <w:b w:val="false"/>
          <w:color w:val="000000"/>
          <w:sz w:val="18"/>
        </w:rPr>
        <w:t>Our board of directors and the talent and compensation committee continue to believe that Say-on-Pay advisory votes should be conducted each year so that our stockholders may express their views on our executive compensation program and the talent and compensation committee can consider such views in its compensation planning for the fiscal year following the Say-on-Pay advisory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Vote Required</w:t>
      </w:r>
    </w:p>
    <w:p>
      <w:pPr>
        <w:pStyle w:val="TextBody"/>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The option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pStyle w:val="TextBody"/>
        <w:bidi w:val="0"/>
        <w:spacing w:before="0" w:after="0"/>
        <w:jc w:val="left"/>
        <w:rPr/>
      </w:pPr>
      <w:r>
        <w:rPr/>
      </w:r>
    </w:p>
    <w:p>
      <w:pPr>
        <w:pStyle w:val="TextBody"/>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While our board of directors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pStyle w:val="TextBody"/>
        <w:bidi w:val="0"/>
        <w:spacing w:before="0" w:after="0"/>
        <w:jc w:val="left"/>
        <w:rPr/>
      </w:pPr>
      <w:r>
        <w:rPr/>
      </w:r>
    </w:p>
    <w:p>
      <w:pPr>
        <w:pStyle w:val="TextBody"/>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 xml:space="preserve">As an advisory vote, the result of this proposal is non-binding. Although the vote is non-binding, our board of directors and our talent and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 </w:t>
      </w:r>
    </w:p>
    <w:p>
      <w:pPr>
        <w:pStyle w:val="TextBody"/>
        <w:bidi w:val="0"/>
        <w:spacing w:before="0" w:after="0"/>
        <w:jc w:val="left"/>
        <w:rPr/>
      </w:pPr>
      <w:r>
        <w:rPr/>
      </w:r>
    </w:p>
    <w:p>
      <w:pPr>
        <w:pStyle w:val="TextBody"/>
        <w:bidi w:val="0"/>
        <w:spacing w:lineRule="auto" w:line="230" w:before="0" w:after="0"/>
        <w:jc w:val="left"/>
        <w:rPr>
          <w:rFonts w:ascii="Arial;sans-serif" w:hAnsi="Arial;sans-serif"/>
          <w:b/>
          <w:color w:val="0065B3"/>
          <w:sz w:val="18"/>
        </w:rPr>
      </w:pPr>
      <w:r>
        <w:rPr>
          <w:rFonts w:ascii="Arial;sans-serif" w:hAnsi="Arial;sans-serif"/>
          <w:b/>
          <w:color w:val="0065B3"/>
          <w:sz w:val="18"/>
        </w:rPr>
        <w:t>THE BOARD OF DIRECTORS RECOMMENDS A VOTE TO HOLD FUTURE STOCKHOLDER ADVISORY VOTES ON THE COMPENSATION OF OUR NAMED EXECUTIVE OFFICERS EVERY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36575"/>
                <wp:effectExtent l="0" t="0" r="0" b="0"/>
                <wp:wrapNone/>
                <wp:docPr id="66" name="Frame3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63A6"/>
          <w:sz w:val="36"/>
        </w:rPr>
      </w:pPr>
      <w:r>
        <w:rPr>
          <w:rFonts w:ascii="Arial;sans-serif" w:hAnsi="Arial;sans-serif"/>
          <w:b w:val="false"/>
          <w:color w:val="0063A6"/>
          <w:sz w:val="36"/>
        </w:rPr>
        <w:t>PROPOSAL NO. 5 - STOCKHOLDER PROPOSAL TO IMPOSE VESTING PROVISIONS ON OUR CLASS B COMMON STOCK</w:t>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We have been advised that Half Moon Capital, LLC, who has indicated that it is a continuous beneficial owner of at least $25,000 in market value of our common stock for at least one year, intends to submit the following proposal at the Annual Meeting.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 xml:space="preserve">Proposal: </w:t>
      </w:r>
      <w:r>
        <w:rPr>
          <w:rFonts w:ascii="Arial;sans-serif" w:hAnsi="Arial;sans-serif"/>
          <w:b w:val="false"/>
          <w:color w:val="000000"/>
          <w:sz w:val="18"/>
        </w:rPr>
        <w:t>Half Moon Capital, LLC is proposing Dropbox shareholders APPROVE a 3-year vesting schedule for the Class B shares to convert into Class A. We propose the Class B shares vest 33.33% in each year the Class A stock subsequently remains below $30, $35, and $40 on the 1, 2, and 3 year anniversary of adoption.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 xml:space="preserve">Issue: </w:t>
      </w:r>
      <w:r>
        <w:rPr>
          <w:rFonts w:ascii="Arial;sans-serif" w:hAnsi="Arial;sans-serif"/>
          <w:b w:val="false"/>
          <w:color w:val="000000"/>
          <w:sz w:val="18"/>
        </w:rPr>
        <w:t>We believe the dual-class structure has created a misalignment between the majority owners (i.e. Class A holders) of Dropbox and the insiders who control the super voting Class B shares. We believe this has prevented shareholders from holding insiders accountable as significant missteps continue to erode shareholder value.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8"/>
        </w:rPr>
        <w:t>Supporting Reasons</w:t>
      </w:r>
      <w:r>
        <w:rPr>
          <w:rFonts w:ascii="Arial;sans-serif" w:hAnsi="Arial;sans-serif"/>
          <w:b w:val="false"/>
          <w:color w:val="000000"/>
          <w:sz w:val="18"/>
        </w:rPr>
        <w:t>:</w:t>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18"/>
        </w:rPr>
        <w:t>Since Dropbox’s IPO, Class A shares have grossly underperformed, generating a 3.19% annualized return compared to 20.93% for the S&amp;P 500 Index with dividends reinvested through 9/30/24.</w:t>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18"/>
        </w:rPr>
        <w:t>Peers such as BackBlaze (Nasdaq:BLZE) and Nutanix (Nasdaq:NTNX) have eliminated their dual-class share structures in the public markets as a best practice for corporate governance.</w:t>
      </w:r>
    </w:p>
    <w:p>
      <w:pPr>
        <w:pStyle w:val="TextBody"/>
        <w:bidi w:val="0"/>
        <w:spacing w:lineRule="auto" w:line="247" w:before="0" w:after="0"/>
        <w:ind w:left="0" w:right="0" w:hanging="360"/>
        <w:jc w:val="left"/>
        <w:rPr/>
      </w:pPr>
      <w:r>
        <w:rPr>
          <w:color w:val="000000"/>
        </w:rPr>
        <w:t>•</w:t>
      </w:r>
      <w:r>
        <w:rPr>
          <w:rFonts w:ascii="Arial;sans-serif" w:hAnsi="Arial;sans-serif"/>
          <w:b w:val="false"/>
          <w:color w:val="000000"/>
          <w:sz w:val="18"/>
        </w:rPr>
        <w:t>Additional benefits potentially include improved strategic value, corporate governance, ESG ratings, broader shareholder base and possible index inclusions.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The Company’s Statement in Opposition to Proposal 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Our board of directors recommends a vote AGAINST the proposal submitted by Half Moon Capital, LLC (the “</w:t>
      </w:r>
      <w:r>
        <w:rPr>
          <w:rFonts w:ascii="Arial;sans-serif" w:hAnsi="Arial;sans-serif"/>
          <w:b/>
          <w:color w:val="000000"/>
          <w:sz w:val="18"/>
        </w:rPr>
        <w:t>Proposal</w:t>
      </w:r>
      <w:r>
        <w:rPr>
          <w:color w:val="000000"/>
        </w:rPr>
        <w:t>”</w:t>
      </w:r>
      <w:r>
        <w:rPr>
          <w:rFonts w:ascii="Arial;sans-serif" w:hAnsi="Arial;sans-serif"/>
          <w:b w:val="false"/>
          <w:color w:val="000000"/>
          <w:sz w:val="18"/>
        </w:rPr>
        <w:t xml:space="preserve">). Our board of directors believes that maintaining our dual class structure is in the best interests of the company and our stockholders.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u w:val="single"/>
        </w:rPr>
      </w:pPr>
      <w:r>
        <w:rPr>
          <w:rFonts w:ascii="Arial;sans-serif" w:hAnsi="Arial;sans-serif"/>
          <w:b/>
          <w:color w:val="000000"/>
          <w:sz w:val="18"/>
          <w:u w:val="single"/>
        </w:rPr>
        <w:t>The Proposal Is Vague and Misleading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Today, all shares of Class B common stock are owned by their holders, free and clear without restriction. Over 80 stockholders hold shares of Class B common stock. All of the shares were purchased prior to our initial public offering in 2018 (the "</w:t>
      </w:r>
      <w:r>
        <w:rPr>
          <w:rFonts w:ascii="Arial;sans-serif" w:hAnsi="Arial;sans-serif"/>
          <w:b/>
          <w:color w:val="000000"/>
          <w:sz w:val="18"/>
        </w:rPr>
        <w:t>IPO</w:t>
      </w:r>
      <w:r>
        <w:rPr>
          <w:rFonts w:ascii="Arial;sans-serif" w:hAnsi="Arial;sans-serif"/>
          <w:b w:val="false"/>
          <w:color w:val="000000"/>
          <w:sz w:val="18"/>
        </w:rPr>
        <w:t>") or were issued upon exercise or vesting of equity awards granted prior to the IPO. Any holder of Class B common stock has either paid cash for such shares over six years ago, or earned the shares by performing services for the company. Class B common stock is convertible into Class A stock at any time, but must be converted to Class A common stock to be sold.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Proposal implies that Class B common stock is held by "insiders" who should be held "accountable" for the company's performance. While the majority holder of the Class B common stock is the company's Chief Executive Officer, many of the remaining holders of Class B common stock are former management and long-time employees of the company or are no longer involved at the company at all other than in their capacity as stockholders. The Proposal does not distinguish between holders of the Class B common stock, and makes incorrect and misleading statements about such holders, as well as the ability of stockholders to impose this action, as further described below.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Importantly, it’s not even clear what actions stockholders are being asked to approve. The Proposal purports to impose new restrictions on holders of Class B common stock and the shares that they already have paid for – which neither the company nor the stockholders can do. However, it is not even clear what Half Moon Capital, LLC intends by its use of the term “vest” in relation to conversion; and it is not clear what the price-based terms represent. Class B common stock is not an option to purchase, nor does it represent any other right to acquire, Class B common stock or Class A common stock, nor is it restricted stock subject to a right of repurchase. Accordingly, it is completely unclear what success or failure in meeting the stock price targets (which are entirely arbitrary as it relates to company performance) would mean. The Proposal could purport to require that stockholders cannot convert their shares into Class A common stock unless the stock price targets are met, or it could mean that the stockholders are required to convert their shares into Class A common stock if the stock prices aren’t met. In either case, however, the fact remains that neither the company, nor the stockholders generally, can impose these restrictions or requirements on stockholders who have already fully paid for their shares.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u w:val="single"/>
        </w:rPr>
      </w:pPr>
      <w:r>
        <w:rPr>
          <w:rFonts w:ascii="Arial;sans-serif" w:hAnsi="Arial;sans-serif"/>
          <w:b/>
          <w:color w:val="000000"/>
          <w:sz w:val="18"/>
          <w:u w:val="single"/>
        </w:rPr>
        <w:t>The Proposal Violates Nevada Law</w:t>
      </w:r>
    </w:p>
    <w:p>
      <w:pPr>
        <w:pStyle w:val="TextBody"/>
        <w:bidi w:val="0"/>
        <w:spacing w:before="0" w:after="0"/>
        <w:jc w:val="left"/>
        <w:rPr/>
      </w:pPr>
      <w:r>
        <w:rPr/>
      </w:r>
    </w:p>
    <w:p>
      <w:pPr>
        <w:pStyle w:val="TextBody"/>
        <w:bidi w:val="0"/>
        <w:spacing w:lineRule="auto" w:line="290" w:before="0" w:after="0"/>
        <w:jc w:val="left"/>
        <w:rPr/>
      </w:pPr>
      <w:r>
        <w:rPr>
          <w:rFonts w:ascii="Arial;sans-serif" w:hAnsi="Arial;sans-serif"/>
          <w:b w:val="false"/>
          <w:color w:val="000000"/>
          <w:sz w:val="18"/>
        </w:rPr>
        <w:t>Even if the Proposal more clearly defined the intent of the vesting terms it seems to impose, the imposition of vesting restrictions on Class B common stock would conflict with Nevada law. Specifically, Nevada Revised Statutes (“</w:t>
      </w:r>
      <w:r>
        <w:rPr>
          <w:rFonts w:ascii="Arial;sans-serif" w:hAnsi="Arial;sans-serif"/>
          <w:b/>
          <w:color w:val="000000"/>
          <w:sz w:val="18"/>
        </w:rPr>
        <w:t>NRS</w:t>
      </w:r>
      <w:r>
        <w:rPr>
          <w:color w:val="000000"/>
        </w:rPr>
        <w:t>”</w:t>
      </w:r>
      <w:r>
        <w:rPr>
          <w:rFonts w:ascii="Arial;sans-serif" w:hAnsi="Arial;sans-serif"/>
          <w:b w:val="false"/>
          <w:color w:val="000000"/>
          <w:sz w:val="18"/>
        </w:rPr>
        <w:t xml:space="preserve">) section 78.242(2) provides that no restrictions can be placed on the transferability of shares already owned by a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36575"/>
                <wp:effectExtent l="0" t="0" r="0" b="0"/>
                <wp:wrapNone/>
                <wp:docPr id="67" name="Frame3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63A6"/>
          <w:sz w:val="36"/>
        </w:rPr>
      </w:pPr>
      <w:r>
        <w:rPr>
          <w:rFonts w:ascii="Arial;sans-serif" w:hAnsi="Arial;sans-serif"/>
          <w:b w:val="false"/>
          <w:color w:val="0063A6"/>
          <w:sz w:val="36"/>
        </w:rPr>
        <w:t>PROPOSAL NO. 5 - STOCKHOLDER PROPOSAL TO IMPOSE VESTING PROVISIONS ON OUR CLASS B 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0" w:before="0" w:after="0"/>
        <w:jc w:val="left"/>
        <w:rPr>
          <w:rFonts w:ascii="Arial;sans-serif" w:hAnsi="Arial;sans-serif"/>
          <w:b w:val="false"/>
          <w:color w:val="000000"/>
          <w:sz w:val="18"/>
        </w:rPr>
      </w:pPr>
      <w:r>
        <w:rPr>
          <w:rFonts w:ascii="Arial;sans-serif" w:hAnsi="Arial;sans-serif"/>
          <w:b w:val="false"/>
          <w:color w:val="000000"/>
          <w:sz w:val="18"/>
        </w:rPr>
        <w:t>unless that stockholder (emphasis added) gives their consent or votes in favor of such restrictions. Currently, under our governing documents, Class B common stock automatically converts to Class A common stock if there is a sale or transfer of such shares and the owner does not maintain sole dispositive power and voting control. The Proposal proposes vesting provisions which would restrict or force the conversion of fully vested Class B common stock into Class A common stock based on arbitrary price thresholds. This restriction infringes on the rights of stockholders who currently hold Class B common stock. Attempting to implement the Proposal without separate, individual approval by each Class B stockholder, violates Nevada law and therefore cannot be legally implemented as proposed.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u w:val="single"/>
        </w:rPr>
      </w:pPr>
      <w:r>
        <w:rPr>
          <w:rFonts w:ascii="Arial;sans-serif" w:hAnsi="Arial;sans-serif"/>
          <w:b/>
          <w:color w:val="000000"/>
          <w:sz w:val="18"/>
          <w:u w:val="single"/>
        </w:rPr>
        <w:t>The Company Lacks the Power to Implement the Proposal</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Furthermore, the company lacks the necessary authority to implement the Proposal as presented. The Proposal’s requirement for a vesting schedule and periodic conversion of Class B common stock to Class A common stock contradicts the existing rights granted to Class B stockholders in the articles of incorporation. Specifically, the rights of conversion for Class B common stock are defined in the articles of incorporation as required by the NRS. These bargained-for rights belong solely to the holders of Class B common stock and cannot be unilaterally changed by the company or collectively altered by the action of stockholders without an amendment to the articles of incorporation. The Proposal made no mention of such an amendment or requesting that the company consider such an amendment, which would require a specific process and approval from our board of directors, stockholder approval, and a separate class vote of the Class B common stock, as outlined in the NRS and the articles of incorporation. Similarly, the company has no authority to compel the holders of Class B common stock to convert their shares at any given time or for any reason. Accordingly, even if the Proposal were approved, the company cannot compel the holders of Class B common stock to convert their stock.</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For these reasons, the board of directors believes that the requirements in the Proposal are unclear and unenforceable, and do not serve the best interests of our company and its stockholders.</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Vote Required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Approval of this stockholder proposal requires the affirmative vote of at least </w:t>
      </w:r>
      <w:r>
        <w:rPr>
          <w:rFonts w:ascii="Arial;sans-serif" w:hAnsi="Arial;sans-serif"/>
          <w:b w:val="false"/>
          <w:color w:val="000000"/>
          <w:sz w:val="18"/>
          <w:shd w:fill="FFFFFF" w:val="clear"/>
        </w:rPr>
        <w:t>a majority of the voting power of the shares of our common stock present virtually or by proxy at the Annual Meeting and entitled to vote thereon. Abstentions will have the effect of a vote against this proposal, and broker non-votes will have no effect.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0" w:before="0" w:after="0"/>
        <w:jc w:val="left"/>
        <w:rPr>
          <w:rFonts w:ascii="Arial;sans-serif" w:hAnsi="Arial;sans-serif"/>
          <w:b/>
          <w:color w:val="0065B3"/>
          <w:sz w:val="18"/>
        </w:rPr>
      </w:pPr>
      <w:r>
        <w:rPr>
          <w:rFonts w:ascii="Arial;sans-serif" w:hAnsi="Arial;sans-serif"/>
          <w:b/>
          <w:color w:val="0065B3"/>
          <w:sz w:val="18"/>
        </w:rPr>
        <w:t>THE BOARD OF DIRECTORS RECOMMENDS A VOTE "AGAINST" THE STOCKHOLDER PROPOSAL TO IMPOSE VESTING PROVISIONS ON OUR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36575"/>
                <wp:effectExtent l="0" t="0" r="0" b="0"/>
                <wp:wrapNone/>
                <wp:docPr id="68" name="Frame3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OFFICERS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table identifies certain information about our executive officers as of April 14, 2025. Our executive officers are appointed by, and serve at the discretion of, our board of directors. There are no family relationships among any of our directors or executive officers. </w:t>
      </w:r>
    </w:p>
    <w:tbl>
      <w:tblPr>
        <w:tblW w:w="7185" w:type="dxa"/>
        <w:jc w:val="left"/>
        <w:tblInd w:w="0" w:type="dxa"/>
        <w:tblLayout w:type="fixed"/>
        <w:tblCellMar>
          <w:top w:w="28" w:type="dxa"/>
          <w:left w:w="28" w:type="dxa"/>
          <w:bottom w:w="28" w:type="dxa"/>
          <w:right w:w="28" w:type="dxa"/>
        </w:tblCellMar>
      </w:tblPr>
      <w:tblGrid>
        <w:gridCol w:w="631"/>
        <w:gridCol w:w="551"/>
        <w:gridCol w:w="558"/>
        <w:gridCol w:w="140"/>
        <w:gridCol w:w="140"/>
        <w:gridCol w:w="141"/>
        <w:gridCol w:w="1466"/>
        <w:gridCol w:w="1466"/>
        <w:gridCol w:w="2092"/>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42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Age</w:t>
            </w:r>
          </w:p>
        </w:tc>
        <w:tc>
          <w:tcPr>
            <w:tcW w:w="5024" w:type="dxa"/>
            <w:gridSpan w:val="3"/>
            <w:tcBorders>
              <w:left w:val="single" w:sz="12" w:space="0" w:color="FFFFFF"/>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Position</w:t>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42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5024" w:type="dxa"/>
            <w:gridSpan w:val="3"/>
            <w:tcBorders>
              <w:top w:val="single" w:sz="12" w:space="0" w:color="FFFFFF"/>
              <w:left w:val="single" w:sz="12" w:space="0" w:color="FFFFFF"/>
            </w:tcBorders>
            <w:shd w:fill="F2F2F2" w:val="clear"/>
            <w:tcMar>
              <w:top w:w="3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Executive Officer, Co-Founder, and Chair</w:t>
            </w:r>
          </w:p>
        </w:tc>
      </w:tr>
      <w:tr>
        <w:trPr/>
        <w:tc>
          <w:tcPr>
            <w:tcW w:w="1740" w:type="dxa"/>
            <w:gridSpan w:val="3"/>
            <w:tcBorders>
              <w:top w:val="single" w:sz="12" w:space="0" w:color="FFFFFF"/>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42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5024" w:type="dxa"/>
            <w:gridSpan w:val="3"/>
            <w:tcBorders>
              <w:top w:val="single" w:sz="12" w:space="0" w:color="FFFFFF"/>
              <w:left w:val="single" w:sz="12" w:space="0" w:color="FFFFFF"/>
            </w:tcBorders>
            <w:shd w:fill="FFFFFF" w:val="clear"/>
            <w:tcMar>
              <w:top w:w="3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174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Will Yoon</w:t>
            </w:r>
            <w:r>
              <w:rPr>
                <w:rFonts w:ascii="Arial;sans-serif" w:hAnsi="Arial;sans-serif"/>
                <w:b w:val="false"/>
                <w:color w:val="000000"/>
                <w:sz w:val="12"/>
              </w:rPr>
              <w:t>(1)</w:t>
            </w:r>
          </w:p>
        </w:tc>
        <w:tc>
          <w:tcPr>
            <w:tcW w:w="42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5024" w:type="dxa"/>
            <w:gridSpan w:val="3"/>
            <w:tcBorders>
              <w:top w:val="single" w:sz="12" w:space="0" w:color="FFFFFF"/>
              <w:left w:val="single" w:sz="12" w:space="0" w:color="FFFFFF"/>
            </w:tcBorders>
            <w:shd w:fill="F2F2F2" w:val="clear"/>
            <w:tcMar>
              <w:top w:w="3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Legal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Eric Cox</w:t>
            </w:r>
            <w:r>
              <w:rPr>
                <w:rFonts w:ascii="Arial;sans-serif" w:hAnsi="Arial;sans-serif"/>
                <w:b w:val="false"/>
                <w:color w:val="000000"/>
                <w:sz w:val="12"/>
              </w:rPr>
              <w:t>(2)</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Chief Customer Officer</w:t>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Ali Dasdan</w:t>
            </w:r>
            <w:r>
              <w:rPr>
                <w:rFonts w:ascii="Arial;sans-serif" w:hAnsi="Arial;sans-serif"/>
                <w:b w:val="false"/>
                <w:color w:val="000000"/>
                <w:sz w:val="12"/>
              </w:rPr>
              <w:t>(3)</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5024"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Chief Technology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Ashraf Alkarmi</w:t>
            </w:r>
            <w:r>
              <w:rPr>
                <w:rFonts w:ascii="Arial;sans-serif" w:hAnsi="Arial;sans-serif"/>
                <w:b w:val="false"/>
                <w:color w:val="000000"/>
                <w:sz w:val="12"/>
              </w:rPr>
              <w:t>(4)</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50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General Manager and Senior Vice President, Core Products</w:t>
            </w:r>
          </w:p>
        </w:tc>
      </w:tr>
    </w:tbl>
    <w:p>
      <w:pPr>
        <w:pStyle w:val="TextBody"/>
        <w:bidi w:val="0"/>
        <w:spacing w:before="40" w:after="283"/>
        <w:jc w:val="left"/>
        <w:rPr/>
      </w:pPr>
      <w:r>
        <w:rPr/>
      </w:r>
    </w:p>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Mr. Yoon has served as our Chief Legal Officer since March 2025.</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The company announced on April 11, 2025 that Mr. Cox plans to resign as Chief Customer Officer of the company. Mr. Cox will remain in his role as Chief Customer Officer for a period of time to help with the transition and then will continue as a non-executive employee through mid-August 2025.</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Mr. Dasdan has served as our Chief Technology Officer since March 2025.</w:t>
      </w:r>
    </w:p>
    <w:p>
      <w:pPr>
        <w:pStyle w:val="TextBody"/>
        <w:bidi w:val="0"/>
        <w:spacing w:lineRule="auto" w:line="268" w:before="20" w:after="283"/>
        <w:ind w:left="0" w:right="0" w:hanging="360"/>
        <w:jc w:val="left"/>
        <w:rPr/>
      </w:pPr>
      <w:r>
        <w:rPr>
          <w:rFonts w:ascii="Arial;sans-serif" w:hAnsi="Arial;sans-serif"/>
          <w:b w:val="false"/>
          <w:color w:val="000000"/>
          <w:sz w:val="12"/>
        </w:rPr>
        <w:t>(4)</w:t>
      </w:r>
      <w:r>
        <w:rPr>
          <w:rFonts w:ascii="Arial;sans-serif" w:hAnsi="Arial;sans-serif"/>
          <w:b w:val="false"/>
          <w:color w:val="000000"/>
          <w:sz w:val="16"/>
        </w:rPr>
        <w:t>Mr. Alkarmi has served as our General Manager and Senior Vice President, Core Products since November 2024.</w:t>
      </w:r>
    </w:p>
    <w:p>
      <w:pPr>
        <w:pStyle w:val="TextBody"/>
        <w:bidi w:val="0"/>
        <w:spacing w:before="40" w:after="283"/>
        <w:jc w:val="left"/>
        <w:rPr/>
      </w:pPr>
      <w:r>
        <w:rPr/>
      </w:r>
    </w:p>
    <w:p>
      <w:pPr>
        <w:pStyle w:val="TextBody"/>
        <w:bidi w:val="0"/>
        <w:spacing w:lineRule="auto" w:line="276" w:before="180" w:after="283"/>
        <w:jc w:val="left"/>
        <w:rPr/>
      </w:pPr>
      <w:r>
        <w:rPr>
          <w:rFonts w:ascii="Arial;sans-serif" w:hAnsi="Arial;sans-serif"/>
          <w:b w:val="false"/>
          <w:color w:val="000000"/>
          <w:sz w:val="18"/>
          <w:shd w:fill="FFFFFF" w:val="clear"/>
        </w:rPr>
        <w:t>For Mr. Houston’s biography, see “</w:t>
      </w:r>
      <w:r>
        <w:rPr>
          <w:rFonts w:ascii="Arial;sans-serif" w:hAnsi="Arial;sans-serif"/>
          <w:b w:val="false"/>
          <w:i/>
          <w:color w:val="000000"/>
          <w:sz w:val="18"/>
          <w:shd w:fill="FFFFFF" w:val="clear"/>
        </w:rPr>
        <w:t>Nominees for Director</w:t>
      </w:r>
      <w:r>
        <w:rPr>
          <w:rFonts w:ascii="Arial;sans-serif" w:hAnsi="Arial;sans-serif"/>
          <w:b w:val="false"/>
          <w:color w:val="000000"/>
          <w:sz w:val="18"/>
          <w:shd w:fill="FFFFFF" w:val="clear"/>
        </w:rPr>
        <w:t>.”</w:t>
      </w:r>
    </w:p>
    <w:p>
      <w:pPr>
        <w:pStyle w:val="TextBody"/>
        <w:bidi w:val="0"/>
        <w:spacing w:lineRule="auto" w:line="276" w:before="180" w:after="283"/>
        <w:jc w:val="left"/>
        <w:rPr/>
      </w:pPr>
      <w:r>
        <w:rPr>
          <w:rFonts w:ascii="Arial;sans-serif" w:hAnsi="Arial;sans-serif"/>
          <w:b/>
          <w:color w:val="0063A6"/>
          <w:sz w:val="18"/>
          <w:shd w:fill="FFFFFF" w:val="clear"/>
        </w:rPr>
        <w:t>Timothy Regan</w:t>
      </w:r>
      <w:r>
        <w:rPr>
          <w:rFonts w:ascii="Arial;sans-serif" w:hAnsi="Arial;sans-serif"/>
          <w:b w:val="false"/>
          <w:color w:val="0063A6"/>
          <w:sz w:val="18"/>
          <w:shd w:fill="FFFFFF" w:val="clear"/>
        </w:rPr>
        <w:t>.</w:t>
      </w:r>
      <w:r>
        <w:rPr>
          <w:color w:val="000000"/>
          <w:shd w:fill="FFFFFF" w:val="clear"/>
        </w:rPr>
        <w:t xml:space="preserve"> </w:t>
      </w:r>
      <w:r>
        <w:rPr>
          <w:rFonts w:ascii="Arial;sans-serif" w:hAnsi="Arial;sans-serif"/>
          <w:b w:val="false"/>
          <w:color w:val="000000"/>
          <w:sz w:val="18"/>
          <w:shd w:fill="FFFFFF" w:val="clear"/>
        </w:rPr>
        <w:t>Timothy Regan, CPA, has served as Dropbox’s Chief Financial Officer since September 2020. Previously, he served as Dropbox’s Chief 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pStyle w:val="TextBody"/>
        <w:bidi w:val="0"/>
        <w:spacing w:lineRule="auto" w:line="268" w:before="0" w:after="0"/>
        <w:jc w:val="both"/>
        <w:rPr/>
      </w:pPr>
      <w:r>
        <w:rPr>
          <w:rFonts w:ascii="Arial;sans-serif" w:hAnsi="Arial;sans-serif"/>
          <w:b/>
          <w:color w:val="0063A6"/>
          <w:sz w:val="18"/>
          <w:shd w:fill="FFFFFF" w:val="clear"/>
        </w:rPr>
        <w:t>Will Yoon</w:t>
      </w:r>
      <w:r>
        <w:rPr>
          <w:rFonts w:ascii="Arial;sans-serif" w:hAnsi="Arial;sans-serif"/>
          <w:b w:val="false"/>
          <w:color w:val="0063A6"/>
          <w:sz w:val="18"/>
          <w:shd w:fill="FFFFFF" w:val="clear"/>
        </w:rPr>
        <w:t>.</w:t>
      </w:r>
      <w:r>
        <w:rPr>
          <w:color w:val="000000"/>
          <w:shd w:fill="FFFFFF" w:val="clear"/>
        </w:rPr>
        <w:t xml:space="preserve"> </w:t>
      </w:r>
      <w:r>
        <w:rPr>
          <w:rFonts w:ascii="Arial;sans-serif" w:hAnsi="Arial;sans-serif"/>
          <w:b w:val="false"/>
          <w:color w:val="000000"/>
          <w:sz w:val="18"/>
        </w:rPr>
        <w:t>Will Yoon has served as Dropbox's Chief Legal Officer since March 2025. Previously, he served as Dropbox's Vice President, Product Counseling &amp; Privacy from September 2021 to March 2025 and as Dropbox's Chief Privacy Officer since 2020. He first joined Dropbox in 2013, when he established the company’s product counseling team, and has since taken on increasing responsibilities, most recently overseeing product counseling, privacy, commercial, litigation, and regulatory. In addition to Dropbox, Mr. Yoon has held leadership roles in product counseling and privacy functions at Facebook and Google. Prior to joining Google, Mr. Yoon practiced law at Foley &amp; Lardner LLP from 2006 to 2010. Mr. Yoon holds a Juris Doctor from Northwestern University Pritzker School of Law and a Bachelor of Arts in Government - Latin American Studies from Cornell University.</w:t>
      </w:r>
    </w:p>
    <w:p>
      <w:pPr>
        <w:pStyle w:val="TextBody"/>
        <w:bidi w:val="0"/>
        <w:spacing w:lineRule="auto" w:line="268" w:before="180" w:after="283"/>
        <w:jc w:val="both"/>
        <w:rPr/>
      </w:pPr>
      <w:r>
        <w:rPr>
          <w:rFonts w:ascii="Arial;sans-serif" w:hAnsi="Arial;sans-serif"/>
          <w:b/>
          <w:color w:val="0063A6"/>
          <w:sz w:val="18"/>
          <w:shd w:fill="FFFFFF" w:val="clear"/>
        </w:rPr>
        <w:t>Eric Cox</w:t>
      </w:r>
      <w:r>
        <w:rPr>
          <w:rFonts w:ascii="Arial;sans-serif" w:hAnsi="Arial;sans-serif"/>
          <w:b w:val="false"/>
          <w:color w:val="0063A6"/>
          <w:sz w:val="18"/>
          <w:shd w:fill="FFFFFF" w:val="clear"/>
        </w:rPr>
        <w:t>.</w:t>
      </w:r>
      <w:r>
        <w:rPr>
          <w:color w:val="000000"/>
          <w:shd w:fill="FFFFFF" w:val="clear"/>
        </w:rPr>
        <w:t xml:space="preserve"> </w:t>
      </w:r>
      <w:r>
        <w:rPr>
          <w:rFonts w:ascii="Arial;sans-serif" w:hAnsi="Arial;sans-serif"/>
          <w:b w:val="false"/>
          <w:color w:val="000000"/>
          <w:sz w:val="18"/>
          <w:shd w:fill="FFFFFF" w:val="clear"/>
        </w:rPr>
        <w:t>Eric Cox has served as our Chief Customer Officer since Dece</w:t>
      </w:r>
      <w:r>
        <w:rPr>
          <w:rFonts w:ascii="Arial;sans-serif" w:hAnsi="Arial;sans-serif"/>
          <w:b w:val="false"/>
          <w:color w:val="000000"/>
          <w:sz w:val="18"/>
        </w:rPr>
        <w:t>mber 2023. Prior to joining Dropbox, he served as the Chief Operating Officer at Vimeo, Inc., or Vimeo, from March 2023 to November 2023, and from December 2021 to February 2023, served as Vimeo’s Chief Revenue Officer. Prior to joining Vimeo, Mr. Cox held various senior positions at Adobe, Inc., including Vice President of Digital Media for Business from January 2021 to December 2021, Vice President, Digital Media GTM &amp; Sales – Americas from April 2019 to January 2021, Vice President, Digital Media GTM Strategy &amp; Operations from January 2017 to March 2019, and Senior Director, Consumer and Business WW Strategy &amp; Sales Operations from August 2012 to January 2017. Mr. Cox received his Bachelor’s of Science degree in Business Management from Bryant University in 1992.</w:t>
      </w:r>
    </w:p>
    <w:p>
      <w:pPr>
        <w:pStyle w:val="TextBody"/>
        <w:bidi w:val="0"/>
        <w:spacing w:lineRule="auto" w:line="268" w:before="180" w:after="283"/>
        <w:jc w:val="left"/>
        <w:rPr/>
      </w:pPr>
      <w:r>
        <w:rPr>
          <w:rFonts w:ascii="Arial;sans-serif" w:hAnsi="Arial;sans-serif"/>
          <w:b/>
          <w:color w:val="0063A6"/>
          <w:sz w:val="18"/>
          <w:shd w:fill="FFFFFF" w:val="clear"/>
        </w:rPr>
        <w:t>Ali Dasdan</w:t>
      </w:r>
      <w:r>
        <w:rPr>
          <w:rFonts w:ascii="Arial;sans-serif" w:hAnsi="Arial;sans-serif"/>
          <w:b w:val="false"/>
          <w:color w:val="0063A6"/>
          <w:sz w:val="18"/>
          <w:shd w:fill="FFFFFF" w:val="clear"/>
        </w:rPr>
        <w:t xml:space="preserve">. </w:t>
      </w:r>
      <w:r>
        <w:rPr>
          <w:rFonts w:ascii="Arial;sans-serif" w:hAnsi="Arial;sans-serif"/>
          <w:b w:val="false"/>
          <w:color w:val="000000"/>
          <w:sz w:val="18"/>
        </w:rPr>
        <w:t>Ali Dasdan has served as our Chief Technology Officer since March 2025. Prior to joining Dropbox, he served as the Executive Vice President and Chief Technology Officer at Zoominfo Technologies, Inc., a comprehensive sales and marketing intelligence software-as-a-service platform, from January 2023 to March 2025. From April 2019 to January 2023, Mr. Dasdan worked at Atlassian Corporation Plc, or Atlassian, an enterprise software company, where he served as Head of Engineering for Confluence Cloud and, later, Head of Engineering for Work Management for All. Prior to joining Atlassian, Mr. Dasdan was Head of Engineering and Product at Poynt LLC, a platform for next generation payments, from 2018 to 2019 and he was Head of Engineering, Data and Marketing Automation at Tesco PLC, or Tesco, a multinational grocery and general merchandise retailer, from 2016 to 2018. Prior to his role at Tesco, Mr. Dasdan held various engineering and product management leadership roles at other technology companies, including Turn Inc., eBay Inc., Yahoo! Inc., and Synopsys, Inc. Mr. Dasdan holds a PhD in Computer Science from the University of Illinois at Urbana-Champaign, USA, an MSc in Computer Engineering from Bilkent University, Turkiye and a BSc in Computer Engineering from Bogazici University, Turkiye.</w:t>
      </w:r>
    </w:p>
    <w:p>
      <w:pPr>
        <w:pStyle w:val="TextBody"/>
        <w:bidi w:val="0"/>
        <w:spacing w:lineRule="auto" w:line="268" w:before="0" w:after="0"/>
        <w:jc w:val="both"/>
        <w:rPr/>
      </w:pPr>
      <w:r>
        <w:rPr>
          <w:rFonts w:ascii="Arial;sans-serif" w:hAnsi="Arial;sans-serif"/>
          <w:b/>
          <w:color w:val="0063A6"/>
          <w:sz w:val="18"/>
          <w:shd w:fill="FFFFFF" w:val="clear"/>
        </w:rPr>
        <w:t>Ashraf Alkarmi</w:t>
      </w:r>
      <w:r>
        <w:rPr>
          <w:rFonts w:ascii="Arial;sans-serif" w:hAnsi="Arial;sans-serif"/>
          <w:b w:val="false"/>
          <w:color w:val="0063A6"/>
          <w:sz w:val="18"/>
          <w:shd w:fill="FFFFFF" w:val="clear"/>
        </w:rPr>
        <w:t xml:space="preserve">. </w:t>
      </w:r>
      <w:r>
        <w:rPr>
          <w:rFonts w:ascii="Arial;sans-serif" w:hAnsi="Arial;sans-serif"/>
          <w:b w:val="false"/>
          <w:color w:val="000000"/>
          <w:sz w:val="18"/>
        </w:rPr>
        <w:t xml:space="preserve">Ashraf Alkarmi has served as our General Manager and Senior Vice President, Core Products since November 2024. Previously, he served as Chief Product Officer at Vimeo, Inc. from July 2022 to September 2024. He also served as Director, General Manager, Freevee at Amazon.com, Inc., or Amazon, from May 2018 to June 2022, Founder and CEO of PresAsk from January 2013 to July 2021, Head of Product at Meta Platforms, Inc. from January 2017 to May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36575"/>
                <wp:effectExtent l="0" t="0" r="0" b="0"/>
                <wp:wrapNone/>
                <wp:docPr id="69" name="Frame3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OFFICERS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and as Head of Product at Amazon from June 2013 to Jan 2017. Mr. Alkarmi has also served in various senior positions at Brightcove, Inc., Nokia Corporation and Motorola Solutions, Inc. Mr. Alkarmi received his Bachelor of Science in Electrical Engineering from University of Jordan in 2002, his Masters of Science in Electrical Engineering from Southern Illinois University, Carbondale in 2004, and his Masters of Art in Management and Operations from Harvard University in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36575"/>
                <wp:effectExtent l="0" t="0" r="0" b="0"/>
                <wp:wrapNone/>
                <wp:docPr id="70" name="Frame3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w:t>
      </w:r>
    </w:p>
    <w:p>
      <w:pPr>
        <w:pStyle w:val="TextBody"/>
        <w:bidi w:val="0"/>
        <w:spacing w:before="35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Compensation Discussion and Analysis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This Compensation Discussion and Analysis describes the material elements of our executive compensation program during 2024.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2024, and discusses the key factors that our talent and compensation committee considered in determining their compensation. </w:t>
      </w:r>
    </w:p>
    <w:p>
      <w:pPr>
        <w:pStyle w:val="TextBody"/>
        <w:bidi w:val="0"/>
        <w:spacing w:lineRule="auto" w:line="276" w:before="25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named executive officers for 2024 were: </w:t>
      </w:r>
    </w:p>
    <w:tbl>
      <w:tblPr>
        <w:tblW w:w="4065" w:type="dxa"/>
        <w:jc w:val="left"/>
        <w:tblInd w:w="0" w:type="dxa"/>
        <w:tblLayout w:type="fixed"/>
        <w:tblCellMar>
          <w:top w:w="28" w:type="dxa"/>
          <w:left w:w="28" w:type="dxa"/>
          <w:bottom w:w="28" w:type="dxa"/>
          <w:right w:w="28" w:type="dxa"/>
        </w:tblCellMar>
      </w:tblPr>
      <w:tblGrid>
        <w:gridCol w:w="750"/>
        <w:gridCol w:w="659"/>
        <w:gridCol w:w="661"/>
        <w:gridCol w:w="582"/>
        <w:gridCol w:w="582"/>
        <w:gridCol w:w="83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995" w:type="dxa"/>
            <w:gridSpan w:val="3"/>
            <w:tcBorders>
              <w:left w:val="single" w:sz="12" w:space="0" w:color="FFFFFF"/>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Title</w:t>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Andrew W. Houston</w:t>
            </w:r>
          </w:p>
        </w:tc>
        <w:tc>
          <w:tcPr>
            <w:tcW w:w="1995" w:type="dxa"/>
            <w:gridSpan w:val="3"/>
            <w:tcBorders>
              <w:top w:val="single" w:sz="12" w:space="0" w:color="FFFFFF"/>
              <w:left w:val="single" w:sz="12" w:space="0" w:color="FFFFFF"/>
            </w:tcBorders>
            <w:shd w:fill="F2F2F2" w:val="clear"/>
            <w:tcMar>
              <w:top w:w="3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Timothy Regan</w:t>
            </w:r>
          </w:p>
        </w:tc>
        <w:tc>
          <w:tcPr>
            <w:tcW w:w="1995" w:type="dxa"/>
            <w:gridSpan w:val="3"/>
            <w:tcBorders>
              <w:left w:val="single" w:sz="12" w:space="0" w:color="FFFFFF"/>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76" w:before="90" w:after="90"/>
              <w:jc w:val="left"/>
              <w:rPr/>
            </w:pPr>
            <w:r>
              <w:rPr>
                <w:rFonts w:ascii="Arial;sans-serif" w:hAnsi="Arial;sans-serif"/>
                <w:b/>
                <w:color w:val="000000"/>
                <w:sz w:val="18"/>
              </w:rPr>
              <w:t>Bart E. Volkmer</w:t>
            </w:r>
            <w:r>
              <w:rPr>
                <w:rFonts w:ascii="Arial;sans-serif" w:hAnsi="Arial;sans-serif"/>
                <w:b/>
                <w:color w:val="000000"/>
                <w:sz w:val="10"/>
              </w:rPr>
              <w:t xml:space="preserve">(1) </w:t>
            </w:r>
          </w:p>
        </w:tc>
        <w:tc>
          <w:tcPr>
            <w:tcW w:w="199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Chief Legal Officer</w:t>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color w:val="000000"/>
                <w:sz w:val="18"/>
              </w:rPr>
              <w:t>Eric Cox</w:t>
            </w:r>
            <w:r>
              <w:rPr>
                <w:rFonts w:ascii="Arial;sans-serif" w:hAnsi="Arial;sans-serif"/>
                <w:b/>
                <w:color w:val="000000"/>
                <w:sz w:val="10"/>
              </w:rPr>
              <w:t>(2)</w:t>
            </w:r>
          </w:p>
        </w:tc>
        <w:tc>
          <w:tcPr>
            <w:tcW w:w="199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Chief Customer Officer</w:t>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Mr. Volkmer resigned as Chief Legal Officer of the company, effective March 28, 2025.</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The company announced on April 11, 2025 that Mr. Cox plans to resign as Chief Customer Officer of the company. Mr. Cox will remain in his role as Chief Customer Officer for a period of time to help with the transition and then will continue as a non-executive employee through mid-August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Executive Summary</w:t>
      </w:r>
    </w:p>
    <w:p>
      <w:pPr>
        <w:pStyle w:val="TextBody"/>
        <w:bidi w:val="0"/>
        <w:spacing w:lineRule="auto" w:line="276" w:before="360" w:after="283"/>
        <w:jc w:val="left"/>
        <w:rPr>
          <w:rFonts w:ascii="Arial;sans-serif" w:hAnsi="Arial;sans-serif"/>
          <w:b/>
          <w:color w:val="0063A6"/>
          <w:sz w:val="18"/>
          <w:shd w:fill="FFFFFF" w:val="clear"/>
        </w:rPr>
      </w:pPr>
      <w:r>
        <w:rPr>
          <w:rFonts w:ascii="Arial;sans-serif" w:hAnsi="Arial;sans-serif"/>
          <w:b/>
          <w:color w:val="0063A6"/>
          <w:sz w:val="18"/>
          <w:shd w:fill="FFFFFF" w:val="clear"/>
        </w:rPr>
        <w:t>Who We Are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Dropbox is the one place to keep life organized and keep work moving.</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were founded in 2007 with a simple idea: Life would be a lot better if everyone could access their most important information anytime from any device. For over a decade, we’ve largely accomplished that mission by building tools to help people work from anywhere—and along the way we recognized that for most of our users, sharing and collaborating on the Dropbox platform was even more valuable than storing files.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pStyle w:val="TextBody"/>
        <w:bidi w:val="0"/>
        <w:spacing w:lineRule="auto" w:line="276" w:before="180" w:after="283"/>
        <w:jc w:val="left"/>
        <w:rPr/>
      </w:pPr>
      <w:r>
        <w:rPr>
          <w:rFonts w:ascii="Arial;sans-serif" w:hAnsi="Arial;sans-serif"/>
          <w:b w:val="false"/>
          <w:color w:val="000000"/>
          <w:sz w:val="18"/>
          <w:shd w:fill="FFFFFF" w:val="clear"/>
        </w:rPr>
        <w:t xml:space="preserve">By solving these universal problems, we've become invaluable to our users. The popularity of our platform allows us to scale efficiently. We’ve built a thriving global business with </w:t>
      </w:r>
      <w:r>
        <w:rPr>
          <w:rFonts w:ascii="Arial;sans-serif" w:hAnsi="Arial;sans-serif"/>
          <w:b w:val="false"/>
          <w:color w:val="000000"/>
          <w:sz w:val="18"/>
        </w:rPr>
        <w:t>18.22</w:t>
      </w:r>
      <w:r>
        <w:rPr>
          <w:color w:val="000000"/>
          <w:shd w:fill="FFFFFF" w:val="clear"/>
        </w:rPr>
        <w:t xml:space="preserve"> </w:t>
      </w:r>
      <w:r>
        <w:rPr>
          <w:rFonts w:ascii="Arial;sans-serif" w:hAnsi="Arial;sans-serif"/>
          <w:b w:val="false"/>
          <w:color w:val="000000"/>
          <w:sz w:val="18"/>
          <w:shd w:fill="FFFFFF" w:val="clear"/>
        </w:rPr>
        <w:t>million paying users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36575"/>
                <wp:effectExtent l="0" t="0" r="0" b="0"/>
                <wp:wrapNone/>
                <wp:docPr id="71" name="Frame4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color w:val="0063A6"/>
          <w:sz w:val="18"/>
          <w:shd w:fill="FFFFFF" w:val="clear"/>
        </w:rPr>
      </w:pPr>
      <w:r>
        <w:rPr>
          <w:rFonts w:ascii="Arial;sans-serif" w:hAnsi="Arial;sans-serif"/>
          <w:b/>
          <w:color w:val="0063A6"/>
          <w:sz w:val="18"/>
          <w:shd w:fill="FFFFFF" w:val="clear"/>
        </w:rPr>
        <w:t>2024 Business Results and Business Strategy</w:t>
      </w:r>
    </w:p>
    <w:tbl>
      <w:tblPr>
        <w:tblW w:w="10205" w:type="dxa"/>
        <w:jc w:val="center"/>
        <w:tblInd w:w="0" w:type="dxa"/>
        <w:tblLayout w:type="fixed"/>
        <w:tblCellMar>
          <w:top w:w="28" w:type="dxa"/>
          <w:left w:w="28" w:type="dxa"/>
          <w:bottom w:w="28" w:type="dxa"/>
          <w:right w:w="28" w:type="dxa"/>
        </w:tblCellMar>
      </w:tblPr>
      <w:tblGrid>
        <w:gridCol w:w="515"/>
        <w:gridCol w:w="339"/>
        <w:gridCol w:w="340"/>
        <w:gridCol w:w="275"/>
        <w:gridCol w:w="275"/>
        <w:gridCol w:w="276"/>
        <w:gridCol w:w="123"/>
        <w:gridCol w:w="123"/>
        <w:gridCol w:w="123"/>
        <w:gridCol w:w="275"/>
        <w:gridCol w:w="275"/>
        <w:gridCol w:w="276"/>
        <w:gridCol w:w="109"/>
        <w:gridCol w:w="109"/>
        <w:gridCol w:w="109"/>
        <w:gridCol w:w="1946"/>
        <w:gridCol w:w="1946"/>
        <w:gridCol w:w="2771"/>
      </w:tblGrid>
      <w:tr>
        <w:trPr/>
        <w:tc>
          <w:tcPr>
            <w:tcW w:w="51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215" w:type="dxa"/>
            <w:gridSpan w:val="12"/>
            <w:tcBorders>
              <w:top w:val="single" w:sz="8" w:space="0" w:color="6A6969"/>
              <w:left w:val="single" w:sz="8" w:space="0" w:color="6A6969"/>
            </w:tcBorders>
            <w:shd w:fill="F9F9F7" w:val="clear"/>
            <w:tcMar>
              <w:top w:w="3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8"/>
                <w:u w:val="single"/>
              </w:rPr>
            </w:pPr>
            <w:r>
              <w:rPr>
                <w:rFonts w:ascii="Calibri;sans-serif" w:hAnsi="Calibri;sans-serif"/>
                <w:b/>
                <w:color w:val="000000"/>
                <w:sz w:val="28"/>
                <w:u w:val="single"/>
              </w:rPr>
              <w:t>Business Results</w:t>
            </w:r>
          </w:p>
        </w:tc>
        <w:tc>
          <w:tcPr>
            <w:tcW w:w="327" w:type="dxa"/>
            <w:gridSpan w:val="3"/>
            <w:tcBorders>
              <w:top w:val="single" w:sz="8" w:space="0" w:color="6A6969"/>
            </w:tcBorders>
            <w:shd w:fill="F9F9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top w:val="single" w:sz="8" w:space="0" w:color="6A6969"/>
              <w:right w:val="single" w:sz="8" w:space="0" w:color="6A6969"/>
            </w:tcBorders>
            <w:shd w:fill="F9F9F7" w:val="clear"/>
            <w:tcMar>
              <w:top w:w="30" w:type="dxa"/>
              <w:left w:w="0" w:type="dxa"/>
              <w:bottom w:w="0" w:type="dxa"/>
            </w:tcMar>
            <w:vAlign w:val="center"/>
          </w:tcPr>
          <w:p>
            <w:pPr>
              <w:pStyle w:val="TableContents"/>
              <w:bidi w:val="0"/>
              <w:spacing w:lineRule="auto" w:line="240" w:before="0" w:after="283"/>
              <w:jc w:val="center"/>
              <w:rPr>
                <w:rFonts w:ascii="Calibri;sans-serif" w:hAnsi="Calibri;sans-serif"/>
                <w:b/>
                <w:color w:val="000000"/>
                <w:sz w:val="28"/>
                <w:u w:val="single"/>
              </w:rPr>
            </w:pPr>
            <w:r>
              <w:rPr>
                <w:rFonts w:ascii="Calibri;sans-serif" w:hAnsi="Calibri;sans-serif"/>
                <w:b/>
                <w:color w:val="000000"/>
                <w:sz w:val="28"/>
                <w:u w:val="single"/>
              </w:rPr>
              <w:t>Business Strategy</w:t>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right w:val="single" w:sz="8" w:space="0" w:color="6A6969"/>
            </w:tcBorders>
            <w:shd w:fill="F9F9F7"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006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$2,548.2</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tcBorders>
              <w:right w:val="single" w:sz="8" w:space="0" w:color="6A6969"/>
            </w:tcBorders>
            <w:shd w:fill="F9F9F7"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83A1D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$2,501.6</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restart"/>
            <w:tcBorders>
              <w:right w:val="single" w:sz="8" w:space="0" w:color="6A6969"/>
            </w:tcBorders>
            <w:shd w:fill="F9F9F7" w:val="clear"/>
            <w:tcMar>
              <w:top w:w="0" w:type="dxa"/>
              <w:left w:w="0" w:type="dxa"/>
              <w:bottom w:w="0" w:type="dxa"/>
            </w:tcMar>
            <w:vAlign w:val="center"/>
          </w:tcPr>
          <w:p>
            <w:pPr>
              <w:pStyle w:val="TableContents"/>
              <w:bidi w:val="0"/>
              <w:spacing w:lineRule="auto" w:line="276" w:before="240" w:after="283"/>
              <w:ind w:left="0" w:right="0" w:hanging="180"/>
              <w:jc w:val="left"/>
              <w:rPr/>
            </w:pPr>
            <w:r>
              <w:rPr>
                <w:color w:val="0063A6"/>
              </w:rPr>
              <w:t>•</w:t>
            </w:r>
            <w:r>
              <w:rPr>
                <w:rFonts w:ascii="Arial;sans-serif" w:hAnsi="Arial;sans-serif"/>
                <w:b w:val="false"/>
                <w:color w:val="000000"/>
                <w:sz w:val="18"/>
              </w:rPr>
              <w:t>From our founding, we’ve focused on simplifying the lives of our users. In a world where business software can be frustrating to use, challenging to integrate, and expensive to sell, we take a different approach.</w:t>
            </w:r>
          </w:p>
          <w:p>
            <w:pPr>
              <w:pStyle w:val="TableContents"/>
              <w:bidi w:val="0"/>
              <w:spacing w:lineRule="auto" w:line="276" w:before="240" w:after="283"/>
              <w:ind w:left="0" w:right="0" w:hanging="180"/>
              <w:jc w:val="left"/>
              <w:rPr/>
            </w:pPr>
            <w:r>
              <w:rPr>
                <w:color w:val="0063A6"/>
              </w:rPr>
              <w:t>•</w:t>
            </w:r>
            <w:r>
              <w:rPr>
                <w:rFonts w:ascii="Arial;sans-serif" w:hAnsi="Arial;sans-serif"/>
                <w:b w:val="false"/>
                <w:color w:val="000000"/>
                <w:sz w:val="18"/>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pStyle w:val="TableContents"/>
              <w:bidi w:val="0"/>
              <w:spacing w:lineRule="auto" w:line="276" w:before="240" w:after="283"/>
              <w:ind w:left="0" w:right="0" w:hanging="180"/>
              <w:jc w:val="left"/>
              <w:rPr/>
            </w:pPr>
            <w:r>
              <w:rPr>
                <w:color w:val="0063A6"/>
              </w:rPr>
              <w:t>•</w:t>
            </w:r>
            <w:r>
              <w:rPr>
                <w:rFonts w:ascii="Arial;sans-serif" w:hAnsi="Arial;sans-serif"/>
                <w:b w:val="false"/>
                <w:color w:val="000000"/>
                <w:sz w:val="18"/>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pStyle w:val="TableContents"/>
              <w:bidi w:val="0"/>
              <w:spacing w:lineRule="auto" w:line="276" w:before="240" w:after="283"/>
              <w:ind w:left="0" w:right="0" w:hanging="180"/>
              <w:jc w:val="left"/>
              <w:rPr/>
            </w:pPr>
            <w:r>
              <w:rPr>
                <w:color w:val="0063A6"/>
              </w:rPr>
              <w:t>•</w:t>
            </w:r>
            <w:r>
              <w:rPr>
                <w:rFonts w:ascii="Arial;sans-serif" w:hAnsi="Arial;sans-serif"/>
                <w:b w:val="false"/>
                <w:color w:val="000000"/>
                <w:sz w:val="18"/>
              </w:rPr>
              <w:t>Dropbox allows individuals, teams, and organizations to collaborate more effectively and focus on the work that matters. Anyone can sign up for free through our website or app, and upgrade to a paid subscription plan for premium features.</w:t>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Revenue ($M)</w:t>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006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18.22</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83A1D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18.12</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Paying</w:t>
              <w:br/>
              <w:t>Users (M)</w:t>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006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$140.23</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83A1D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$139.38</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Average Revenue </w:t>
              <w:br/>
              <w:t>per Paying User</w:t>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006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36.4%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83A1D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32.8%</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Non-GAAP </w:t>
              <w:br/>
              <w:t>Operating Margin</w:t>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0063A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$871.6</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83A1D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$759.4</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 xml:space="preserve">Free Cash </w:t>
              <w:br/>
              <w:t>Flow ($M)</w:t>
            </w:r>
          </w:p>
        </w:tc>
        <w:tc>
          <w:tcPr>
            <w:tcW w:w="826" w:type="dxa"/>
            <w:gridSpan w:val="3"/>
            <w:vMerge w:val="continue"/>
            <w:tcBorders/>
            <w:shd w:fill="83A1D5" w:val="clear"/>
            <w:tcMar>
              <w:top w:w="0" w:type="dxa"/>
              <w:left w:w="0" w:type="dxa"/>
              <w:bottom w:w="0" w:type="dxa"/>
              <w:right w:w="0" w:type="dxa"/>
            </w:tcMar>
            <w:vAlign w:val="center"/>
          </w:tcPr>
          <w:p>
            <w:pPr>
              <w:pStyle w:val="Normal"/>
              <w:bidi w:val="0"/>
              <w:jc w:val="left"/>
              <w:rPr/>
            </w:pPr>
            <w:r>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194" w:type="dxa"/>
            <w:gridSpan w:val="3"/>
            <w:tcBorders>
              <w:left w:val="single" w:sz="8" w:space="0" w:color="6A6969"/>
            </w:tcBorders>
            <w:shd w:fill="F9F9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369"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9F9F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9F9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3" w:type="dxa"/>
            <w:gridSpan w:val="3"/>
            <w:vMerge w:val="continue"/>
            <w:tcBorders>
              <w:right w:val="single" w:sz="8" w:space="0" w:color="6A6969"/>
            </w:tcBorders>
            <w:shd w:fill="F9F9F7" w:val="clear"/>
            <w:tcMar>
              <w:top w:w="0" w:type="dxa"/>
              <w:left w:w="0" w:type="dxa"/>
              <w:bottom w:w="0" w:type="dxa"/>
            </w:tcMar>
            <w:vAlign w:val="center"/>
          </w:tcPr>
          <w:p>
            <w:pPr>
              <w:pStyle w:val="Normal"/>
              <w:bidi w:val="0"/>
              <w:jc w:val="left"/>
              <w:rPr/>
            </w:pPr>
            <w:r>
              <w:rPr/>
            </w:r>
          </w:p>
        </w:tc>
      </w:tr>
      <w:tr>
        <w:trPr/>
        <w:tc>
          <w:tcPr>
            <w:tcW w:w="10205" w:type="dxa"/>
            <w:gridSpan w:val="18"/>
            <w:tcBorders>
              <w:left w:val="single" w:sz="8" w:space="0" w:color="6A6969"/>
              <w:bottom w:val="single" w:sz="8" w:space="0" w:color="6A6969"/>
              <w:right w:val="single" w:sz="8" w:space="0" w:color="6A6969"/>
            </w:tcBorders>
            <w:shd w:fill="F9F9F7" w:val="clear"/>
            <w:tcMar>
              <w:top w:w="0" w:type="dxa"/>
              <w:bottom w:w="3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*A reconciliation of GAAP to non-GAAP results is provided in </w:t>
            </w:r>
            <w:r>
              <w:rPr>
                <w:rFonts w:ascii="Arial;sans-serif" w:hAnsi="Arial;sans-serif"/>
                <w:b w:val="false"/>
                <w:color w:val="000000"/>
                <w:sz w:val="16"/>
                <w:u w:val="single"/>
              </w:rPr>
              <w:t>Appendix A</w:t>
            </w: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36575"/>
                <wp:effectExtent l="0" t="0" r="0" b="0"/>
                <wp:wrapNone/>
                <wp:docPr id="72" name="Frame4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0" w:after="0"/>
        <w:jc w:val="left"/>
        <w:rPr>
          <w:rFonts w:ascii="Arial;sans-serif" w:hAnsi="Arial;sans-serif"/>
          <w:b/>
          <w:color w:val="0063A6"/>
          <w:sz w:val="18"/>
          <w:shd w:fill="FFFFFF" w:val="clear"/>
        </w:rPr>
      </w:pPr>
      <w:r>
        <w:rPr>
          <w:rFonts w:ascii="Arial;sans-serif" w:hAnsi="Arial;sans-serif"/>
          <w:b/>
          <w:color w:val="0063A6"/>
          <w:sz w:val="18"/>
          <w:shd w:fill="FFFFFF" w:val="clear"/>
        </w:rPr>
        <w:t>Executive Compensation Policies and Practices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 </w:t>
      </w:r>
    </w:p>
    <w:tbl>
      <w:tblPr>
        <w:tblW w:w="10205" w:type="dxa"/>
        <w:jc w:val="left"/>
        <w:tblInd w:w="0" w:type="dxa"/>
        <w:tblLayout w:type="fixed"/>
        <w:tblCellMar>
          <w:top w:w="28" w:type="dxa"/>
          <w:left w:w="28" w:type="dxa"/>
          <w:bottom w:w="28" w:type="dxa"/>
          <w:right w:w="28" w:type="dxa"/>
        </w:tblCellMar>
      </w:tblPr>
      <w:tblGrid>
        <w:gridCol w:w="2149"/>
        <w:gridCol w:w="1890"/>
        <w:gridCol w:w="1769"/>
        <w:gridCol w:w="109"/>
        <w:gridCol w:w="109"/>
        <w:gridCol w:w="109"/>
        <w:gridCol w:w="1473"/>
        <w:gridCol w:w="1070"/>
        <w:gridCol w:w="1527"/>
      </w:tblGrid>
      <w:tr>
        <w:trPr/>
        <w:tc>
          <w:tcPr>
            <w:tcW w:w="214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8"/>
              </w:rPr>
            </w:pPr>
            <w:r>
              <w:rPr>
                <w:rFonts w:ascii="Arial;sans-serif" w:hAnsi="Arial;sans-serif"/>
                <w:b/>
                <w:color w:val="000000"/>
                <w:sz w:val="2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8"/>
              </w:rPr>
            </w:pPr>
            <w:r>
              <w:rPr>
                <w:rFonts w:ascii="Arial;sans-serif" w:hAnsi="Arial;sans-serif"/>
                <w:b/>
                <w:color w:val="000000"/>
                <w:sz w:val="28"/>
              </w:rPr>
              <w:t>What we don’t do</w:t>
            </w:r>
          </w:p>
        </w:tc>
      </w:tr>
      <w:tr>
        <w:trPr/>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8" w:type="dxa"/>
            <w:gridSpan w:val="3"/>
            <w:tcBorders/>
            <w:shd w:fill="F2F2F2" w:val="clear"/>
            <w:tcMar>
              <w:top w:w="0" w:type="dxa"/>
              <w:left w:w="0" w:type="dxa"/>
              <w:bottom w:w="0" w:type="dxa"/>
              <w:right w:w="0" w:type="dxa"/>
            </w:tcMar>
            <w:vAlign w:val="center"/>
          </w:tcPr>
          <w:p>
            <w:pPr>
              <w:pStyle w:val="TableContents"/>
              <w:bidi w:val="0"/>
              <w:spacing w:lineRule="auto" w:line="276" w:before="160" w:after="283"/>
              <w:ind w:left="0" w:right="0" w:hanging="360"/>
              <w:jc w:val="left"/>
              <w:rPr/>
            </w:pPr>
            <w:r>
              <w:rPr>
                <w:color w:val="000000"/>
              </w:rPr>
              <w:t>✔</w:t>
            </w:r>
            <w:r>
              <w:rPr>
                <w:rFonts w:ascii="Arial;sans-serif" w:hAnsi="Arial;sans-serif"/>
                <w:b/>
                <w:color w:val="000000"/>
                <w:sz w:val="18"/>
                <w:shd w:fill="F2F2F2" w:val="clear"/>
              </w:rPr>
              <w:t>Maintain an Independent Talent and Compensation Committee.</w:t>
            </w:r>
            <w:r>
              <w:rPr>
                <w:color w:val="000000"/>
                <w:shd w:fill="F2F2F2" w:val="clear"/>
              </w:rPr>
              <w:t xml:space="preserve"> </w:t>
            </w:r>
            <w:r>
              <w:rPr>
                <w:rFonts w:ascii="Arial;sans-serif" w:hAnsi="Arial;sans-serif"/>
                <w:b w:val="false"/>
                <w:color w:val="000000"/>
                <w:sz w:val="18"/>
                <w:shd w:fill="F2F2F2" w:val="clear"/>
              </w:rPr>
              <w:t>The talent and compensation committee consists solely of independent directors who establish our compensation practices.</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Retain an Independent Compensation Advisor.</w:t>
            </w:r>
            <w:r>
              <w:rPr>
                <w:color w:val="000000"/>
                <w:shd w:fill="F2F2F2" w:val="clear"/>
              </w:rPr>
              <w:t xml:space="preserve"> </w:t>
            </w:r>
            <w:r>
              <w:rPr>
                <w:rFonts w:ascii="Arial;sans-serif" w:hAnsi="Arial;sans-serif"/>
                <w:b w:val="false"/>
                <w:color w:val="000000"/>
                <w:sz w:val="18"/>
                <w:shd w:fill="F2F2F2" w:val="clear"/>
              </w:rPr>
              <w:t xml:space="preserve">The talent and compensation committee has engaged its own compensation consultant to provide information, analysis, and other advice on executive compensation independent of management. This consultant performed no other consulting or other services for us in 2024.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Stock Ownership Guidelines.</w:t>
            </w:r>
            <w:r>
              <w:rPr>
                <w:color w:val="000000"/>
                <w:shd w:fill="F2F2F2" w:val="clear"/>
              </w:rPr>
              <w:t xml:space="preserve"> </w:t>
            </w:r>
            <w:r>
              <w:rPr>
                <w:rFonts w:ascii="Arial;sans-serif" w:hAnsi="Arial;sans-serif"/>
                <w:b w:val="false"/>
                <w:color w:val="000000"/>
                <w:sz w:val="18"/>
                <w:shd w:fill="F2F2F2" w:val="clear"/>
              </w:rPr>
              <w:t>We maintain robust stock ownership guidelines for our Chief Executive Officer, our executive officers and independent directors.</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 xml:space="preserve">Compensation Clawback Policy. </w:t>
            </w:r>
            <w:r>
              <w:rPr>
                <w:rFonts w:ascii="Arial;sans-serif" w:hAnsi="Arial;sans-serif"/>
                <w:b w:val="false"/>
                <w:color w:val="000000"/>
                <w:sz w:val="18"/>
                <w:shd w:fill="F2F2F2" w:val="clear"/>
              </w:rPr>
              <w:t>We maintain a Nasdaq-compliant clawback policy covering both cash and equity compensation.</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 xml:space="preserve">Annual Executive Compensation Review. </w:t>
            </w:r>
            <w:r>
              <w:rPr>
                <w:rFonts w:ascii="Arial;sans-serif" w:hAnsi="Arial;sans-serif"/>
                <w:b w:val="false"/>
                <w:color w:val="000000"/>
                <w:sz w:val="18"/>
                <w:shd w:fill="F2F2F2" w:val="clear"/>
              </w:rPr>
              <w:t>The talent and compensation committee conducts an annual review of our compensation strategy and a review of our compensation-related risk profile to ensure that our compensation programs do not encourage excessive or inappropriate risk-taking.</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 xml:space="preserve">Compensation At-Risk. </w:t>
            </w:r>
            <w:r>
              <w:rPr>
                <w:rFonts w:ascii="Arial;sans-serif" w:hAnsi="Arial;sans-serif"/>
                <w:b w:val="false"/>
                <w:color w:val="000000"/>
                <w:sz w:val="18"/>
                <w:shd w:fill="F2F2F2" w:val="clear"/>
              </w:rPr>
              <w:t xml:space="preserve">Our executive compensation program is designed so that a significant portion of our executive officers' compensation is “at-risk” based on corporate performance, as well as equity-based, to align the interests of our executive officers and stockholders.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Use a Pay-for-Performance Philosophy.</w:t>
            </w:r>
            <w:r>
              <w:rPr>
                <w:color w:val="000000"/>
                <w:shd w:fill="F2F2F2" w:val="clear"/>
              </w:rPr>
              <w:t xml:space="preserve"> </w:t>
            </w:r>
            <w:r>
              <w:rPr>
                <w:rFonts w:ascii="Arial;sans-serif" w:hAnsi="Arial;sans-serif"/>
                <w:b w:val="false"/>
                <w:color w:val="000000"/>
                <w:sz w:val="18"/>
                <w:shd w:fill="F2F2F2" w:val="clear"/>
              </w:rPr>
              <w:t xml:space="preserve">The majority of our executive officers’ compensation is directly linked to corporate performance; we also structure their target total direct compensation opportunities with a significant long-term equity component, thereby making a substantial portion of each executive officer’s target total direct compensation dependent upon our stock price and/or total stockholder return.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Succession Planning.</w:t>
            </w:r>
            <w:r>
              <w:rPr>
                <w:color w:val="000000"/>
                <w:shd w:fill="F2F2F2" w:val="clear"/>
              </w:rPr>
              <w:t xml:space="preserve"> </w:t>
            </w:r>
            <w:r>
              <w:rPr>
                <w:rFonts w:ascii="Arial;sans-serif" w:hAnsi="Arial;sans-serif"/>
                <w:b w:val="false"/>
                <w:color w:val="000000"/>
                <w:sz w:val="18"/>
                <w:shd w:fill="F2F2F2" w:val="clear"/>
              </w:rPr>
              <w:t>We review the risks associated with our key executive officer positions to ensure adequate succession plans are in place.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3"/>
            <w:tcBorders/>
            <w:shd w:fill="F2F2F2" w:val="clear"/>
            <w:tcMar>
              <w:top w:w="0" w:type="dxa"/>
              <w:left w:w="0" w:type="dxa"/>
              <w:bottom w:w="0" w:type="dxa"/>
              <w:right w:w="0" w:type="dxa"/>
            </w:tcMar>
            <w:vAlign w:val="center"/>
          </w:tcPr>
          <w:p>
            <w:pPr>
              <w:pStyle w:val="TableContents"/>
              <w:bidi w:val="0"/>
              <w:spacing w:lineRule="auto" w:line="276" w:before="160" w:after="283"/>
              <w:ind w:left="0" w:right="0" w:hanging="360"/>
              <w:jc w:val="left"/>
              <w:rPr/>
            </w:pPr>
            <w:r>
              <w:rPr>
                <w:color w:val="000000"/>
              </w:rPr>
              <w:t>✗</w:t>
            </w:r>
            <w:r>
              <w:rPr>
                <w:rFonts w:ascii="Arial;sans-serif" w:hAnsi="Arial;sans-serif"/>
                <w:b/>
                <w:color w:val="000000"/>
                <w:sz w:val="18"/>
                <w:shd w:fill="F2F2F2" w:val="clear"/>
              </w:rPr>
              <w:t>No Guaranteed Bonuses.</w:t>
            </w:r>
            <w:r>
              <w:rPr>
                <w:color w:val="000000"/>
                <w:shd w:fill="F2F2F2" w:val="clear"/>
              </w:rPr>
              <w:t xml:space="preserve"> </w:t>
            </w:r>
            <w:r>
              <w:rPr>
                <w:rFonts w:ascii="Arial;sans-serif" w:hAnsi="Arial;sans-serif"/>
                <w:b w:val="false"/>
                <w:color w:val="000000"/>
                <w:sz w:val="18"/>
                <w:shd w:fill="F2F2F2" w:val="clear"/>
              </w:rPr>
              <w:t xml:space="preserve">We do not provide guaranteed bonuses to our executive officers.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No Executive Retirement Plans.</w:t>
            </w:r>
            <w:r>
              <w:rPr>
                <w:color w:val="000000"/>
                <w:shd w:fill="F2F2F2" w:val="clear"/>
              </w:rPr>
              <w:t xml:space="preserve"> </w:t>
            </w:r>
            <w:r>
              <w:rPr>
                <w:rFonts w:ascii="Arial;sans-serif" w:hAnsi="Arial;sans-serif"/>
                <w:b w:val="false"/>
                <w:color w:val="000000"/>
                <w:sz w:val="18"/>
                <w:shd w:fill="F2F2F2" w:val="clear"/>
              </w:rPr>
              <w:t>We do not offer defined benefit pension plans or any non-qualified deferred compensation plans or arrangements to our executive officers, other than the plans and arrangements that are available to all employees.</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No Hedging or Pledging.</w:t>
            </w:r>
            <w:r>
              <w:rPr>
                <w:color w:val="000000"/>
                <w:shd w:fill="F2F2F2" w:val="clear"/>
              </w:rPr>
              <w:t xml:space="preserve"> </w:t>
            </w:r>
            <w:r>
              <w:rPr>
                <w:rFonts w:ascii="Arial;sans-serif" w:hAnsi="Arial;sans-serif"/>
                <w:b w:val="false"/>
                <w:color w:val="000000"/>
                <w:sz w:val="18"/>
                <w:shd w:fill="F2F2F2" w:val="clear"/>
              </w:rPr>
              <w:t xml:space="preserve">We prohibit our employees (including our executive officers) and the non-employee members of our board of directors from hedging or pledging our securities.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No Tax Payments on Perquisites.</w:t>
            </w:r>
            <w:r>
              <w:rPr>
                <w:color w:val="000000"/>
                <w:shd w:fill="F2F2F2" w:val="clear"/>
              </w:rPr>
              <w:t xml:space="preserve"> </w:t>
            </w:r>
            <w:r>
              <w:rPr>
                <w:rFonts w:ascii="Arial;sans-serif" w:hAnsi="Arial;sans-serif"/>
                <w:b w:val="false"/>
                <w:color w:val="000000"/>
                <w:sz w:val="18"/>
                <w:shd w:fill="F2F2F2" w:val="clear"/>
              </w:rPr>
              <w:t xml:space="preserve">We do not provide any tax reimbursement payments (including “gross-ups”) on any perquisites or other personal benefits. </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No Excise Tax Payments on Future Post-Employment Compensation Arrangements.</w:t>
            </w:r>
            <w:r>
              <w:rPr>
                <w:color w:val="000000"/>
                <w:shd w:fill="F2F2F2" w:val="clear"/>
              </w:rPr>
              <w:t xml:space="preserve"> </w:t>
            </w:r>
            <w:r>
              <w:rPr>
                <w:rFonts w:ascii="Arial;sans-serif" w:hAnsi="Arial;sans-serif"/>
                <w:b w:val="false"/>
                <w:color w:val="000000"/>
                <w:sz w:val="18"/>
                <w:shd w:fill="F2F2F2" w:val="clear"/>
              </w:rPr>
              <w:t>We do not provide any excise tax reimbursement payments (including “gross-ups”) on payments or benefits contingent upon a change in control of the company.</w:t>
            </w:r>
          </w:p>
          <w:p>
            <w:pPr>
              <w:pStyle w:val="TableContents"/>
              <w:bidi w:val="0"/>
              <w:spacing w:lineRule="auto" w:line="276" w:before="160" w:after="283"/>
              <w:ind w:left="0" w:right="0" w:hanging="360"/>
              <w:jc w:val="left"/>
              <w:rPr/>
            </w:pPr>
            <w:r>
              <w:rPr>
                <w:color w:val="000000"/>
                <w:shd w:fill="F2F2F2" w:val="clear"/>
              </w:rPr>
              <w:t>✗</w:t>
            </w:r>
            <w:r>
              <w:rPr>
                <w:rFonts w:ascii="Arial;sans-serif" w:hAnsi="Arial;sans-serif"/>
                <w:b/>
                <w:color w:val="000000"/>
                <w:sz w:val="18"/>
                <w:shd w:fill="F2F2F2" w:val="clear"/>
              </w:rPr>
              <w:t>No Special Welfare or Health Benefits.</w:t>
            </w:r>
            <w:r>
              <w:rPr>
                <w:color w:val="000000"/>
                <w:shd w:fill="F2F2F2" w:val="clear"/>
              </w:rPr>
              <w:t xml:space="preserve"> </w:t>
            </w:r>
            <w:r>
              <w:rPr>
                <w:rFonts w:ascii="Arial;sans-serif" w:hAnsi="Arial;sans-serif"/>
                <w:b w:val="false"/>
                <w:color w:val="000000"/>
                <w:sz w:val="18"/>
                <w:shd w:fill="F2F2F2" w:val="clear"/>
              </w:rPr>
              <w:t>We do not provide our executive officers with any welfare or health benefit programs, other than participation in our broad-based employee programs. All highly compensated employees are eligible for special long-term disability.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36575"/>
                <wp:effectExtent l="0" t="0" r="0" b="0"/>
                <wp:wrapNone/>
                <wp:docPr id="73" name="Frame4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Executive Compensation Philosophy and Objectives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executive compensation program is guided by our overarching philosophy of paying for demonstrable performance. Consistent with this philosophy, we have designed our executive compensation program to achieve the following primary objectives: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Provide market-competitive compensation and benefit levels that will attract, retain, motivate, and reward a highly-talented team of executive officers within the context of responsible cost management;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Establish a direct link between our financial, operational, and strategic objectives and results, as well as our values, and the compensation of our executive officers;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Align the interests and objectives of our executive officers with those of our stockholders by linking the long-term equity incentive compensation opportunities to long-term stockholder value creation and their cash incentives to our annual performance.</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Pay-for-Performance </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emphasize variable compensation that appropriately rewards our executive officers through two separate compensation elements: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Our annual cash bonus plan provides cash payments if our executive officers produce short-term financial, operational, and/or strategic results that meet or exceed the objectives set forth in our annual operating plan.</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8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Compensation-Setting Process </w:t>
      </w:r>
    </w:p>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Role of Talent and Compensation Committee and the Stock Committee</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makes all final decisions regarding the compensation of our Chief Executive Officer and our other executive officers.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36575"/>
                <wp:effectExtent l="0" t="0" r="0" b="0"/>
                <wp:wrapNone/>
                <wp:docPr id="74" name="Frame4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280" w:after="283"/>
        <w:jc w:val="left"/>
        <w:rPr>
          <w:rFonts w:ascii="Arial;sans-serif" w:hAnsi="Arial;sans-serif"/>
          <w:b/>
          <w:color w:val="0063A6"/>
          <w:sz w:val="18"/>
          <w:shd w:fill="FFFFFF" w:val="clear"/>
        </w:rPr>
      </w:pPr>
      <w:r>
        <w:rPr>
          <w:rFonts w:ascii="Arial;sans-serif" w:hAnsi="Arial;sans-serif"/>
          <w:b/>
          <w:color w:val="0063A6"/>
          <w:sz w:val="18"/>
          <w:shd w:fill="FFFFFF" w:val="clear"/>
        </w:rPr>
        <w:t>Role of Compensation Consultant</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talent and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For 2024, the talent and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pStyle w:val="TextBody"/>
        <w:bidi w:val="0"/>
        <w:spacing w:lineRule="auto" w:line="276" w:before="25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During 2024, Compensia attended talent and compensation committee meetings and provided the following services: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Consulted with the talent and compensation committee chair and other members between talent and compensation committee meetings;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Provided competitive market data based on the compensation peer group for non-employee directors, and evaluation of how the compensation we pay our non-employee directors compares to companies in our compensation peer group;</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Reviewed and analyzed base salary levels, annual incentive bonus opportunities, and long-term equity incentive compensation opportunities of our executive officers;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Assessed executive compensation trends within our industry, and updates on corporate governance and regulatory issues and developments;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Reviewed our executive compensation disclosure;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Assessed compensation risk to determine whether our compensation policies and practices are reasonably likely to have a material adverse impact on the company;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Supported on other </w:t>
      </w:r>
      <w:r>
        <w:rPr>
          <w:rFonts w:ascii="Arial;sans-serif" w:hAnsi="Arial;sans-serif"/>
          <w:b w:val="false"/>
          <w:i/>
          <w:color w:val="000000"/>
          <w:sz w:val="18"/>
          <w:shd w:fill="FFFFFF" w:val="clear"/>
        </w:rPr>
        <w:t>ad hoc</w:t>
      </w:r>
      <w:r>
        <w:rPr>
          <w:color w:val="000000"/>
          <w:shd w:fill="FFFFFF" w:val="clear"/>
        </w:rPr>
        <w:t xml:space="preserve"> </w:t>
      </w:r>
      <w:r>
        <w:rPr>
          <w:rFonts w:ascii="Arial;sans-serif" w:hAnsi="Arial;sans-serif"/>
          <w:b w:val="false"/>
          <w:color w:val="000000"/>
          <w:sz w:val="18"/>
          <w:shd w:fill="FFFFFF" w:val="clear"/>
        </w:rPr>
        <w:t>matters throughout the year.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Compensia did not provide any services to us other than the consulting services to the talent and compensation committee. The talent and compensation committee regularly reviews the objectivity and independence of the advice provided by its compensation consultant on executive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Role of Management</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reviews and discusses these recommendations and proposals with our Chief Executive Officer and uses them as one factor in determining and approving the compensation for our executive officers.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Chief Executive Officer also attends meetings of our board of directors and the talent and compensation committee at which executive compensation matters are addressed, except with respect to discussions involving his own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36575"/>
                <wp:effectExtent l="0" t="0" r="0" b="0"/>
                <wp:wrapNone/>
                <wp:docPr id="75" name="Frame4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38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Decisions with respect to our Chief Executive Officer’s compensation are made by our talent and compensation committee, which is comprised entirely of independent members of our board of directors.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Competitive Positioning </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companies in the compensation peer group for 2024 were approved in August 2023 on the basis of their similarity to us, as determined using the following criteria, each as of July 2023:</w:t>
      </w:r>
    </w:p>
    <w:p>
      <w:pPr>
        <w:pStyle w:val="TextBody"/>
        <w:bidi w:val="0"/>
        <w:spacing w:lineRule="auto" w:line="276" w:before="180" w:after="283"/>
        <w:ind w:left="0" w:right="0" w:hanging="360"/>
        <w:jc w:val="left"/>
        <w:rPr/>
      </w:pPr>
      <w:r>
        <w:rPr>
          <w:color w:val="0063A6"/>
        </w:rPr>
        <w:t>•</w:t>
      </w:r>
      <w:r>
        <w:rPr>
          <w:rFonts w:ascii="Arial;sans-serif" w:hAnsi="Arial;sans-serif"/>
          <w:b/>
          <w:color w:val="000000"/>
          <w:sz w:val="18"/>
          <w:shd w:fill="FFFFFF" w:val="clear"/>
        </w:rPr>
        <w:t>revenue</w:t>
      </w:r>
      <w:r>
        <w:rPr>
          <w:color w:val="000000"/>
          <w:shd w:fill="FFFFFF" w:val="clear"/>
        </w:rPr>
        <w:t xml:space="preserve"> – </w:t>
      </w:r>
      <w:r>
        <w:rPr>
          <w:rFonts w:ascii="Arial;sans-serif" w:hAnsi="Arial;sans-serif"/>
          <w:b w:val="false"/>
          <w:color w:val="000000"/>
          <w:sz w:val="18"/>
          <w:shd w:fill="FFFFFF" w:val="clear"/>
        </w:rPr>
        <w:t>approximately 0.4x to approximately 2.5x our last four fiscal quarter revenue of approximately $2.4 billion (approximately $949 million to $5.9 billion);</w:t>
      </w:r>
    </w:p>
    <w:p>
      <w:pPr>
        <w:pStyle w:val="TextBody"/>
        <w:bidi w:val="0"/>
        <w:spacing w:lineRule="auto" w:line="276" w:before="180" w:after="283"/>
        <w:ind w:left="0" w:right="0" w:hanging="360"/>
        <w:jc w:val="left"/>
        <w:rPr/>
      </w:pPr>
      <w:r>
        <w:rPr>
          <w:color w:val="0063A6"/>
        </w:rPr>
        <w:t>•</w:t>
      </w:r>
      <w:r>
        <w:rPr>
          <w:rFonts w:ascii="Arial;sans-serif" w:hAnsi="Arial;sans-serif"/>
          <w:b/>
          <w:color w:val="000000"/>
          <w:sz w:val="18"/>
          <w:shd w:fill="FFFFFF" w:val="clear"/>
        </w:rPr>
        <w:t xml:space="preserve">market capitalization </w:t>
      </w:r>
      <w:r>
        <w:rPr>
          <w:color w:val="000000"/>
          <w:shd w:fill="FFFFFF" w:val="clear"/>
        </w:rPr>
        <w:t xml:space="preserve">– </w:t>
      </w:r>
      <w:r>
        <w:rPr>
          <w:rFonts w:ascii="Arial;sans-serif" w:hAnsi="Arial;sans-serif"/>
          <w:b w:val="false"/>
          <w:color w:val="000000"/>
          <w:sz w:val="18"/>
          <w:shd w:fill="FFFFFF" w:val="clear"/>
        </w:rPr>
        <w:t>approximately 0.2x to approximately 5.0x our market capitalization of approximately $9.3 billion (approximately $1.9 billion to $46.6 billion);</w:t>
      </w:r>
    </w:p>
    <w:p>
      <w:pPr>
        <w:pStyle w:val="TextBody"/>
        <w:bidi w:val="0"/>
        <w:spacing w:lineRule="auto" w:line="276" w:before="180" w:after="283"/>
        <w:ind w:left="0" w:right="0" w:hanging="360"/>
        <w:jc w:val="left"/>
        <w:rPr/>
      </w:pPr>
      <w:r>
        <w:rPr>
          <w:color w:val="0063A6"/>
        </w:rPr>
        <w:t>•</w:t>
      </w:r>
      <w:r>
        <w:rPr>
          <w:rFonts w:ascii="Arial;sans-serif" w:hAnsi="Arial;sans-serif"/>
          <w:b/>
          <w:color w:val="000000"/>
          <w:sz w:val="18"/>
          <w:shd w:fill="FFFFFF" w:val="clear"/>
        </w:rPr>
        <w:t>industry sector</w:t>
      </w:r>
      <w:r>
        <w:rPr>
          <w:color w:val="000000"/>
          <w:shd w:fill="FFFFFF" w:val="clear"/>
        </w:rPr>
        <w:t xml:space="preserve"> – </w:t>
      </w:r>
      <w:r>
        <w:rPr>
          <w:rFonts w:ascii="Arial;sans-serif" w:hAnsi="Arial;sans-serif"/>
          <w:b w:val="false"/>
          <w:color w:val="000000"/>
          <w:sz w:val="18"/>
          <w:shd w:fill="FFFFFF" w:val="clear"/>
        </w:rPr>
        <w:t>internet software and services, software, communication equipment, and certain SaaS companies not classified as such; and</w:t>
      </w:r>
    </w:p>
    <w:p>
      <w:pPr>
        <w:pStyle w:val="TextBody"/>
        <w:bidi w:val="0"/>
        <w:spacing w:lineRule="auto" w:line="276" w:before="180" w:after="283"/>
        <w:ind w:left="0" w:right="0" w:hanging="360"/>
        <w:jc w:val="left"/>
        <w:rPr/>
      </w:pPr>
      <w:r>
        <w:rPr>
          <w:color w:val="0063A6"/>
        </w:rPr>
        <w:t>•</w:t>
      </w:r>
      <w:r>
        <w:rPr>
          <w:rFonts w:ascii="Arial;sans-serif" w:hAnsi="Arial;sans-serif"/>
          <w:b/>
          <w:color w:val="000000"/>
          <w:sz w:val="18"/>
          <w:shd w:fill="FFFFFF" w:val="clear"/>
        </w:rPr>
        <w:t>relevance</w:t>
      </w:r>
      <w:r>
        <w:rPr>
          <w:color w:val="000000"/>
          <w:shd w:fill="FFFFFF" w:val="clear"/>
        </w:rPr>
        <w:t xml:space="preserve"> – </w:t>
      </w:r>
      <w:r>
        <w:rPr>
          <w:rFonts w:ascii="Arial;sans-serif" w:hAnsi="Arial;sans-serif"/>
          <w:b w:val="false"/>
          <w:color w:val="000000"/>
          <w:sz w:val="18"/>
          <w:shd w:fill="FFFFFF" w:val="clear"/>
        </w:rPr>
        <w:t>software-as-a-service model or product similarity.</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selecting the 2024 compensation peer group, we chose companies that resulted in us being near the median of the group as of July 2023, in terms of both revenue and market capitalization. </w:t>
      </w:r>
    </w:p>
    <w:tbl>
      <w:tblPr>
        <w:tblW w:w="7303" w:type="dxa"/>
        <w:jc w:val="left"/>
        <w:tblInd w:w="0" w:type="dxa"/>
        <w:tblLayout w:type="fixed"/>
        <w:tblCellMar>
          <w:top w:w="28" w:type="dxa"/>
          <w:left w:w="28" w:type="dxa"/>
          <w:bottom w:w="28" w:type="dxa"/>
          <w:right w:w="28" w:type="dxa"/>
        </w:tblCellMar>
      </w:tblPr>
      <w:tblGrid>
        <w:gridCol w:w="957"/>
        <w:gridCol w:w="840"/>
        <w:gridCol w:w="842"/>
        <w:gridCol w:w="664"/>
        <w:gridCol w:w="664"/>
        <w:gridCol w:w="666"/>
        <w:gridCol w:w="782"/>
        <w:gridCol w:w="782"/>
        <w:gridCol w:w="110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0063A6"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FFFFFF"/>
                <w:sz w:val="16"/>
              </w:rPr>
            </w:pPr>
            <w:r>
              <w:rPr>
                <w:rFonts w:ascii="Arial;sans-serif" w:hAnsi="Arial;sans-serif"/>
                <w:b/>
                <w:color w:val="FFFFFF"/>
                <w:sz w:val="16"/>
              </w:rPr>
              <w:t>2023 Compensation Peer Group</w:t>
            </w:r>
          </w:p>
        </w:tc>
        <w:tc>
          <w:tcPr>
            <w:tcW w:w="199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Changes to Peer Group</w:t>
            </w:r>
          </w:p>
        </w:tc>
        <w:tc>
          <w:tcPr>
            <w:tcW w:w="267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0"/>
              <w:jc w:val="center"/>
              <w:rPr>
                <w:rFonts w:ascii="Arial;sans-serif" w:hAnsi="Arial;sans-serif"/>
                <w:b/>
                <w:color w:val="FFFFFF"/>
                <w:sz w:val="16"/>
              </w:rPr>
            </w:pPr>
            <w:r>
              <w:rPr>
                <w:rFonts w:ascii="Arial;sans-serif" w:hAnsi="Arial;sans-serif"/>
                <w:b/>
                <w:color w:val="FFFFFF"/>
                <w:sz w:val="16"/>
              </w:rPr>
              <w:t>2024 Compensation Peer Group</w:t>
            </w:r>
          </w:p>
        </w:tc>
      </w:tr>
      <w:tr>
        <w:trPr/>
        <w:tc>
          <w:tcPr>
            <w:tcW w:w="263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Affirm Holdings</w:t>
            </w:r>
          </w:p>
        </w:tc>
        <w:tc>
          <w:tcPr>
            <w:tcW w:w="1994"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8"/>
              </w:rPr>
              <w:t>Added</w:t>
            </w:r>
            <w:r>
              <w:rPr>
                <w:rFonts w:ascii="Arial;sans-serif" w:hAnsi="Arial;sans-serif"/>
                <w:b w:val="false"/>
                <w:color w:val="000000"/>
                <w:sz w:val="18"/>
              </w:rPr>
              <w:t>:</w:t>
            </w:r>
          </w:p>
        </w:tc>
        <w:tc>
          <w:tcPr>
            <w:tcW w:w="267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Affirm Holdings</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AppLovin</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Elastic</w:t>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AppLovin</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Box</w:t>
            </w:r>
          </w:p>
        </w:tc>
        <w:tc>
          <w:tcPr>
            <w:tcW w:w="1994"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Informatica</w:t>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Box</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Citrix Systems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Zoom Communications</w:t>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DocuSign</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DocuSign</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Dolby Laboratories</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Dolby Laboratories</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right w:val="single" w:sz="12" w:space="0" w:color="FFFFFF"/>
            </w:tcBorders>
            <w:shd w:fill="FFFFFF" w:val="clear"/>
            <w:tcMar>
              <w:top w:w="0" w:type="dxa"/>
              <w:left w:w="0" w:type="dxa"/>
              <w:bottom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Elastic</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Etsy</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Etsy</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F5</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F5</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GoDaddy</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GoDaddy</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HubSpot</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HubSpot</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Nutanix</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right w:val="single" w:sz="12" w:space="0" w:color="FFFFFF"/>
            </w:tcBorders>
            <w:shd w:fill="F2F2F2" w:val="clear"/>
            <w:tcMar>
              <w:top w:w="0" w:type="dxa"/>
              <w:left w:w="0" w:type="dxa"/>
              <w:bottom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Informatica</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Okta</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Removed</w:t>
            </w:r>
            <w:r>
              <w:rPr>
                <w:rFonts w:ascii="Arial;sans-serif" w:hAnsi="Arial;sans-serif"/>
                <w:b w:val="false"/>
                <w:color w:val="000000"/>
                <w:sz w:val="18"/>
              </w:rPr>
              <w:t>:</w:t>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Nutanix</w:t>
            </w:r>
          </w:p>
        </w:tc>
      </w:tr>
      <w:tr>
        <w:trPr/>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Paycom Software</w:t>
            </w:r>
          </w:p>
        </w:tc>
        <w:tc>
          <w:tcPr>
            <w:tcW w:w="1994"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Citrix Systems</w:t>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Okta</w:t>
            </w:r>
          </w:p>
        </w:tc>
      </w:tr>
      <w:tr>
        <w:trPr/>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Pinterest</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Zendesk</w:t>
            </w:r>
          </w:p>
        </w:tc>
        <w:tc>
          <w:tcPr>
            <w:tcW w:w="267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Paycom Software</w:t>
            </w:r>
          </w:p>
        </w:tc>
      </w:tr>
      <w:tr>
        <w:trPr/>
        <w:tc>
          <w:tcPr>
            <w:tcW w:w="2639"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Pure Storage</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Pinterest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RingCentral</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Pure Storage</w:t>
            </w:r>
          </w:p>
        </w:tc>
      </w:tr>
      <w:tr>
        <w:trPr/>
        <w:tc>
          <w:tcPr>
            <w:tcW w:w="2639"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Roku</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RingCentral</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Splunk</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Roku</w:t>
            </w:r>
          </w:p>
        </w:tc>
      </w:tr>
      <w:tr>
        <w:trPr/>
        <w:tc>
          <w:tcPr>
            <w:tcW w:w="2639"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Teradata</w:t>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Splunk</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Zendesk</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Teradata</w:t>
            </w:r>
          </w:p>
        </w:tc>
      </w:tr>
      <w:tr>
        <w:trPr/>
        <w:tc>
          <w:tcPr>
            <w:tcW w:w="26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8"/>
              </w:rPr>
            </w:pPr>
            <w:r>
              <w:rPr>
                <w:rFonts w:ascii="Arial;sans-serif" w:hAnsi="Arial;sans-serif"/>
                <w:b w:val="false"/>
                <w:color w:val="000000"/>
                <w:sz w:val="18"/>
              </w:rPr>
              <w:t>Zoom Communications</w:t>
            </w:r>
          </w:p>
        </w:tc>
      </w:tr>
    </w:tbl>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compensation practices of the compensation peer group were the primary guide used by the talent and compensation committee in 2024 to compare the competitiveness of each compensation element and target total direct compensation (base salary, target annual cash bonus opportunities, and long-term equity incentive compensation).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36575"/>
                <wp:effectExtent l="0" t="0" r="0" b="0"/>
                <wp:wrapNone/>
                <wp:docPr id="76" name="Frame4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deliberations on compensation forms and amounts. The talent and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reviews our compensation peer group each year and adjusts its composition if warranted, taking into account changes in both our business and the businesses of the companies in the peer group.</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Compensation Setting</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review the base salary levels, annual cash bonus opportunities, and long-term equity incentive compensation opportunities of our executive officers and all related performance criteria at the beginning of each year, or more frequently as warranted.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do not establish a specific target for formulating the target total direct compensation opportunities of our executive officers, including our named executive officers.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making decisions about the compensation of our executive officers, the talent and compensation committee relies primarily on its general experience and subjective considerations of various factors, including the following:</w:t>
      </w:r>
    </w:p>
    <w:tbl>
      <w:tblPr>
        <w:tblW w:w="10205" w:type="dxa"/>
        <w:jc w:val="left"/>
        <w:tblInd w:w="0" w:type="dxa"/>
        <w:tblLayout w:type="fixed"/>
        <w:tblCellMar>
          <w:top w:w="28" w:type="dxa"/>
          <w:left w:w="28" w:type="dxa"/>
          <w:bottom w:w="28" w:type="dxa"/>
          <w:right w:w="28" w:type="dxa"/>
        </w:tblCellMar>
      </w:tblPr>
      <w:tblGrid>
        <w:gridCol w:w="1891"/>
        <w:gridCol w:w="1666"/>
        <w:gridCol w:w="1670"/>
        <w:gridCol w:w="1457"/>
        <w:gridCol w:w="1457"/>
        <w:gridCol w:w="2064"/>
      </w:tblGrid>
      <w:tr>
        <w:trPr/>
        <w:tc>
          <w:tcPr>
            <w:tcW w:w="189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52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7" w:type="dxa"/>
            <w:gridSpan w:val="3"/>
            <w:tcBorders/>
            <w:shd w:fill="F2F2F2" w:val="clear"/>
            <w:tcMar>
              <w:top w:w="0" w:type="dxa"/>
              <w:left w:w="0" w:type="dxa"/>
              <w:bottom w:w="0" w:type="dxa"/>
              <w:right w:w="0" w:type="dxa"/>
            </w:tcMar>
            <w:vAlign w:val="center"/>
          </w:tcPr>
          <w:p>
            <w:pPr>
              <w:pStyle w:val="TableContents"/>
              <w:bidi w:val="0"/>
              <w:spacing w:lineRule="auto" w:line="276" w:before="120" w:after="283"/>
              <w:ind w:left="0" w:right="0" w:hanging="180"/>
              <w:jc w:val="left"/>
              <w:rPr/>
            </w:pPr>
            <w:r>
              <w:rPr>
                <w:color w:val="000000"/>
              </w:rPr>
              <w:t>•</w:t>
            </w:r>
            <w:r>
              <w:rPr>
                <w:rFonts w:ascii="Arial;sans-serif" w:hAnsi="Arial;sans-serif"/>
                <w:b w:val="false"/>
                <w:color w:val="000000"/>
                <w:sz w:val="18"/>
                <w:shd w:fill="F2F2F2" w:val="clear"/>
              </w:rPr>
              <w:t xml:space="preserve">Our executive compensation program objectives;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Our performance against the financial, operational, and strategic objectives established by the talent and compensation committee and our board of directors;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Each individual executive officer’s knowledge, skills, experience, qualifications, and tenure relative to other similarly-situated executives at the companies in our compensation peer group;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The scope of each executive officer’s role and responsibilities compared to other similarly-situated executives at the companies in our compensation peer group;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The prior performance of each individual executive officer, based on a subjective assessment of their contributions to our overall performance, ability to lead their business unit or function, and work as part of a team, all of which reflect our core values;</w:t>
            </w:r>
          </w:p>
        </w:tc>
        <w:tc>
          <w:tcPr>
            <w:tcW w:w="497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120" w:after="283"/>
              <w:ind w:left="0" w:right="0" w:hanging="180"/>
              <w:jc w:val="left"/>
              <w:rPr/>
            </w:pPr>
            <w:r>
              <w:rPr>
                <w:color w:val="000000"/>
              </w:rPr>
              <w:t>•</w:t>
            </w:r>
            <w:r>
              <w:rPr>
                <w:rFonts w:ascii="Arial;sans-serif" w:hAnsi="Arial;sans-serif"/>
                <w:b w:val="false"/>
                <w:color w:val="000000"/>
                <w:sz w:val="18"/>
                <w:shd w:fill="F2F2F2" w:val="clear"/>
              </w:rPr>
              <w:t xml:space="preserve">The potential of each individual executive officer to contribute to our long-term financial, operational, and strategic objectives;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Our Chief Executive Officer’s compensation relative to that of our executive officers, and compensation parity among our executive officers;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Our financial performance and profile relative to our compensation peers;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 xml:space="preserve">The compensation practices of our compensation peer group and the positioning of each executive officer’s compensation in a ranking of peer company compensation levels based on an analysis of competitive market data; and </w:t>
            </w:r>
          </w:p>
          <w:p>
            <w:pPr>
              <w:pStyle w:val="TableContents"/>
              <w:bidi w:val="0"/>
              <w:spacing w:lineRule="auto" w:line="276" w:before="120" w:after="283"/>
              <w:ind w:left="0" w:right="0" w:hanging="180"/>
              <w:jc w:val="left"/>
              <w:rPr/>
            </w:pPr>
            <w:r>
              <w:rPr>
                <w:color w:val="000000"/>
                <w:shd w:fill="F2F2F2" w:val="clear"/>
              </w:rPr>
              <w:t>•</w:t>
            </w:r>
            <w:r>
              <w:rPr>
                <w:rFonts w:ascii="Arial;sans-serif" w:hAnsi="Arial;sans-serif"/>
                <w:b w:val="false"/>
                <w:color w:val="000000"/>
                <w:sz w:val="18"/>
                <w:shd w:fill="F2F2F2" w:val="clear"/>
              </w:rPr>
              <w:t>The recommendations of our Chief Executive Officer with respect to the compensation of other executive officers.</w:t>
            </w:r>
          </w:p>
        </w:tc>
      </w:tr>
      <w:tr>
        <w:trPr/>
        <w:tc>
          <w:tcPr>
            <w:tcW w:w="52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These factors provide the framework for compensation decision-making for each executive officer. No single factor is determinative in setting compensation levels, nor is the impact of any individual factor on the determination of pay levels quantifiable.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do not weight these factors in any predetermined manner, nor do we apply any formulas in developing our compensation recommendations. The members of the talent and compensation committee consider all of this information in light of their individual experience, knowledge of management, knowledge of the competitive market, knowledge of each executive officer, and business judgment in making their recommendations.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addition, the talent and compensation committee considered feedback from our stockholders and the result of our most recent Say-on-Pay vote. Our fiscal 2024 Say-on-Pay vote reflected 98.3%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36575"/>
                <wp:effectExtent l="0" t="0" r="0" b="0"/>
                <wp:wrapNone/>
                <wp:docPr id="77" name="Frame4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Compensation Elements</w:t>
      </w:r>
    </w:p>
    <w:p>
      <w:pPr>
        <w:pStyle w:val="TextBody"/>
        <w:bidi w:val="0"/>
        <w:spacing w:lineRule="auto" w:line="276" w:before="2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2024, the principal elements of our executive compensation program, and the purposes for each element, were as follows:</w:t>
      </w:r>
    </w:p>
    <w:tbl>
      <w:tblPr>
        <w:tblW w:w="10205" w:type="dxa"/>
        <w:jc w:val="left"/>
        <w:tblInd w:w="0" w:type="dxa"/>
        <w:tblLayout w:type="fixed"/>
        <w:tblCellMar>
          <w:top w:w="28" w:type="dxa"/>
          <w:left w:w="28" w:type="dxa"/>
          <w:bottom w:w="28" w:type="dxa"/>
          <w:right w:w="28" w:type="dxa"/>
        </w:tblCellMar>
      </w:tblPr>
      <w:tblGrid>
        <w:gridCol w:w="846"/>
        <w:gridCol w:w="666"/>
        <w:gridCol w:w="534"/>
        <w:gridCol w:w="348"/>
        <w:gridCol w:w="318"/>
        <w:gridCol w:w="319"/>
        <w:gridCol w:w="498"/>
        <w:gridCol w:w="498"/>
        <w:gridCol w:w="499"/>
        <w:gridCol w:w="1659"/>
        <w:gridCol w:w="1659"/>
        <w:gridCol w:w="2361"/>
      </w:tblGrid>
      <w:tr>
        <w:trPr/>
        <w:tc>
          <w:tcPr>
            <w:tcW w:w="8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Element</w:t>
            </w:r>
          </w:p>
        </w:tc>
        <w:tc>
          <w:tcPr>
            <w:tcW w:w="985" w:type="dxa"/>
            <w:gridSpan w:val="3"/>
            <w:tcBorders>
              <w:left w:val="single" w:sz="12" w:space="0" w:color="FFFFFF"/>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Type of Element</w:t>
            </w:r>
          </w:p>
        </w:tc>
        <w:tc>
          <w:tcPr>
            <w:tcW w:w="1495" w:type="dxa"/>
            <w:gridSpan w:val="3"/>
            <w:tcBorders>
              <w:left w:val="single" w:sz="12" w:space="0" w:color="FFFFFF"/>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Compensation Element</w:t>
            </w:r>
          </w:p>
        </w:tc>
        <w:tc>
          <w:tcPr>
            <w:tcW w:w="5679" w:type="dxa"/>
            <w:gridSpan w:val="3"/>
            <w:tcBorders>
              <w:left w:val="single" w:sz="12" w:space="0" w:color="FFFFFF"/>
            </w:tcBorders>
            <w:shd w:fill="0063A6"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Objective</w:t>
            </w:r>
          </w:p>
        </w:tc>
      </w:tr>
      <w:tr>
        <w:trPr/>
        <w:tc>
          <w:tcPr>
            <w:tcW w:w="204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Base Salary</w:t>
            </w:r>
          </w:p>
        </w:tc>
        <w:tc>
          <w:tcPr>
            <w:tcW w:w="985"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Fixed</w:t>
            </w:r>
          </w:p>
        </w:tc>
        <w:tc>
          <w:tcPr>
            <w:tcW w:w="1495"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5679"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Attract and retain highly talented executives by providing fixed compensation amounts that are competitive in the market and reward performance.</w:t>
            </w:r>
          </w:p>
        </w:tc>
      </w:tr>
      <w:tr>
        <w:trPr/>
        <w:tc>
          <w:tcPr>
            <w:tcW w:w="2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Annual Cash Bonus</w:t>
            </w:r>
          </w:p>
        </w:tc>
        <w:tc>
          <w:tcPr>
            <w:tcW w:w="985" w:type="dxa"/>
            <w:gridSpan w:val="3"/>
            <w:tcBorders>
              <w:left w:val="single" w:sz="12" w:space="0" w:color="FFFFFF"/>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Variable</w:t>
            </w:r>
          </w:p>
        </w:tc>
        <w:tc>
          <w:tcPr>
            <w:tcW w:w="1495" w:type="dxa"/>
            <w:gridSpan w:val="3"/>
            <w:tcBorders>
              <w:left w:val="single" w:sz="12" w:space="0" w:color="FFFFFF"/>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5679" w:type="dxa"/>
            <w:gridSpan w:val="3"/>
            <w:tcBorders>
              <w:left w:val="single" w:sz="12" w:space="0" w:color="FFFFFF"/>
            </w:tcBorders>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Motivate our executives to achieve annual business objectives set forth in our annual operating plan and provide financial incentives when we meet or exceed these annual objectives.</w:t>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Equity Incentive Compensation</w:t>
            </w:r>
          </w:p>
        </w:tc>
        <w:tc>
          <w:tcPr>
            <w:tcW w:w="985"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Variable</w:t>
            </w:r>
          </w:p>
        </w:tc>
        <w:tc>
          <w:tcPr>
            <w:tcW w:w="1495"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5679" w:type="dxa"/>
            <w:gridSpan w:val="3"/>
            <w:tcBorders>
              <w:left w:val="single" w:sz="12" w:space="0" w:color="FFFFFF"/>
            </w:tcBorders>
            <w:shd w:fill="F2F2F2" w:val="clear"/>
            <w:tcMar>
              <w:top w:w="0" w:type="dxa"/>
              <w:left w:w="6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Align the interests of our executives and our stockholders by motivating them to create sustainable long-term stockholder value.</w:t>
            </w:r>
          </w:p>
        </w:tc>
      </w:tr>
      <w:tr>
        <w:trPr/>
        <w:tc>
          <w:tcPr>
            <w:tcW w:w="20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color w:val="0063A6"/>
          <w:sz w:val="18"/>
          <w:shd w:fill="FFFFFF" w:val="clear"/>
        </w:rPr>
      </w:pPr>
      <w:r>
        <w:rPr>
          <w:rFonts w:ascii="Arial;sans-serif" w:hAnsi="Arial;sans-serif"/>
          <w:b/>
          <w:color w:val="0063A6"/>
          <w:sz w:val="18"/>
          <w:shd w:fill="FFFFFF" w:val="clear"/>
        </w:rPr>
        <w:t>Mix of Pay</w:t>
      </w:r>
    </w:p>
    <w:p>
      <w:pPr>
        <w:pStyle w:val="TextBody"/>
        <w:bidi w:val="0"/>
        <w:spacing w:lineRule="auto" w:line="276" w:before="100" w:after="240"/>
        <w:jc w:val="left"/>
        <w:rPr/>
      </w:pPr>
      <w:r>
        <w:rPr>
          <w:rFonts w:ascii="Arial;sans-serif" w:hAnsi="Arial;sans-serif"/>
          <w:b w:val="false"/>
          <w:color w:val="000000"/>
          <w:sz w:val="18"/>
          <w:shd w:fill="FFFFFF" w:val="clear"/>
        </w:rPr>
        <w:t>Our primary focus in compensating executive officers is on the longer-term and performance-based elements of target total direct compensation. Under our 2024 executive compensation program, approximately 92</w:t>
      </w:r>
      <w:r>
        <w:rPr>
          <w:rFonts w:ascii="Arial;sans-serif" w:hAnsi="Arial;sans-serif"/>
          <w:b w:val="false"/>
          <w:color w:val="000000"/>
          <w:sz w:val="18"/>
        </w:rPr>
        <w:t>%</w:t>
      </w:r>
      <w:r>
        <w:rPr>
          <w:color w:val="000000"/>
          <w:shd w:fill="FFFFFF" w:val="clear"/>
        </w:rPr>
        <w:t xml:space="preserve"> </w:t>
      </w:r>
      <w:r>
        <w:rPr>
          <w:rFonts w:ascii="Arial;sans-serif" w:hAnsi="Arial;sans-serif"/>
          <w:b w:val="false"/>
          <w:color w:val="000000"/>
          <w:sz w:val="18"/>
          <w:shd w:fill="FFFFFF" w:val="clear"/>
        </w:rPr>
        <w:t xml:space="preserve">of target total direct compensation to our named executive </w:t>
      </w:r>
      <w:r>
        <w:rPr>
          <w:rFonts w:ascii="Arial;sans-serif" w:hAnsi="Arial;sans-serif"/>
          <w:b w:val="false"/>
          <w:color w:val="000000"/>
          <w:sz w:val="18"/>
        </w:rPr>
        <w:t>officers (excluding our CEO) w</w:t>
      </w:r>
      <w:r>
        <w:rPr>
          <w:rFonts w:ascii="Arial;sans-serif" w:hAnsi="Arial;sans-serif"/>
          <w:b w:val="false"/>
          <w:color w:val="000000"/>
          <w:sz w:val="18"/>
          <w:shd w:fill="FFFFFF" w:val="clear"/>
        </w:rPr>
        <w:t>as variable in the form of annual cash bonus and long-term equity incentive compensation. Our CEO’s mix of pay is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sans-serif" w:hAnsi="Arial;sans-serif"/>
          <w:b w:val="false"/>
          <w:i/>
          <w:color w:val="000000"/>
          <w:sz w:val="18"/>
          <w:shd w:fill="FFFFFF" w:val="clear"/>
        </w:rPr>
        <w:t>Co-Founder Grant</w:t>
      </w:r>
      <w:r>
        <w:rPr>
          <w:color w:val="000000"/>
          <w:shd w:fill="FFFFFF" w:val="clear"/>
        </w:rPr>
        <w:t xml:space="preserve">” </w:t>
      </w:r>
      <w:r>
        <w:rPr>
          <w:rFonts w:ascii="Arial;sans-serif" w:hAnsi="Arial;sans-serif"/>
          <w:b w:val="false"/>
          <w:color w:val="000000"/>
          <w:sz w:val="18"/>
          <w:shd w:fill="FFFFFF" w:val="clear"/>
        </w:rPr>
        <w:t xml:space="preserve">below. </w:t>
      </w:r>
    </w:p>
    <w:p>
      <w:pPr>
        <w:pStyle w:val="TextBody"/>
        <w:bidi w:val="0"/>
        <w:spacing w:before="40" w:after="283"/>
        <w:jc w:val="center"/>
        <w:rPr/>
      </w:pPr>
      <w:r>
        <w:rPr/>
        <w:drawing>
          <wp:inline distT="0" distB="0" distL="0" distR="0">
            <wp:extent cx="2743200" cy="2286000"/>
            <wp:effectExtent l="0" t="0" r="0" b="0"/>
            <wp:docPr id="7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2" descr=""/>
                    <pic:cNvPicPr>
                      <a:picLocks noChangeAspect="1" noChangeArrowheads="1"/>
                    </pic:cNvPicPr>
                  </pic:nvPicPr>
                  <pic:blipFill>
                    <a:blip r:embed="rId33"/>
                    <a:stretch>
                      <a:fillRect/>
                    </a:stretch>
                  </pic:blipFill>
                  <pic:spPr bwMode="auto">
                    <a:xfrm>
                      <a:off x="0" y="0"/>
                      <a:ext cx="2743200" cy="2286000"/>
                    </a:xfrm>
                    <a:prstGeom prst="rect">
                      <a:avLst/>
                    </a:prstGeom>
                  </pic:spPr>
                </pic:pic>
              </a:graphicData>
            </a:graphic>
          </wp:inline>
        </w:drawing>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743200" cy="2286000"/>
            <wp:effectExtent l="0" t="0" r="0" b="0"/>
            <wp:docPr id="7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3" descr=""/>
                    <pic:cNvPicPr>
                      <a:picLocks noChangeAspect="1" noChangeArrowheads="1"/>
                    </pic:cNvPicPr>
                  </pic:nvPicPr>
                  <pic:blipFill>
                    <a:blip r:embed="rId34"/>
                    <a:stretch>
                      <a:fillRect/>
                    </a:stretch>
                  </pic:blipFill>
                  <pic:spPr bwMode="auto">
                    <a:xfrm>
                      <a:off x="0" y="0"/>
                      <a:ext cx="2743200" cy="2286000"/>
                    </a:xfrm>
                    <a:prstGeom prst="rect">
                      <a:avLst/>
                    </a:prstGeom>
                  </pic:spPr>
                </pic:pic>
              </a:graphicData>
            </a:graphic>
          </wp:inline>
        </w:drawing>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Base Salary </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use base salary to provide our executive officers with a specified level of cash compensation during the year with the expectation that they will perform their responsibilities to the best of their ability and in our best interests.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Generally, we establish the initial base salaries of our executive officers through arm’s-length negotiations at the time we hire them,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36575"/>
                <wp:effectExtent l="0" t="0" r="0" b="0"/>
                <wp:wrapNone/>
                <wp:docPr id="80" name="Frame4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pPr>
      <w:r>
        <w:rPr>
          <w:rFonts w:ascii="Arial;sans-serif" w:hAnsi="Arial;sans-serif"/>
          <w:b w:val="false"/>
          <w:color w:val="000000"/>
          <w:sz w:val="18"/>
          <w:shd w:fill="FFFFFF" w:val="clear"/>
        </w:rPr>
        <w:t>In March 2024, the talent and compensation committee reviewed the base salaries of our named executive officers, taking into consideration a competitive market analysis and the recommendations of our Chief Executive Officer (except with respect to his own base salary), as well as the other factors described in “</w:t>
      </w:r>
      <w:r>
        <w:rPr>
          <w:rFonts w:ascii="Arial;sans-serif" w:hAnsi="Arial;sans-serif"/>
          <w:b w:val="false"/>
          <w:i/>
          <w:color w:val="000000"/>
          <w:sz w:val="18"/>
          <w:shd w:fill="FFFFFF" w:val="clear"/>
        </w:rPr>
        <w:t>Compensation-Setting Process—Compensation Setting</w:t>
      </w:r>
      <w:r>
        <w:rPr>
          <w:color w:val="000000"/>
          <w:shd w:fill="FFFFFF" w:val="clear"/>
        </w:rPr>
        <w:t xml:space="preserve">” </w:t>
      </w:r>
      <w:r>
        <w:rPr>
          <w:rFonts w:ascii="Arial;sans-serif" w:hAnsi="Arial;sans-serif"/>
          <w:b w:val="false"/>
          <w:color w:val="000000"/>
          <w:sz w:val="18"/>
          <w:shd w:fill="FFFFFF" w:val="clear"/>
        </w:rPr>
        <w:t>above.</w:t>
      </w:r>
      <w:r>
        <w:rPr>
          <w:color w:val="000000"/>
        </w:rPr>
        <w:t xml:space="preserve"> </w:t>
      </w:r>
      <w:r>
        <w:rPr>
          <w:rFonts w:ascii="Arial;sans-serif" w:hAnsi="Arial;sans-serif"/>
          <w:b w:val="false"/>
          <w:color w:val="000000"/>
          <w:sz w:val="18"/>
        </w:rPr>
        <w:t>In connection with this review, Mr. Houston's salary was increased to $800,000 effective April 1, 2024. Mr. Houston's salary was last adjusted in 2021 and the talent and compensation committee viewed the increase as appropriate in light of his performance and to maintain competitiveness with the market. Base salaries of our remaining named executive officers did not change from 2023 levels because the talent and compensation committee felt their current base salaries remained appropriate after considering a competitive market analysis and the other factors described in “</w:t>
      </w:r>
      <w:r>
        <w:rPr>
          <w:rFonts w:ascii="Arial;sans-serif" w:hAnsi="Arial;sans-serif"/>
          <w:b w:val="false"/>
          <w:i/>
          <w:color w:val="000000"/>
          <w:sz w:val="18"/>
        </w:rPr>
        <w:t>Compensation-Setting Process—Compensation Setting</w:t>
      </w:r>
      <w:r>
        <w:rPr>
          <w:color w:val="000000"/>
        </w:rPr>
        <w:t xml:space="preserve">” </w:t>
      </w:r>
      <w:r>
        <w:rPr>
          <w:rFonts w:ascii="Arial;sans-serif" w:hAnsi="Arial;sans-serif"/>
          <w:b w:val="false"/>
          <w:color w:val="000000"/>
          <w:sz w:val="18"/>
        </w:rPr>
        <w:t>above.</w:t>
      </w:r>
    </w:p>
    <w:p>
      <w:pPr>
        <w:pStyle w:val="TextBody"/>
        <w:bidi w:val="0"/>
        <w:spacing w:lineRule="auto" w:line="276" w:before="25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base salaries of our named executive officers for 2024 were:</w:t>
      </w:r>
    </w:p>
    <w:tbl>
      <w:tblPr>
        <w:tblW w:w="6645" w:type="dxa"/>
        <w:jc w:val="left"/>
        <w:tblInd w:w="0" w:type="dxa"/>
        <w:tblLayout w:type="fixed"/>
        <w:tblCellMar>
          <w:top w:w="28" w:type="dxa"/>
          <w:left w:w="28" w:type="dxa"/>
          <w:bottom w:w="28" w:type="dxa"/>
          <w:right w:w="28" w:type="dxa"/>
        </w:tblCellMar>
      </w:tblPr>
      <w:tblGrid>
        <w:gridCol w:w="750"/>
        <w:gridCol w:w="659"/>
        <w:gridCol w:w="661"/>
        <w:gridCol w:w="574"/>
        <w:gridCol w:w="574"/>
        <w:gridCol w:w="577"/>
        <w:gridCol w:w="574"/>
        <w:gridCol w:w="574"/>
        <w:gridCol w:w="577"/>
        <w:gridCol w:w="329"/>
        <w:gridCol w:w="329"/>
        <w:gridCol w:w="46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Base Salary</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as of End of 2023 ($)</w:t>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Base Salary</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as of End of 2024 ($)</w:t>
            </w:r>
          </w:p>
        </w:tc>
        <w:tc>
          <w:tcPr>
            <w:tcW w:w="1125"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Percentage</w:t>
              <w:br/>
              <w:t xml:space="preserve">(Decrease) / </w:t>
              <w:br/>
              <w:t>Increase</w:t>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1148" w:type="dxa"/>
            <w:gridSpan w:val="2"/>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625,000 </w:t>
            </w:r>
          </w:p>
        </w:tc>
        <w:tc>
          <w:tcPr>
            <w:tcW w:w="577" w:type="dxa"/>
            <w:tcBorders>
              <w:top w:val="single" w:sz="12"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800,000</w:t>
            </w:r>
          </w:p>
        </w:tc>
        <w:tc>
          <w:tcPr>
            <w:tcW w:w="1125"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148" w:type="dxa"/>
            <w:gridSpan w:val="2"/>
            <w:tcBorders>
              <w:left w:val="single" w:sz="12"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560,000 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560,000</w:t>
            </w:r>
          </w:p>
        </w:tc>
        <w:tc>
          <w:tcPr>
            <w:tcW w:w="1125"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Bart E. Volkmer</w:t>
            </w:r>
          </w:p>
        </w:tc>
        <w:tc>
          <w:tcPr>
            <w:tcW w:w="1148"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57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520,000</w:t>
            </w:r>
          </w:p>
        </w:tc>
        <w:tc>
          <w:tcPr>
            <w:tcW w:w="112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6" w:before="180" w:after="283"/>
        <w:jc w:val="left"/>
        <w:rPr/>
      </w:pPr>
      <w:r>
        <w:rPr>
          <w:rFonts w:ascii="Arial;sans-serif" w:hAnsi="Arial;sans-serif"/>
          <w:b w:val="false"/>
          <w:color w:val="000000"/>
          <w:sz w:val="18"/>
          <w:shd w:fill="FFFFFF" w:val="clear"/>
        </w:rPr>
        <w:t>The base salaries paid to our named executive officers during 2024 are set forth in the “</w:t>
      </w:r>
      <w:r>
        <w:rPr>
          <w:rFonts w:ascii="Arial;sans-serif" w:hAnsi="Arial;sans-serif"/>
          <w:b w:val="false"/>
          <w:i/>
          <w:color w:val="000000"/>
          <w:sz w:val="18"/>
          <w:shd w:fill="FFFFFF" w:val="clear"/>
        </w:rPr>
        <w:t>Summary Compensation Table for Fiscal Year 2024</w:t>
      </w:r>
      <w:r>
        <w:rPr>
          <w:color w:val="000000"/>
          <w:shd w:fill="FFFFFF" w:val="clear"/>
        </w:rPr>
        <w:t xml:space="preserve">” </w:t>
      </w:r>
      <w:r>
        <w:rPr>
          <w:rFonts w:ascii="Arial;sans-serif" w:hAnsi="Arial;sans-serif"/>
          <w:b w:val="false"/>
          <w:color w:val="000000"/>
          <w:sz w:val="18"/>
          <w:shd w:fill="FFFFFF" w:val="clear"/>
        </w:rPr>
        <w:t>below.</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Annual Cash Bonuses</w:t>
      </w:r>
    </w:p>
    <w:p>
      <w:pPr>
        <w:pStyle w:val="TextBody"/>
        <w:bidi w:val="0"/>
        <w:spacing w:lineRule="auto" w:line="276" w:before="100" w:after="283"/>
        <w:jc w:val="left"/>
        <w:rPr/>
      </w:pPr>
      <w:r>
        <w:rPr>
          <w:rFonts w:ascii="Arial;sans-serif" w:hAnsi="Arial;sans-serif"/>
          <w:b w:val="false"/>
          <w:color w:val="000000"/>
          <w:sz w:val="18"/>
          <w:shd w:fill="FFFFFF" w:val="clear"/>
        </w:rPr>
        <w:t>In January 2024, the talent and compensation committee, with input from management, adopted our 2024 annual cash bonus plan (the “</w:t>
      </w:r>
      <w:r>
        <w:rPr>
          <w:rFonts w:ascii="Arial;sans-serif" w:hAnsi="Arial;sans-serif"/>
          <w:b/>
          <w:i/>
          <w:color w:val="000000"/>
          <w:sz w:val="18"/>
          <w:shd w:fill="FFFFFF" w:val="clear"/>
        </w:rPr>
        <w:t>2024 Cash Bonus Plan</w:t>
      </w:r>
      <w:r>
        <w:rPr>
          <w:color w:val="000000"/>
          <w:shd w:fill="FFFFFF" w:val="clear"/>
        </w:rPr>
        <w:t>”</w:t>
      </w:r>
      <w:r>
        <w:rPr>
          <w:rFonts w:ascii="Arial;sans-serif" w:hAnsi="Arial;sans-serif"/>
          <w:b w:val="false"/>
          <w:color w:val="000000"/>
          <w:sz w:val="18"/>
          <w:shd w:fill="FFFFFF" w:val="clear"/>
        </w:rPr>
        <w:t>), which was designed to provide financial incentives for us to meet or exceed the pre-established target levels for revenue and operating margin established under our 2024 annual operating plan. The 2024 Cash Bonus Plan is funded based on our actual achievement against the pre-established target levels for the applicable corporate performance measure.</w:t>
      </w:r>
    </w:p>
    <w:p>
      <w:pPr>
        <w:pStyle w:val="TextBody"/>
        <w:bidi w:val="0"/>
        <w:spacing w:lineRule="auto" w:line="276" w:before="240" w:after="283"/>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Target Annual Cash Bonus Opportunities</w:t>
      </w:r>
    </w:p>
    <w:p>
      <w:pPr>
        <w:pStyle w:val="TextBody"/>
        <w:bidi w:val="0"/>
        <w:spacing w:lineRule="auto" w:line="276" w:before="180" w:after="283"/>
        <w:jc w:val="left"/>
        <w:rPr/>
      </w:pPr>
      <w:r>
        <w:rPr>
          <w:rFonts w:ascii="Arial;sans-serif" w:hAnsi="Arial;sans-serif"/>
          <w:b w:val="false"/>
          <w:color w:val="000000"/>
          <w:sz w:val="18"/>
          <w:shd w:fill="FFFFFF" w:val="clear"/>
        </w:rPr>
        <w:t>Under the 2024 Cash Bonus Plan, cash bonus payments were based upon an eligible percentage of each participant’s base salary. In March 2024, the talent and compensation committee reviewed and approved the target annual cash bonus opportunities of our</w:t>
      </w:r>
      <w:r>
        <w:rPr>
          <w:color w:val="000000"/>
        </w:rPr>
        <w:t xml:space="preserve"> </w:t>
      </w:r>
      <w:r>
        <w:rPr>
          <w:rFonts w:ascii="Arial;sans-serif" w:hAnsi="Arial;sans-serif"/>
          <w:b w:val="false"/>
          <w:color w:val="000000"/>
          <w:sz w:val="18"/>
        </w:rPr>
        <w:t>executive officers, ta</w:t>
      </w:r>
      <w:r>
        <w:rPr>
          <w:rFonts w:ascii="Arial;sans-serif" w:hAnsi="Arial;sans-serif"/>
          <w:b w:val="false"/>
          <w:color w:val="000000"/>
          <w:sz w:val="18"/>
          <w:shd w:fill="FFFFFF" w:val="clear"/>
        </w:rPr>
        <w:t>king into consideration the recommendations of our Chief Executive Officer (except with respect to his own target annual cash bonus opportunity) as well as the other factors described in “</w:t>
      </w:r>
      <w:r>
        <w:rPr>
          <w:rFonts w:ascii="Arial;sans-serif" w:hAnsi="Arial;sans-serif"/>
          <w:b w:val="false"/>
          <w:i/>
          <w:color w:val="000000"/>
          <w:sz w:val="18"/>
          <w:shd w:fill="FFFFFF" w:val="clear"/>
        </w:rPr>
        <w:t>Compensation-Setting Process—Compensation Setting</w:t>
      </w:r>
      <w:r>
        <w:rPr>
          <w:color w:val="000000"/>
          <w:shd w:fill="FFFFFF" w:val="clear"/>
        </w:rPr>
        <w:t xml:space="preserve">” </w:t>
      </w:r>
      <w:r>
        <w:rPr>
          <w:rFonts w:ascii="Arial;sans-serif" w:hAnsi="Arial;sans-serif"/>
          <w:b w:val="false"/>
          <w:color w:val="000000"/>
          <w:sz w:val="18"/>
          <w:shd w:fill="FFFFFF" w:val="clear"/>
        </w:rPr>
        <w:t>above. Based on this review, the talent and compensation committee decided to make no adjustment to the 2023 target annual cash bonus opportunity (as a percentage of base salary) of each of our named executive officers.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2024 target annual cash bonus opportunities for our named executive officers were: </w:t>
      </w:r>
    </w:p>
    <w:tbl>
      <w:tblPr>
        <w:tblW w:w="7165" w:type="dxa"/>
        <w:jc w:val="left"/>
        <w:tblInd w:w="0" w:type="dxa"/>
        <w:tblLayout w:type="fixed"/>
        <w:tblCellMar>
          <w:top w:w="28" w:type="dxa"/>
          <w:left w:w="28" w:type="dxa"/>
          <w:bottom w:w="28" w:type="dxa"/>
          <w:right w:w="28" w:type="dxa"/>
        </w:tblCellMar>
      </w:tblPr>
      <w:tblGrid>
        <w:gridCol w:w="750"/>
        <w:gridCol w:w="659"/>
        <w:gridCol w:w="661"/>
        <w:gridCol w:w="879"/>
        <w:gridCol w:w="879"/>
        <w:gridCol w:w="881"/>
        <w:gridCol w:w="694"/>
        <w:gridCol w:w="694"/>
        <w:gridCol w:w="696"/>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2" w:space="0" w:color="0063A6"/>
            </w:tcBorders>
            <w:shd w:fill="0063A6"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263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Target Annual</w:t>
              <w:br/>
              <w:t>Cash Bonus Opportunity</w:t>
              <w:br/>
              <w:t>(as a Percentage of Base Salary)</w:t>
            </w:r>
          </w:p>
        </w:tc>
        <w:tc>
          <w:tcPr>
            <w:tcW w:w="208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2024 Target Annual Cash</w:t>
            </w:r>
          </w:p>
          <w:p>
            <w:pPr>
              <w:pStyle w:val="TableContents"/>
              <w:bidi w:val="0"/>
              <w:spacing w:lineRule="auto" w:line="276" w:before="0" w:after="0"/>
              <w:jc w:val="center"/>
              <w:rPr/>
            </w:pPr>
            <w:r>
              <w:rPr>
                <w:rFonts w:ascii="Arial;sans-serif" w:hAnsi="Arial;sans-serif"/>
                <w:b/>
                <w:color w:val="FFFFFF"/>
                <w:sz w:val="16"/>
              </w:rPr>
              <w:t>Bonus Opportunity ($)</w:t>
            </w:r>
            <w:r>
              <w:rPr>
                <w:rFonts w:ascii="Arial;sans-serif" w:hAnsi="Arial;sans-serif"/>
                <w:b/>
                <w:color w:val="FFFFFF"/>
                <w:sz w:val="10"/>
              </w:rPr>
              <w:t>(1)</w:t>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208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756,489</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263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85%</w:t>
            </w:r>
          </w:p>
        </w:tc>
        <w:tc>
          <w:tcPr>
            <w:tcW w:w="208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476,000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263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208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390,000</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95"/>
        <w:ind w:left="0" w:right="0" w:firstLine="360"/>
        <w:jc w:val="left"/>
        <w:rPr/>
      </w:pPr>
      <w:r>
        <w:rPr>
          <w:rFonts w:ascii="Arial;sans-serif" w:hAnsi="Arial;sans-serif"/>
          <w:b w:val="false"/>
          <w:color w:val="000000"/>
          <w:sz w:val="10"/>
        </w:rPr>
        <w:t xml:space="preserve">(1) </w:t>
      </w:r>
      <w:r>
        <w:rPr>
          <w:rFonts w:ascii="Arial;sans-serif" w:hAnsi="Arial;sans-serif"/>
          <w:b w:val="false"/>
          <w:color w:val="000000"/>
          <w:sz w:val="16"/>
        </w:rPr>
        <w:t>Target annual cash bonus amount for Mr. Houston is prorated for his salary changes in 2024.</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36575"/>
                <wp:effectExtent l="0" t="0" r="0" b="0"/>
                <wp:wrapNone/>
                <wp:docPr id="81" name="Frame4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Potential annual cash bonus payments for our executive officers under the 2024 Cash Bonus Plan ranged from zero to 187.5% of their target annual cash bonus opportunity. </w:t>
      </w:r>
    </w:p>
    <w:tbl>
      <w:tblPr>
        <w:tblW w:w="6591" w:type="dxa"/>
        <w:jc w:val="center"/>
        <w:tblInd w:w="0" w:type="dxa"/>
        <w:tblLayout w:type="fixed"/>
        <w:tblCellMar>
          <w:top w:w="28" w:type="dxa"/>
          <w:left w:w="28" w:type="dxa"/>
          <w:bottom w:w="28" w:type="dxa"/>
          <w:right w:w="28" w:type="dxa"/>
        </w:tblCellMar>
      </w:tblPr>
      <w:tblGrid>
        <w:gridCol w:w="274"/>
        <w:gridCol w:w="241"/>
        <w:gridCol w:w="241"/>
        <w:gridCol w:w="241"/>
        <w:gridCol w:w="241"/>
        <w:gridCol w:w="244"/>
        <w:gridCol w:w="109"/>
        <w:gridCol w:w="109"/>
        <w:gridCol w:w="109"/>
        <w:gridCol w:w="134"/>
        <w:gridCol w:w="134"/>
        <w:gridCol w:w="134"/>
        <w:gridCol w:w="134"/>
        <w:gridCol w:w="134"/>
        <w:gridCol w:w="134"/>
        <w:gridCol w:w="156"/>
        <w:gridCol w:w="156"/>
        <w:gridCol w:w="161"/>
        <w:gridCol w:w="127"/>
        <w:gridCol w:w="127"/>
        <w:gridCol w:w="127"/>
        <w:gridCol w:w="224"/>
        <w:gridCol w:w="224"/>
        <w:gridCol w:w="224"/>
        <w:gridCol w:w="192"/>
        <w:gridCol w:w="192"/>
        <w:gridCol w:w="196"/>
        <w:gridCol w:w="109"/>
        <w:gridCol w:w="109"/>
        <w:gridCol w:w="109"/>
        <w:gridCol w:w="452"/>
        <w:gridCol w:w="452"/>
        <w:gridCol w:w="641"/>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6"/>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Individual Bonus</w:t>
            </w:r>
          </w:p>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 xml:space="preserve">Target </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 of Salary</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8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4" descr=""/>
                          <pic:cNvPicPr>
                            <a:picLocks noChangeAspect="1" noChangeArrowheads="1"/>
                          </pic:cNvPicPr>
                        </pic:nvPicPr>
                        <pic:blipFill>
                          <a:blip r:embed="rId35"/>
                          <a:stretch>
                            <a:fillRect/>
                          </a:stretch>
                        </pic:blipFill>
                        <pic:spPr bwMode="auto">
                          <a:xfrm>
                            <a:off x="0" y="0"/>
                            <a:ext cx="133350" cy="133350"/>
                          </a:xfrm>
                          <a:prstGeom prst="rect">
                            <a:avLst/>
                          </a:prstGeom>
                        </pic:spPr>
                      </pic:pic>
                    </a:graphicData>
                  </a:graphic>
                </wp:inline>
              </w:drawing>
            </w:r>
          </w:p>
        </w:tc>
        <w:tc>
          <w:tcPr>
            <w:tcW w:w="1277" w:type="dxa"/>
            <w:gridSpan w:val="9"/>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Corporate</w:t>
            </w:r>
          </w:p>
          <w:p>
            <w:pPr>
              <w:pStyle w:val="TableContents"/>
              <w:bidi w:val="0"/>
              <w:spacing w:lineRule="auto" w:line="288" w:before="0" w:after="0"/>
              <w:jc w:val="center"/>
              <w:rPr/>
            </w:pPr>
            <w:r>
              <w:rPr>
                <w:rFonts w:ascii="Arial;sans-serif" w:hAnsi="Arial;sans-serif"/>
                <w:b w:val="false"/>
                <w:color w:val="FFFFFF"/>
                <w:sz w:val="18"/>
              </w:rPr>
              <w:t>Performance</w:t>
            </w:r>
            <w:r>
              <w:rPr>
                <w:color w:val="FFFFFF"/>
              </w:rPr>
              <w:t xml:space="preserve"> </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0% - 125%</w:t>
            </w:r>
          </w:p>
        </w:tc>
        <w:tc>
          <w:tcPr>
            <w:tcW w:w="3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33350"/>
                  <wp:effectExtent l="0" t="0" r="0" b="0"/>
                  <wp:docPr id="8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5" descr=""/>
                          <pic:cNvPicPr>
                            <a:picLocks noChangeAspect="1" noChangeArrowheads="1"/>
                          </pic:cNvPicPr>
                        </pic:nvPicPr>
                        <pic:blipFill>
                          <a:blip r:embed="rId36"/>
                          <a:stretch>
                            <a:fillRect/>
                          </a:stretch>
                        </pic:blipFill>
                        <pic:spPr bwMode="auto">
                          <a:xfrm>
                            <a:off x="0" y="0"/>
                            <a:ext cx="133350" cy="133350"/>
                          </a:xfrm>
                          <a:prstGeom prst="rect">
                            <a:avLst/>
                          </a:prstGeom>
                        </pic:spPr>
                      </pic:pic>
                    </a:graphicData>
                  </a:graphic>
                </wp:inline>
              </w:drawing>
            </w:r>
          </w:p>
        </w:tc>
        <w:tc>
          <w:tcPr>
            <w:tcW w:w="1252" w:type="dxa"/>
            <w:gridSpan w:val="6"/>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Individual</w:t>
            </w:r>
          </w:p>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Performance</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0% -150%</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23825"/>
                  <wp:effectExtent l="0" t="0" r="0" b="0"/>
                  <wp:docPr id="8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6" descr=""/>
                          <pic:cNvPicPr>
                            <a:picLocks noChangeAspect="1" noChangeArrowheads="1"/>
                          </pic:cNvPicPr>
                        </pic:nvPicPr>
                        <pic:blipFill>
                          <a:blip r:embed="rId37"/>
                          <a:stretch>
                            <a:fillRect/>
                          </a:stretch>
                        </pic:blipFill>
                        <pic:spPr bwMode="auto">
                          <a:xfrm>
                            <a:off x="0" y="0"/>
                            <a:ext cx="133350" cy="123825"/>
                          </a:xfrm>
                          <a:prstGeom prst="rect">
                            <a:avLst/>
                          </a:prstGeom>
                        </pic:spPr>
                      </pic:pic>
                    </a:graphicData>
                  </a:graphic>
                </wp:inline>
              </w:drawing>
            </w:r>
          </w:p>
        </w:tc>
        <w:tc>
          <w:tcPr>
            <w:tcW w:w="1545" w:type="dxa"/>
            <w:gridSpan w:val="3"/>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Bonus Payout</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0% - 187.5% of Target</w:t>
            </w:r>
          </w:p>
        </w:tc>
      </w:tr>
      <w:tr>
        <w:trPr/>
        <w:tc>
          <w:tcPr>
            <w:tcW w:w="75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27"/>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95550" cy="257175"/>
                  <wp:effectExtent l="0" t="0" r="0" b="0"/>
                  <wp:docPr id="8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7" descr=""/>
                          <pic:cNvPicPr>
                            <a:picLocks noChangeAspect="1" noChangeArrowheads="1"/>
                          </pic:cNvPicPr>
                        </pic:nvPicPr>
                        <pic:blipFill>
                          <a:blip r:embed="rId38"/>
                          <a:stretch>
                            <a:fillRect/>
                          </a:stretch>
                        </pic:blipFill>
                        <pic:spPr bwMode="auto">
                          <a:xfrm>
                            <a:off x="0" y="0"/>
                            <a:ext cx="2495550" cy="2571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9"/>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 xml:space="preserve">Revenue </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(67% weight)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9"/>
            <w:tcBorders/>
            <w:shd w:fill="3774B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Non-GAAP</w:t>
            </w:r>
          </w:p>
          <w:p>
            <w:pPr>
              <w:pStyle w:val="TableContents"/>
              <w:bidi w:val="0"/>
              <w:spacing w:lineRule="auto" w:line="288" w:before="0" w:after="0"/>
              <w:jc w:val="center"/>
              <w:rPr>
                <w:rFonts w:ascii="Arial;sans-serif" w:hAnsi="Arial;sans-serif"/>
                <w:b w:val="false"/>
                <w:color w:val="FFFFFF"/>
                <w:sz w:val="18"/>
              </w:rPr>
            </w:pPr>
            <w:r>
              <w:rPr>
                <w:rFonts w:ascii="Arial;sans-serif" w:hAnsi="Arial;sans-serif"/>
                <w:b w:val="false"/>
                <w:color w:val="FFFFFF"/>
                <w:sz w:val="18"/>
              </w:rPr>
              <w:t>Operating Margin</w:t>
            </w:r>
          </w:p>
          <w:p>
            <w:pPr>
              <w:pStyle w:val="TableContents"/>
              <w:bidi w:val="0"/>
              <w:spacing w:lineRule="auto" w:line="288" w:before="0" w:after="0"/>
              <w:jc w:val="center"/>
              <w:rPr>
                <w:rFonts w:ascii="Arial;sans-serif" w:hAnsi="Arial;sans-serif"/>
                <w:b w:val="false"/>
                <w:color w:val="FFFFFF"/>
                <w:sz w:val="14"/>
              </w:rPr>
            </w:pPr>
            <w:r>
              <w:rPr>
                <w:rFonts w:ascii="Arial;sans-serif" w:hAnsi="Arial;sans-serif"/>
                <w:b w:val="false"/>
                <w:color w:val="FFFFFF"/>
                <w:sz w:val="14"/>
              </w:rPr>
              <w:t>(33% weight)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left"/>
        <w:rPr/>
      </w:pPr>
      <w:r>
        <w:rPr>
          <w:color w:val="000000"/>
          <w:shd w:fill="FFFFFF" w:val="clear"/>
        </w:rPr>
        <w:t> </w:t>
      </w:r>
      <w:r>
        <w:rPr>
          <w:rFonts w:ascii="Arial;sans-serif" w:hAnsi="Arial;sans-serif"/>
          <w:b/>
          <w:color w:val="000000"/>
          <w:sz w:val="18"/>
          <w:u w:val="single"/>
          <w:shd w:fill="FFFFFF" w:val="clear"/>
        </w:rPr>
        <w:t>Corporate Performance Measure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approved annual revenue (weighted 67%) and non-GAAP operating margin (weighted 33%) as components of the corporate performance measure under the 2024 Cash Bonus Plan because we believe incorporating both annual revenue and non-GAAP operating margin aligns with our emphasis on driving profitable growth. For purposes of the 2024 Cash Bonus Plan, “annual revenue” was calculated by excluding the impact of foreign exchange from our annual revenue reflected in our audited financial statements for the 2024 fiscal year. For purposes of the 2024 Cash Bonus plan, “non-GAAP operating margin” was calculated by excluding the impact of stock-based compensation expense, acquisition-related and other expenses, amortization of acquired intangible assets, workforce reduction expenses, and net gains and losses on real estate assets. These adjustments were made to provide a clearer view of our core operating performance for the year.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January 2024, the talent and compensation committee set the target performance levels under the 2024 Cash Bonus Plan at (i) $2,565 million for annual revenue and (ii) 33.1% for non-GAAP operating margin. In addition, the talent and compensation committee approved the performance matrix for funding the 2024 Cash Bonus Plan (as described below), with a 10% reduction to actual payouts to our named executive officers if the company’s stock-based compensation expense exceeded $360 million for the 2024 fiscal year.</w:t>
      </w:r>
    </w:p>
    <w:p>
      <w:pPr>
        <w:pStyle w:val="TextBody"/>
        <w:bidi w:val="0"/>
        <w:spacing w:lineRule="auto" w:line="276" w:before="180" w:after="283"/>
        <w:jc w:val="left"/>
        <w:rPr/>
      </w:pPr>
      <w:r>
        <w:rPr>
          <w:rFonts w:ascii="Arial;sans-serif" w:hAnsi="Arial;sans-serif"/>
          <w:b w:val="false"/>
          <w:color w:val="000000"/>
          <w:sz w:val="18"/>
          <w:shd w:fill="FFFFFF" w:val="clear"/>
        </w:rPr>
        <w:t>With respect to the annual revenue component, the bonus funding was 0% if we did not achieve annual revenue at the threshold revenue performance leve</w:t>
      </w:r>
      <w:r>
        <w:rPr>
          <w:rFonts w:ascii="Arial;sans-serif" w:hAnsi="Arial;sans-serif"/>
          <w:b w:val="false"/>
          <w:color w:val="000000"/>
          <w:sz w:val="18"/>
        </w:rPr>
        <w:t>l of $2,488 million.</w:t>
      </w:r>
      <w:r>
        <w:rPr>
          <w:color w:val="000000"/>
          <w:shd w:fill="FFFFFF" w:val="clear"/>
        </w:rPr>
        <w:t xml:space="preserve"> </w:t>
      </w:r>
      <w:r>
        <w:rPr>
          <w:rFonts w:ascii="Arial;sans-serif" w:hAnsi="Arial;sans-serif"/>
          <w:b w:val="false"/>
          <w:color w:val="000000"/>
          <w:sz w:val="18"/>
          <w:shd w:fill="FFFFFF" w:val="clear"/>
        </w:rPr>
        <w:t>At 97% of the target revenue performance level, the annual revenue bonus funding percentage was 75%. For annual revenue above the 97% of target performance level and below 98% the target performance level, the annual revenue bonus funding percentage increased linearly up to an annual revenue bonus funding percentage of 95%. For revenue performance ± 2% of the target revenue number, the annual revenue bonus funding percentage increased linearly from 95% to 105%. For revenue performance from 102% of the target revenue performance level to 103% of the target revenue performance level, the annual revenue bonus funding percentage increased linearly up to 125%. The maximum annual revenue bonus funding percentage is 125%.</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With respect to the non-GAAP operating margin component, the bonus funding was 0% if we did not achieve non-GAAP operating margin at the threshold performance level of 29.8%. At the threshold non-GAAP operating margin performance level, the non-GAAP operating margin bonus funding percentage was 75%. For non-GAAP operating margin above the threshold performance level, the non-GAAP operating margin bonus funding percentage increased linearly up to the maximum non-GAAP operating margin bonus funding percentage of 125%. </w:t>
      </w:r>
    </w:p>
    <w:tbl>
      <w:tblPr>
        <w:tblW w:w="5659" w:type="dxa"/>
        <w:jc w:val="left"/>
        <w:tblInd w:w="0" w:type="dxa"/>
        <w:tblLayout w:type="fixed"/>
        <w:tblCellMar>
          <w:top w:w="28" w:type="dxa"/>
          <w:left w:w="28" w:type="dxa"/>
          <w:bottom w:w="28" w:type="dxa"/>
          <w:right w:w="28" w:type="dxa"/>
        </w:tblCellMar>
      </w:tblPr>
      <w:tblGrid>
        <w:gridCol w:w="900"/>
        <w:gridCol w:w="792"/>
        <w:gridCol w:w="798"/>
        <w:gridCol w:w="220"/>
        <w:gridCol w:w="220"/>
        <w:gridCol w:w="221"/>
        <w:gridCol w:w="305"/>
        <w:gridCol w:w="305"/>
        <w:gridCol w:w="306"/>
        <w:gridCol w:w="224"/>
        <w:gridCol w:w="224"/>
        <w:gridCol w:w="228"/>
        <w:gridCol w:w="268"/>
        <w:gridCol w:w="268"/>
        <w:gridCol w:w="380"/>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FFFFFF"/>
              <w:left w:val="single" w:sz="8"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left w:val="single" w:sz="8" w:space="0" w:color="FFFFFF"/>
            </w:tcBorders>
            <w:shd w:fill="0063A6"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Weight</w:t>
            </w:r>
          </w:p>
        </w:tc>
        <w:tc>
          <w:tcPr>
            <w:tcW w:w="916" w:type="dxa"/>
            <w:gridSpan w:val="3"/>
            <w:tcBorders>
              <w:top w:val="single" w:sz="8" w:space="0" w:color="FFFFFF"/>
              <w:left w:val="single" w:sz="8" w:space="0" w:color="FFFFFF"/>
            </w:tcBorders>
            <w:shd w:fill="0063A6"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Threshold</w:t>
            </w:r>
          </w:p>
        </w:tc>
        <w:tc>
          <w:tcPr>
            <w:tcW w:w="676" w:type="dxa"/>
            <w:gridSpan w:val="3"/>
            <w:tcBorders>
              <w:top w:val="single" w:sz="8" w:space="0" w:color="FFFFFF"/>
              <w:left w:val="single" w:sz="8" w:space="0" w:color="FFFFFF"/>
            </w:tcBorders>
            <w:shd w:fill="0063A6"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Target</w:t>
            </w:r>
          </w:p>
        </w:tc>
        <w:tc>
          <w:tcPr>
            <w:tcW w:w="916" w:type="dxa"/>
            <w:gridSpan w:val="3"/>
            <w:tcBorders>
              <w:top w:val="single" w:sz="8" w:space="0" w:color="FFFFFF"/>
              <w:left w:val="single" w:sz="8" w:space="0" w:color="FFFFFF"/>
              <w:right w:val="single" w:sz="8" w:space="0" w:color="FFFFFF"/>
            </w:tcBorders>
            <w:shd w:fill="0063A6" w:val="clear"/>
            <w:tcMar>
              <w:top w:w="3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Maximum</w:t>
            </w:r>
          </w:p>
        </w:tc>
      </w:tr>
      <w:tr>
        <w:trPr/>
        <w:tc>
          <w:tcPr>
            <w:tcW w:w="2490"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($M)</w:t>
            </w:r>
          </w:p>
        </w:tc>
        <w:tc>
          <w:tcPr>
            <w:tcW w:w="661"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67%</w:t>
            </w:r>
          </w:p>
        </w:tc>
        <w:tc>
          <w:tcPr>
            <w:tcW w:w="916"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$2,488</w:t>
            </w:r>
          </w:p>
        </w:tc>
        <w:tc>
          <w:tcPr>
            <w:tcW w:w="676" w:type="dxa"/>
            <w:gridSpan w:val="3"/>
            <w:tcBorders>
              <w:top w:val="single" w:sz="8" w:space="0" w:color="FFFFFF"/>
              <w:left w:val="single" w:sz="8"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$2,565</w:t>
            </w:r>
          </w:p>
        </w:tc>
        <w:tc>
          <w:tcPr>
            <w:tcW w:w="916" w:type="dxa"/>
            <w:gridSpan w:val="3"/>
            <w:tcBorders>
              <w:top w:val="single" w:sz="8" w:space="0" w:color="FFFFFF"/>
              <w:left w:val="single" w:sz="8" w:space="0" w:color="FFFFFF"/>
              <w:right w:val="single" w:sz="8" w:space="0" w:color="FFFFFF"/>
            </w:tcBorders>
            <w:shd w:fill="F2F2F2"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$2,642</w:t>
            </w:r>
          </w:p>
        </w:tc>
      </w:tr>
      <w:tr>
        <w:trPr/>
        <w:tc>
          <w:tcPr>
            <w:tcW w:w="2490"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Non-GAAP Operating Margin</w:t>
            </w:r>
          </w:p>
        </w:tc>
        <w:tc>
          <w:tcPr>
            <w:tcW w:w="661"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916"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29.8%</w:t>
            </w:r>
          </w:p>
        </w:tc>
        <w:tc>
          <w:tcPr>
            <w:tcW w:w="676"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33.1%</w:t>
            </w:r>
          </w:p>
        </w:tc>
        <w:tc>
          <w:tcPr>
            <w:tcW w:w="916"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36.4%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36575"/>
                <wp:effectExtent l="0" t="0" r="0" b="0"/>
                <wp:wrapNone/>
                <wp:docPr id="86" name="Frame4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before="0" w:after="0"/>
        <w:jc w:val="center"/>
        <w:rPr/>
      </w:pPr>
      <w:r>
        <w:rPr/>
        <w:drawing>
          <wp:inline distT="0" distB="0" distL="0" distR="0">
            <wp:extent cx="2924175" cy="2286000"/>
            <wp:effectExtent l="0" t="0" r="0" b="0"/>
            <wp:docPr id="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 descr=""/>
                    <pic:cNvPicPr>
                      <a:picLocks noChangeAspect="1" noChangeArrowheads="1"/>
                    </pic:cNvPicPr>
                  </pic:nvPicPr>
                  <pic:blipFill>
                    <a:blip r:embed="rId39"/>
                    <a:stretch>
                      <a:fillRect/>
                    </a:stretch>
                  </pic:blipFill>
                  <pic:spPr bwMode="auto">
                    <a:xfrm>
                      <a:off x="0" y="0"/>
                      <a:ext cx="2924175" cy="2286000"/>
                    </a:xfrm>
                    <a:prstGeom prst="rect">
                      <a:avLst/>
                    </a:prstGeom>
                  </pic:spPr>
                </pic:pic>
              </a:graphicData>
            </a:graphic>
          </wp:inline>
        </w:drawing>
      </w:r>
    </w:p>
    <w:p>
      <w:pPr>
        <w:pStyle w:val="TextBody"/>
        <w:bidi w:val="0"/>
        <w:spacing w:before="0" w:after="0"/>
        <w:jc w:val="center"/>
        <w:rPr/>
      </w:pPr>
      <w:r>
        <w:rPr/>
        <w:drawing>
          <wp:inline distT="0" distB="0" distL="0" distR="0">
            <wp:extent cx="2924175" cy="2286000"/>
            <wp:effectExtent l="0" t="0" r="0" b="0"/>
            <wp:docPr id="8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9" descr=""/>
                    <pic:cNvPicPr>
                      <a:picLocks noChangeAspect="1" noChangeArrowheads="1"/>
                    </pic:cNvPicPr>
                  </pic:nvPicPr>
                  <pic:blipFill>
                    <a:blip r:embed="rId40"/>
                    <a:stretch>
                      <a:fillRect/>
                    </a:stretch>
                  </pic:blipFill>
                  <pic:spPr bwMode="auto">
                    <a:xfrm>
                      <a:off x="0" y="0"/>
                      <a:ext cx="2924175" cy="2286000"/>
                    </a:xfrm>
                    <a:prstGeom prst="rect">
                      <a:avLst/>
                    </a:prstGeom>
                  </pic:spPr>
                </pic:pic>
              </a:graphicData>
            </a:graphic>
          </wp:inline>
        </w:drawing>
      </w:r>
    </w:p>
    <w:p>
      <w:pPr>
        <w:pStyle w:val="TextBody"/>
        <w:bidi w:val="0"/>
        <w:spacing w:lineRule="auto" w:line="276" w:before="240" w:after="283"/>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Individual Performance Factor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determining the amount of annual cash bonus payments under the 2024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 </w:t>
      </w:r>
    </w:p>
    <w:p>
      <w:pPr>
        <w:pStyle w:val="TextBody"/>
        <w:bidi w:val="0"/>
        <w:spacing w:lineRule="auto" w:line="276" w:before="240" w:after="283"/>
        <w:jc w:val="left"/>
        <w:rPr>
          <w:rFonts w:ascii="Arial;sans-serif" w:hAnsi="Arial;sans-serif"/>
          <w:b/>
          <w:color w:val="000000"/>
          <w:sz w:val="18"/>
          <w:u w:val="single"/>
          <w:shd w:fill="FFFFFF" w:val="clear"/>
        </w:rPr>
      </w:pPr>
      <w:r>
        <w:rPr>
          <w:rFonts w:ascii="Arial;sans-serif" w:hAnsi="Arial;sans-serif"/>
          <w:b/>
          <w:color w:val="000000"/>
          <w:sz w:val="18"/>
          <w:u w:val="single"/>
          <w:shd w:fill="FFFFFF" w:val="clear"/>
        </w:rPr>
        <w:t>2024 Annual Cash Bonus Decisions</w:t>
      </w:r>
    </w:p>
    <w:p>
      <w:pPr>
        <w:pStyle w:val="TextBody"/>
        <w:bidi w:val="0"/>
        <w:spacing w:lineRule="auto" w:line="268" w:before="0" w:after="0"/>
        <w:jc w:val="left"/>
        <w:rPr/>
      </w:pPr>
      <w:r>
        <w:rPr>
          <w:rFonts w:ascii="Arial;sans-serif" w:hAnsi="Arial;sans-serif"/>
          <w:b w:val="false"/>
          <w:color w:val="000000"/>
          <w:sz w:val="18"/>
          <w:shd w:fill="FFFFFF" w:val="clear"/>
        </w:rPr>
        <w:t>In March 2025, the talent and compensation committee, based on its evaluation, determined the size of the bonus pool based on our performance during 2024 and determined the cash bonus payments for our bonus eligible executive officers, including our named executive officers, pursuant to the 2024 Cash Bonus Plan. The talent and compensation committee reviewed our actual annual revenue performance for 2024 and determined tha</w:t>
      </w:r>
      <w:r>
        <w:rPr>
          <w:rFonts w:ascii="Arial;sans-serif" w:hAnsi="Arial;sans-serif"/>
          <w:b w:val="false"/>
          <w:color w:val="000000"/>
          <w:sz w:val="18"/>
        </w:rPr>
        <w:t>t, for purposes of the calculation used for the 2024 Cash Bonus Plan, we had achieved annual revenue of $2,545 million, which was 99% of our annual revenue target for the year. In addition, the talent and compensation committee determined that we had achieved non-GAAP operating margin of 36.1% (for purposes of the calculation used for the 2024 Cash Bonus Plan) c</w:t>
      </w:r>
      <w:r>
        <w:rPr>
          <w:rFonts w:ascii="Arial;sans-serif" w:hAnsi="Arial;sans-serif"/>
          <w:b w:val="false"/>
          <w:color w:val="000000"/>
          <w:sz w:val="18"/>
          <w:shd w:fill="FFFFFF" w:val="clear"/>
        </w:rPr>
        <w:t>ompared to our target of 33.1% for the year. Our revenue and non-GAAP operating margin performances resulted in a corporate performance measure of 104.5%. Management subsequently reviewed our actual annual revenue and non-GAAP operating margin performance and determined that a portion of our results were driven by cost savings related to our workforce reduction in October 2024. As a result, management recommended that the talent and compensation committee exercise its discretion to cap the bonus funding percentage for the corporate performance measure at 100% of target. The talent and compensation committee approved management's proposal, resulting in a bonus funding percentage of</w:t>
      </w:r>
      <w:r>
        <w:rPr>
          <w:color w:val="000000"/>
        </w:rPr>
        <w:t xml:space="preserve"> </w:t>
      </w:r>
      <w:r>
        <w:rPr>
          <w:rFonts w:ascii="Arial;sans-serif" w:hAnsi="Arial;sans-serif"/>
          <w:b w:val="false"/>
          <w:color w:val="000000"/>
          <w:sz w:val="18"/>
        </w:rPr>
        <w:t>100%</w:t>
      </w:r>
      <w:r>
        <w:rPr>
          <w:color w:val="000000"/>
          <w:shd w:fill="FFFFFF" w:val="clear"/>
        </w:rPr>
        <w:t xml:space="preserve"> </w:t>
      </w:r>
      <w:r>
        <w:rPr>
          <w:rFonts w:ascii="Arial;sans-serif" w:hAnsi="Arial;sans-serif"/>
          <w:b w:val="false"/>
          <w:color w:val="000000"/>
          <w:sz w:val="18"/>
          <w:shd w:fill="FFFFFF" w:val="clear"/>
        </w:rPr>
        <w:t xml:space="preserve">with respect to the corporate performance measure.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2024 and formulated a recommended annual cash bonus payment for him based on the subjective assessment of his performance. </w:t>
      </w:r>
    </w:p>
    <w:p>
      <w:pPr>
        <w:pStyle w:val="TextBody"/>
        <w:bidi w:val="0"/>
        <w:spacing w:lineRule="auto" w:line="276" w:before="180" w:after="283"/>
        <w:jc w:val="left"/>
        <w:rPr/>
      </w:pPr>
      <w:r>
        <w:rPr>
          <w:rFonts w:ascii="Arial;sans-serif" w:hAnsi="Arial;sans-serif"/>
          <w:b w:val="false"/>
          <w:color w:val="000000"/>
          <w:sz w:val="18"/>
          <w:shd w:fill="FFFFFF" w:val="clear"/>
        </w:rPr>
        <w:t>Based on these evaluations, the talent and compensation committee approved the annual cash bonus payments for our named executive officers for 2024 in the table b</w:t>
      </w:r>
      <w:r>
        <w:rPr>
          <w:rFonts w:ascii="Arial;sans-serif" w:hAnsi="Arial;sans-serif"/>
          <w:b w:val="false"/>
          <w:color w:val="000000"/>
          <w:sz w:val="18"/>
        </w:rPr>
        <w:t xml:space="preserve">elow, including adjustments for the named executive officer's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36575"/>
                <wp:effectExtent l="0" t="0" r="0" b="0"/>
                <wp:wrapNone/>
                <wp:docPr id="89" name="Frame5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pPr>
      <w:r>
        <w:rPr>
          <w:rFonts w:ascii="Arial;sans-serif" w:hAnsi="Arial;sans-serif"/>
          <w:b w:val="false"/>
          <w:color w:val="000000"/>
          <w:sz w:val="18"/>
        </w:rPr>
        <w:t>performance factor. Since stock-based compensation</w:t>
      </w:r>
      <w:r>
        <w:rPr>
          <w:color w:val="000000"/>
          <w:shd w:fill="FFFFFF" w:val="clear"/>
        </w:rPr>
        <w:t xml:space="preserve"> </w:t>
      </w:r>
      <w:r>
        <w:rPr>
          <w:rFonts w:ascii="Arial;sans-serif" w:hAnsi="Arial;sans-serif"/>
          <w:b w:val="false"/>
          <w:color w:val="000000"/>
          <w:sz w:val="18"/>
          <w:shd w:fill="FFFFFF" w:val="clear"/>
        </w:rPr>
        <w:t xml:space="preserve">expense did not exceed $360 million for the 2024 fiscal year, there was no reduction to the annual cash bonus payments. </w:t>
      </w:r>
    </w:p>
    <w:tbl>
      <w:tblPr>
        <w:tblW w:w="7857" w:type="dxa"/>
        <w:jc w:val="left"/>
        <w:tblInd w:w="0" w:type="dxa"/>
        <w:tblLayout w:type="fixed"/>
        <w:tblCellMar>
          <w:top w:w="28" w:type="dxa"/>
          <w:left w:w="28" w:type="dxa"/>
          <w:bottom w:w="28" w:type="dxa"/>
          <w:right w:w="28" w:type="dxa"/>
        </w:tblCellMar>
      </w:tblPr>
      <w:tblGrid>
        <w:gridCol w:w="750"/>
        <w:gridCol w:w="659"/>
        <w:gridCol w:w="661"/>
        <w:gridCol w:w="559"/>
        <w:gridCol w:w="559"/>
        <w:gridCol w:w="561"/>
        <w:gridCol w:w="564"/>
        <w:gridCol w:w="564"/>
        <w:gridCol w:w="566"/>
        <w:gridCol w:w="706"/>
        <w:gridCol w:w="706"/>
        <w:gridCol w:w="100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67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Target Annual Cash</w:t>
              <w:br/>
              <w:t>Bonus Payment ($)</w:t>
            </w:r>
          </w:p>
        </w:tc>
        <w:tc>
          <w:tcPr>
            <w:tcW w:w="169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Annual Cash Bonus</w:t>
              <w:br/>
              <w:t>Payment ($)</w:t>
            </w:r>
          </w:p>
        </w:tc>
        <w:tc>
          <w:tcPr>
            <w:tcW w:w="24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Percentage of Target Annual</w:t>
              <w:br/>
              <w:t>Cash Bonus Actually Paid</w:t>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16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756,489</w:t>
            </w:r>
          </w:p>
        </w:tc>
        <w:tc>
          <w:tcPr>
            <w:tcW w:w="1694"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551,480</w:t>
            </w:r>
          </w:p>
        </w:tc>
        <w:tc>
          <w:tcPr>
            <w:tcW w:w="24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679" w:type="dxa"/>
            <w:gridSpan w:val="3"/>
            <w:tcBorders>
              <w:left w:val="single" w:sz="12" w:space="0" w:color="FFFFFF"/>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476,000</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623,000</w:t>
            </w:r>
          </w:p>
        </w:tc>
        <w:tc>
          <w:tcPr>
            <w:tcW w:w="24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w:t>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Bart E. Volkmer</w:t>
            </w:r>
          </w:p>
        </w:tc>
        <w:tc>
          <w:tcPr>
            <w:tcW w:w="16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390,000</w:t>
            </w:r>
          </w:p>
        </w:tc>
        <w:tc>
          <w:tcPr>
            <w:tcW w:w="169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284,000</w:t>
            </w:r>
          </w:p>
        </w:tc>
        <w:tc>
          <w:tcPr>
            <w:tcW w:w="24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167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365,000</w:t>
            </w:r>
          </w:p>
        </w:tc>
        <w:tc>
          <w:tcPr>
            <w:tcW w:w="24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r>
    </w:tbl>
    <w:p>
      <w:pPr>
        <w:pStyle w:val="TextBody"/>
        <w:bidi w:val="0"/>
        <w:spacing w:lineRule="auto" w:line="276" w:before="180" w:after="283"/>
        <w:jc w:val="left"/>
        <w:rPr/>
      </w:pPr>
      <w:r>
        <w:rPr>
          <w:rFonts w:ascii="Arial;sans-serif" w:hAnsi="Arial;sans-serif"/>
          <w:b w:val="false"/>
          <w:color w:val="000000"/>
          <w:sz w:val="18"/>
          <w:shd w:fill="FFFFFF" w:val="clear"/>
        </w:rPr>
        <w:t>The annual cash bonus payments made to our named executive officers for 2024 are set forth in the “</w:t>
      </w:r>
      <w:r>
        <w:rPr>
          <w:rFonts w:ascii="Arial;sans-serif" w:hAnsi="Arial;sans-serif"/>
          <w:b w:val="false"/>
          <w:i/>
          <w:color w:val="000000"/>
          <w:sz w:val="18"/>
          <w:shd w:fill="FFFFFF" w:val="clear"/>
        </w:rPr>
        <w:t>Summary Compensation Table for Fiscal Year 2024</w:t>
      </w:r>
      <w:r>
        <w:rPr>
          <w:color w:val="000000"/>
          <w:shd w:fill="FFFFFF" w:val="clear"/>
        </w:rPr>
        <w:t xml:space="preserve">” </w:t>
      </w:r>
      <w:r>
        <w:rPr>
          <w:rFonts w:ascii="Arial;sans-serif" w:hAnsi="Arial;sans-serif"/>
          <w:b w:val="false"/>
          <w:color w:val="000000"/>
          <w:sz w:val="18"/>
          <w:shd w:fill="FFFFFF" w:val="clear"/>
        </w:rPr>
        <w:t>below.</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Long-Term Equity Incentive Compensation </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pStyle w:val="TextBody"/>
        <w:bidi w:val="0"/>
        <w:spacing w:lineRule="auto" w:line="276" w:before="180" w:after="283"/>
        <w:jc w:val="left"/>
        <w:rPr/>
      </w:pPr>
      <w:r>
        <w:rPr>
          <w:rFonts w:ascii="Arial;sans-serif" w:hAnsi="Arial;sans-serif"/>
          <w:b w:val="false"/>
          <w:color w:val="000000"/>
          <w:sz w:val="18"/>
          <w:shd w:fill="FFFFFF" w:val="clear"/>
        </w:rPr>
        <w:t>The amount and forms of the equity awards granted to our executive officers are determined after considering the factors described in “</w:t>
      </w:r>
      <w:r>
        <w:rPr>
          <w:rFonts w:ascii="Arial;sans-serif" w:hAnsi="Arial;sans-serif"/>
          <w:b w:val="false"/>
          <w:i/>
          <w:color w:val="000000"/>
          <w:sz w:val="18"/>
          <w:shd w:fill="FFFFFF" w:val="clear"/>
        </w:rPr>
        <w:t>Compensation-Setting Process—Compensation Setting</w:t>
      </w:r>
      <w:r>
        <w:rPr>
          <w:color w:val="000000"/>
          <w:shd w:fill="FFFFFF" w:val="clear"/>
        </w:rPr>
        <w:t xml:space="preserve">” </w:t>
      </w:r>
      <w:r>
        <w:rPr>
          <w:rFonts w:ascii="Arial;sans-serif" w:hAnsi="Arial;sans-serif"/>
          <w:b w:val="false"/>
          <w:color w:val="000000"/>
          <w:sz w:val="18"/>
          <w:shd w:fill="FFFFFF" w:val="clear"/>
        </w:rPr>
        <w:t>above. The size of the equity awards is also intended to be competitive and result in target total direct compensation opportunities that we believe are reasonable and appropriate taking into consideration the factors described in the preceding sentence.</w:t>
      </w:r>
    </w:p>
    <w:p>
      <w:pPr>
        <w:pStyle w:val="TextBody"/>
        <w:bidi w:val="0"/>
        <w:spacing w:lineRule="auto" w:line="276" w:before="180" w:after="283"/>
        <w:jc w:val="left"/>
        <w:rPr/>
      </w:pPr>
      <w:r>
        <w:rPr>
          <w:rFonts w:ascii="Arial;sans-serif" w:hAnsi="Arial;sans-serif"/>
          <w:b w:val="false"/>
          <w:color w:val="000000"/>
          <w:sz w:val="18"/>
          <w:shd w:fill="FFFFFF" w:val="clear"/>
        </w:rPr>
        <w:t>In March 2024, the talent and compensation committee approved equity grants in the form of restricted stock unit awards (“</w:t>
      </w:r>
      <w:r>
        <w:rPr>
          <w:rFonts w:ascii="Arial;sans-serif" w:hAnsi="Arial;sans-serif"/>
          <w:b/>
          <w:i/>
          <w:color w:val="000000"/>
          <w:sz w:val="18"/>
          <w:shd w:fill="FFFFFF" w:val="clear"/>
        </w:rPr>
        <w:t>RSUs</w:t>
      </w:r>
      <w:r>
        <w:rPr>
          <w:color w:val="000000"/>
          <w:shd w:fill="FFFFFF" w:val="clear"/>
        </w:rPr>
        <w:t>”</w:t>
      </w:r>
      <w:r>
        <w:rPr>
          <w:rFonts w:ascii="Arial;sans-serif" w:hAnsi="Arial;sans-serif"/>
          <w:b w:val="false"/>
          <w:color w:val="000000"/>
          <w:sz w:val="18"/>
          <w:shd w:fill="FFFFFF" w:val="clear"/>
        </w:rPr>
        <w:t>) to Messrs. Regan and Volkmer, each of which were effective April 1, 2024. Mr. Cox received a new hire award, which was granted effective January 1, 2024.</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Differentiation was made among our executive officers based on the talent and compensation committee’s review of the competitive market data for their respective positions, internal equity, past performance, and expected future contributions. Mr. Houston did not receive an equity grant in 2024 in light of his significant ownership position in the company and the Co-Founder Grant he received in 2017. The equity awards granted to our named executive officers in 2024 were as follows:</w:t>
      </w:r>
    </w:p>
    <w:tbl>
      <w:tblPr>
        <w:tblW w:w="4440" w:type="dxa"/>
        <w:jc w:val="left"/>
        <w:tblInd w:w="0" w:type="dxa"/>
        <w:tblLayout w:type="fixed"/>
        <w:tblCellMar>
          <w:top w:w="28" w:type="dxa"/>
          <w:left w:w="28" w:type="dxa"/>
          <w:bottom w:w="28" w:type="dxa"/>
          <w:right w:w="28" w:type="dxa"/>
        </w:tblCellMar>
      </w:tblPr>
      <w:tblGrid>
        <w:gridCol w:w="750"/>
        <w:gridCol w:w="659"/>
        <w:gridCol w:w="661"/>
        <w:gridCol w:w="259"/>
        <w:gridCol w:w="259"/>
        <w:gridCol w:w="263"/>
        <w:gridCol w:w="464"/>
        <w:gridCol w:w="464"/>
        <w:gridCol w:w="66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78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120" w:after="95"/>
              <w:jc w:val="center"/>
              <w:rPr/>
            </w:pPr>
            <w:r>
              <w:rPr>
                <w:rFonts w:ascii="Arial;sans-serif" w:hAnsi="Arial;sans-serif"/>
                <w:b/>
                <w:color w:val="FFFFFF"/>
                <w:sz w:val="16"/>
              </w:rPr>
              <w:t>RSUs</w:t>
            </w:r>
            <w:r>
              <w:rPr>
                <w:rFonts w:ascii="Arial;sans-serif" w:hAnsi="Arial;sans-serif"/>
                <w:b/>
                <w:color w:val="FFFFFF"/>
                <w:sz w:val="10"/>
              </w:rPr>
              <w:t>(1)</w:t>
            </w:r>
          </w:p>
        </w:tc>
        <w:tc>
          <w:tcPr>
            <w:tcW w:w="158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Aggregate Grant</w:t>
              <w:br/>
              <w:t>Date Fair Value ($)</w:t>
            </w:r>
          </w:p>
        </w:tc>
      </w:tr>
      <w:tr>
        <w:trPr/>
        <w:tc>
          <w:tcPr>
            <w:tcW w:w="20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78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8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781"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207,180</w:t>
            </w:r>
          </w:p>
        </w:tc>
        <w:tc>
          <w:tcPr>
            <w:tcW w:w="158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5,034,474</w:t>
            </w:r>
          </w:p>
        </w:tc>
      </w:tr>
      <w:tr>
        <w:trPr/>
        <w:tc>
          <w:tcPr>
            <w:tcW w:w="2070"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Bart E. Volkmer</w:t>
            </w:r>
          </w:p>
        </w:tc>
        <w:tc>
          <w:tcPr>
            <w:tcW w:w="78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145,026</w:t>
            </w:r>
          </w:p>
        </w:tc>
        <w:tc>
          <w:tcPr>
            <w:tcW w:w="15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3,524,132</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377,883</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11,139,991</w:t>
            </w:r>
          </w:p>
        </w:tc>
      </w:tr>
    </w:tbl>
    <w:p>
      <w:pPr>
        <w:pStyle w:val="TextBody"/>
        <w:bidi w:val="0"/>
        <w:spacing w:lineRule="auto" w:line="276" w:before="10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The time-based RSU awards granted to Messrs. Regan, Volkmer and Cox vest over a four-year period in equal quarterly installments.</w:t>
      </w:r>
    </w:p>
    <w:p>
      <w:pPr>
        <w:pStyle w:val="TextBody"/>
        <w:bidi w:val="0"/>
        <w:spacing w:lineRule="auto" w:line="276" w:before="180" w:after="283"/>
        <w:jc w:val="left"/>
        <w:rPr/>
      </w:pPr>
      <w:r>
        <w:rPr>
          <w:rFonts w:ascii="Arial;sans-serif" w:hAnsi="Arial;sans-serif"/>
          <w:b w:val="false"/>
          <w:color w:val="000000"/>
          <w:sz w:val="18"/>
          <w:shd w:fill="FFFFFF" w:val="clear"/>
        </w:rPr>
        <w:t>The equity awards granted to our named executive officers during 2024 are set forth in the “</w:t>
      </w:r>
      <w:r>
        <w:rPr>
          <w:rFonts w:ascii="Arial;sans-serif" w:hAnsi="Arial;sans-serif"/>
          <w:b w:val="false"/>
          <w:i/>
          <w:color w:val="000000"/>
          <w:sz w:val="18"/>
          <w:shd w:fill="FFFFFF" w:val="clear"/>
        </w:rPr>
        <w:t>Summary Compensation Table for Fiscal Year 2024</w:t>
      </w:r>
      <w:r>
        <w:rPr>
          <w:color w:val="000000"/>
          <w:shd w:fill="FFFFFF" w:val="clear"/>
        </w:rPr>
        <w:t xml:space="preserve">” </w:t>
      </w:r>
      <w:r>
        <w:rPr>
          <w:rFonts w:ascii="Arial;sans-serif" w:hAnsi="Arial;sans-serif"/>
          <w:b w:val="false"/>
          <w:color w:val="000000"/>
          <w:sz w:val="18"/>
          <w:shd w:fill="FFFFFF" w:val="clear"/>
        </w:rPr>
        <w:t>and under “</w:t>
      </w:r>
      <w:r>
        <w:rPr>
          <w:rFonts w:ascii="Arial;sans-serif" w:hAnsi="Arial;sans-serif"/>
          <w:b w:val="false"/>
          <w:i/>
          <w:color w:val="000000"/>
          <w:sz w:val="18"/>
          <w:shd w:fill="FFFFFF" w:val="clear"/>
        </w:rPr>
        <w:t>Grants of Plan-Based Awards in 2024</w:t>
      </w:r>
      <w:r>
        <w:rPr>
          <w:color w:val="000000"/>
          <w:shd w:fill="FFFFFF" w:val="clear"/>
        </w:rPr>
        <w:t xml:space="preserve">” </w:t>
      </w:r>
      <w:r>
        <w:rPr>
          <w:rFonts w:ascii="Arial;sans-serif" w:hAnsi="Arial;sans-serif"/>
          <w:b w:val="false"/>
          <w:color w:val="000000"/>
          <w:sz w:val="18"/>
          <w:shd w:fill="FFFFFF" w:val="clear"/>
        </w:rPr>
        <w:t>below.</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Performance Achievement of Mr. Houston’s Co-Founder Grant</w:t>
      </w:r>
    </w:p>
    <w:p>
      <w:pPr>
        <w:pStyle w:val="TextBody"/>
        <w:bidi w:val="0"/>
        <w:spacing w:lineRule="auto" w:line="276" w:before="40" w:after="283"/>
        <w:jc w:val="left"/>
        <w:rPr/>
      </w:pPr>
      <w:r>
        <w:rPr>
          <w:rFonts w:ascii="Arial;sans-serif" w:hAnsi="Arial;sans-serif"/>
          <w:b w:val="false"/>
          <w:color w:val="000000"/>
          <w:sz w:val="18"/>
          <w:shd w:fill="FFFFFF" w:val="clear"/>
        </w:rPr>
        <w:t>In December 2017, our board approved a grant to Mr. Houston (our co-founder, Chief Executive Officer and chair of the board of directors) of an RSA with respect to 10.3 million shares of Class A common stock in the aggregate (the “</w:t>
      </w:r>
      <w:r>
        <w:rPr>
          <w:rFonts w:ascii="Arial;sans-serif" w:hAnsi="Arial;sans-serif"/>
          <w:b/>
          <w:i/>
          <w:color w:val="000000"/>
          <w:sz w:val="18"/>
          <w:shd w:fill="FFFFFF" w:val="clear"/>
        </w:rPr>
        <w:t>Co-Founder Grant</w:t>
      </w:r>
      <w:r>
        <w:rPr>
          <w:color w:val="000000"/>
          <w:shd w:fill="FFFFFF" w:val="clear"/>
        </w:rPr>
        <w:t>”</w:t>
      </w:r>
      <w:r>
        <w:rPr>
          <w:rFonts w:ascii="Arial;sans-serif" w:hAnsi="Arial;sans-serif"/>
          <w:b w:val="false"/>
          <w:color w:val="000000"/>
          <w:sz w:val="18"/>
          <w:shd w:fill="FFFFFF" w:val="clear"/>
        </w:rPr>
        <w:t xml:space="preserve">).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36575"/>
                <wp:effectExtent l="0" t="0" r="0" b="0"/>
                <wp:wrapNone/>
                <wp:docPr id="90" name="Frame5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0" w:after="283"/>
        <w:jc w:val="left"/>
        <w:rPr/>
      </w:pPr>
      <w:r>
        <w:rPr>
          <w:color w:val="000000"/>
          <w:shd w:fill="FFFFFF" w:val="clear"/>
        </w:rPr>
        <w:t>“</w:t>
      </w:r>
      <w:r>
        <w:rPr>
          <w:rFonts w:ascii="Arial;sans-serif" w:hAnsi="Arial;sans-serif"/>
          <w:b/>
          <w:i/>
          <w:color w:val="000000"/>
          <w:sz w:val="18"/>
          <w:shd w:fill="FFFFFF" w:val="clear"/>
        </w:rPr>
        <w:t>Stock Price Target</w:t>
      </w:r>
      <w:r>
        <w:rPr>
          <w:color w:val="000000"/>
          <w:shd w:fill="FFFFFF" w:val="clear"/>
        </w:rPr>
        <w:t>”</w:t>
      </w:r>
      <w:r>
        <w:rPr>
          <w:rFonts w:ascii="Arial;sans-serif" w:hAnsi="Arial;sans-serif"/>
          <w:b w:val="false"/>
          <w:color w:val="000000"/>
          <w:sz w:val="18"/>
          <w:shd w:fill="FFFFFF" w:val="clear"/>
        </w:rPr>
        <w:t>), measured over a consecutive thirty-day trading period during the Performance Period (defined below), as follows:</w:t>
      </w:r>
    </w:p>
    <w:tbl>
      <w:tblPr>
        <w:tblW w:w="4263" w:type="dxa"/>
        <w:jc w:val="center"/>
        <w:tblInd w:w="0" w:type="dxa"/>
        <w:tblLayout w:type="fixed"/>
        <w:tblCellMar>
          <w:top w:w="28" w:type="dxa"/>
          <w:left w:w="28" w:type="dxa"/>
          <w:bottom w:w="28" w:type="dxa"/>
          <w:right w:w="28" w:type="dxa"/>
        </w:tblCellMar>
      </w:tblPr>
      <w:tblGrid>
        <w:gridCol w:w="859"/>
        <w:gridCol w:w="754"/>
        <w:gridCol w:w="757"/>
        <w:gridCol w:w="359"/>
        <w:gridCol w:w="359"/>
        <w:gridCol w:w="361"/>
        <w:gridCol w:w="238"/>
        <w:gridCol w:w="238"/>
        <w:gridCol w:w="338"/>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Company Stock Price Target</w:t>
            </w:r>
          </w:p>
        </w:tc>
        <w:tc>
          <w:tcPr>
            <w:tcW w:w="1893"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Shares Eligible to</w:t>
              <w:br/>
              <w:t>Vest for</w:t>
              <w:br/>
              <w:t>Mr. Houston</w:t>
            </w:r>
          </w:p>
        </w:tc>
      </w:tr>
      <w:tr>
        <w:trPr/>
        <w:tc>
          <w:tcPr>
            <w:tcW w:w="237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$30.00</w:t>
            </w:r>
          </w:p>
        </w:tc>
        <w:tc>
          <w:tcPr>
            <w:tcW w:w="107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2,066,667</w:t>
            </w:r>
            <w:r>
              <w:rPr>
                <w:rFonts w:ascii="Arial;sans-serif" w:hAnsi="Arial;sans-serif"/>
                <w:b w:val="false"/>
                <w:color w:val="000000"/>
                <w:sz w:val="12"/>
              </w:rPr>
              <w:t>(1)</w:t>
            </w:r>
          </w:p>
        </w:tc>
        <w:tc>
          <w:tcPr>
            <w:tcW w:w="814"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$37.50</w:t>
            </w:r>
          </w:p>
        </w:tc>
        <w:tc>
          <w:tcPr>
            <w:tcW w:w="107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1,033,334</w:t>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$45.00</w:t>
            </w:r>
          </w:p>
        </w:tc>
        <w:tc>
          <w:tcPr>
            <w:tcW w:w="10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1,033,334</w:t>
            </w:r>
          </w:p>
        </w:tc>
        <w:tc>
          <w:tcPr>
            <w:tcW w:w="8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$52.50</w:t>
            </w:r>
          </w:p>
        </w:tc>
        <w:tc>
          <w:tcPr>
            <w:tcW w:w="107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$60.00</w:t>
            </w:r>
          </w:p>
        </w:tc>
        <w:tc>
          <w:tcPr>
            <w:tcW w:w="10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$67.50</w:t>
            </w:r>
          </w:p>
        </w:tc>
        <w:tc>
          <w:tcPr>
            <w:tcW w:w="107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$75.00</w:t>
            </w:r>
          </w:p>
        </w:tc>
        <w:tc>
          <w:tcPr>
            <w:tcW w:w="10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$82.50</w:t>
            </w:r>
          </w:p>
        </w:tc>
        <w:tc>
          <w:tcPr>
            <w:tcW w:w="107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$90.00</w:t>
            </w:r>
          </w:p>
        </w:tc>
        <w:tc>
          <w:tcPr>
            <w:tcW w:w="10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1,033,333</w:t>
            </w:r>
          </w:p>
        </w:tc>
        <w:tc>
          <w:tcPr>
            <w:tcW w:w="8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This tranche was vested and achieved on November 15, 2021.</w:t>
      </w:r>
    </w:p>
    <w:p>
      <w:pPr>
        <w:pStyle w:val="TextBody"/>
        <w:bidi w:val="0"/>
        <w:spacing w:lineRule="auto" w:line="276" w:before="180" w:after="283"/>
        <w:jc w:val="left"/>
        <w:rPr/>
      </w:pPr>
      <w:r>
        <w:rPr>
          <w:rFonts w:ascii="Arial;sans-serif" w:hAnsi="Arial;sans-serif"/>
          <w:b w:val="false"/>
          <w:color w:val="000000"/>
          <w:sz w:val="18"/>
          <w:shd w:fill="FFFFFF" w:val="clear"/>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sans-serif" w:hAnsi="Arial;sans-serif"/>
          <w:b/>
          <w:i/>
          <w:color w:val="000000"/>
          <w:sz w:val="18"/>
          <w:shd w:fill="FFFFFF" w:val="clear"/>
        </w:rPr>
        <w:t>Performance Period</w:t>
      </w:r>
      <w:r>
        <w:rPr>
          <w:color w:val="000000"/>
          <w:shd w:fill="FFFFFF" w:val="clear"/>
        </w:rPr>
        <w:t>”</w:t>
      </w:r>
      <w:r>
        <w:rPr>
          <w:rFonts w:ascii="Arial;sans-serif" w:hAnsi="Arial;sans-serif"/>
          <w:b w:val="false"/>
          <w:color w:val="000000"/>
          <w:sz w:val="18"/>
          <w:shd w:fill="FFFFFF" w:val="clear"/>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 No additional tranches were earned during 2024.</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Welfare and Health Benefits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pStyle w:val="TextBody"/>
        <w:bidi w:val="0"/>
        <w:spacing w:lineRule="auto" w:line="276" w:before="180" w:after="283"/>
        <w:jc w:val="left"/>
        <w:rPr/>
      </w:pPr>
      <w:r>
        <w:rPr>
          <w:rFonts w:ascii="Arial;sans-serif" w:hAnsi="Arial;sans-serif"/>
          <w:b w:val="false"/>
          <w:color w:val="000000"/>
          <w:sz w:val="18"/>
          <w:shd w:fill="FFFFFF" w:val="clear"/>
        </w:rPr>
        <w:t>We intend for the plan to qualify under Section 401(a) of the Internal Revenue Code (the “</w:t>
      </w:r>
      <w:r>
        <w:rPr>
          <w:rFonts w:ascii="Arial;sans-serif" w:hAnsi="Arial;sans-serif"/>
          <w:b/>
          <w:i/>
          <w:color w:val="000000"/>
          <w:sz w:val="18"/>
          <w:shd w:fill="FFFFFF" w:val="clear"/>
        </w:rPr>
        <w:t>Code</w:t>
      </w:r>
      <w:r>
        <w:rPr>
          <w:color w:val="000000"/>
          <w:shd w:fill="FFFFFF" w:val="clear"/>
        </w:rPr>
        <w:t>”</w:t>
      </w:r>
      <w:r>
        <w:rPr>
          <w:rFonts w:ascii="Arial;sans-serif" w:hAnsi="Arial;sans-serif"/>
          <w:b w:val="false"/>
          <w:color w:val="000000"/>
          <w:sz w:val="18"/>
          <w:shd w:fill="FFFFFF" w:val="clear"/>
        </w:rPr>
        <w:t xml:space="preserve">), so that contributions by participants to the plan, and income earned on plan contributions, are not taxable to participants until withdrawn from the plan. </w:t>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 </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Perquisites and Other Personal Benefits</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Currently, we do not view perquisites or other personal benefits as a significant component of our executive compensation program. Accordingly, we do not provide significant perquisites or other personal benefits to our executive officers except as generally made available to our employees, or in situations where we believe it is appropriate to assist an individual in the performance of their duties, to make him or her more efficient and effective, and for recruitment and retention purposes. </w:t>
      </w:r>
    </w:p>
    <w:p>
      <w:pPr>
        <w:pStyle w:val="TextBody"/>
        <w:bidi w:val="0"/>
        <w:spacing w:lineRule="auto" w:line="276" w:before="180" w:after="283"/>
        <w:jc w:val="left"/>
        <w:rPr/>
      </w:pPr>
      <w:r>
        <w:rPr>
          <w:rFonts w:ascii="Arial;sans-serif" w:hAnsi="Arial;sans-serif"/>
          <w:b w:val="false"/>
          <w:color w:val="000000"/>
          <w:sz w:val="18"/>
          <w:shd w:fill="FFFFFF" w:val="clear"/>
        </w:rPr>
        <w:t>In 2024, the talent and compensation committee approved the provision of security measures to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sans-serif" w:hAnsi="Arial;sans-serif"/>
          <w:b w:val="false"/>
          <w:i/>
          <w:color w:val="000000"/>
          <w:sz w:val="18"/>
          <w:shd w:fill="FFFFFF" w:val="clear"/>
        </w:rPr>
        <w:t>Summary Compensation Table</w:t>
      </w:r>
      <w:r>
        <w:rPr>
          <w:rFonts w:ascii="Arial;sans-serif" w:hAnsi="Arial;sans-serif"/>
          <w:b w:val="false"/>
          <w:color w:val="000000"/>
          <w:sz w:val="18"/>
          <w:shd w:fill="FFFFFF" w:val="clear"/>
        </w:rPr>
        <w:t>.” Mr. Houston participates in a security program with an annual limit of $500,000 in 2024. The talent and compensation committee periodically reviews the nature and cost of this program in relation to Mr. Houston’s security profile. The cost of the security services for Mr. Houston in 2024 was $</w:t>
      </w:r>
      <w:r>
        <w:rPr>
          <w:rFonts w:ascii="Arial;sans-serif" w:hAnsi="Arial;sans-serif"/>
          <w:b w:val="false"/>
          <w:color w:val="000000"/>
          <w:sz w:val="18"/>
        </w:rPr>
        <w:t xml:space="preserve">392,775.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36575"/>
                <wp:effectExtent l="0" t="0" r="0" b="0"/>
                <wp:wrapNone/>
                <wp:docPr id="91" name="Frame5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Stock Ownership Guidelines </w:t>
      </w:r>
    </w:p>
    <w:p>
      <w:pPr>
        <w:pStyle w:val="TextBody"/>
        <w:bidi w:val="0"/>
        <w:spacing w:lineRule="auto" w:line="276" w:before="180" w:after="283"/>
        <w:jc w:val="left"/>
        <w:rPr/>
      </w:pPr>
      <w:r>
        <w:rPr>
          <w:rFonts w:ascii="Arial;sans-serif" w:hAnsi="Arial;sans-serif"/>
          <w:b w:val="false"/>
          <w:color w:val="000000"/>
          <w:sz w:val="18"/>
          <w:shd w:fill="FFFFFF" w:val="clear"/>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w:t>
      </w:r>
      <w:r>
        <w:rPr>
          <w:color w:val="000000"/>
        </w:rPr>
        <w:t xml:space="preserve"> </w:t>
      </w:r>
      <w:r>
        <w:rPr>
          <w:rFonts w:ascii="Arial;sans-serif" w:hAnsi="Arial;sans-serif"/>
          <w:b w:val="false"/>
          <w:color w:val="000000"/>
          <w:sz w:val="18"/>
        </w:rPr>
        <w:t>Officer) are required to acquire and own stock or stock equivalents in an amount equal to two times their base annual salary.</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 At the end of fiscal 2024, all of our then-current named executive officers have met, exceeded, or are on track to meet, these guidelines based on their current rate of stock accumulations in the time frames set out in the stock ownership guidelines.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63A6"/>
          <w:sz w:val="18"/>
          <w:shd w:fill="FFFFFF" w:val="clear"/>
        </w:rPr>
      </w:pPr>
      <w:r>
        <w:rPr>
          <w:rFonts w:ascii="Arial;sans-serif" w:hAnsi="Arial;sans-serif"/>
          <w:b/>
          <w:color w:val="0063A6"/>
          <w:sz w:val="18"/>
          <w:shd w:fill="FFFFFF" w:val="clear"/>
        </w:rPr>
        <w:t>Practices with Regard to Timing of Equity Awards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board and the talent and compensation committee of our board does not take material nonpublic information into account when determining the timing and terms of equity grants. We do not have a policy or practice to time equity grants based on the release of material non-public information. We did not grant stock options to any of our named executive officers in 2024 and have never granted stock appreciation rights.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63A6"/>
          <w:sz w:val="18"/>
          <w:shd w:fill="FFFFFF" w:val="clear"/>
        </w:rPr>
      </w:pPr>
      <w:r>
        <w:rPr>
          <w:rFonts w:ascii="Arial;sans-serif" w:hAnsi="Arial;sans-serif"/>
          <w:b/>
          <w:color w:val="0063A6"/>
          <w:sz w:val="18"/>
          <w:shd w:fill="FFFFFF" w:val="clear"/>
        </w:rPr>
        <w:t>Compensation Recovery Policy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August 2023, the talent and compensation committee adopted a compensation recovery ("clawback")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Employment Arrangements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have entered into written employment letters with our Chief Executive Officer and each of our other executive officers. Each of these arrangements was approved on our behalf by the talent and compensation committee or our board of directors.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pStyle w:val="TextBody"/>
        <w:bidi w:val="0"/>
        <w:spacing w:lineRule="auto" w:line="276" w:before="180" w:after="283"/>
        <w:jc w:val="left"/>
        <w:rPr/>
      </w:pPr>
      <w:r>
        <w:rPr>
          <w:rFonts w:ascii="Arial;sans-serif" w:hAnsi="Arial;sans-serif"/>
          <w:b w:val="false"/>
          <w:color w:val="000000"/>
          <w:sz w:val="18"/>
          <w:shd w:fill="FFFFFF" w:val="clear"/>
        </w:rPr>
        <w:t>Our executive officers are also eligible to enter into change in control and severance agreements with the company. These post-employment compensation terms are discussed in “</w:t>
      </w:r>
      <w:r>
        <w:rPr>
          <w:rFonts w:ascii="Arial;sans-serif" w:hAnsi="Arial;sans-serif"/>
          <w:b w:val="false"/>
          <w:i/>
          <w:color w:val="000000"/>
          <w:sz w:val="18"/>
          <w:shd w:fill="FFFFFF" w:val="clear"/>
        </w:rPr>
        <w:t>Post-Employment Compensation</w:t>
      </w:r>
      <w:r>
        <w:rPr>
          <w:color w:val="000000"/>
          <w:shd w:fill="FFFFFF" w:val="clear"/>
        </w:rPr>
        <w:t xml:space="preserve">” </w:t>
      </w:r>
      <w:r>
        <w:rPr>
          <w:rFonts w:ascii="Arial;sans-serif" w:hAnsi="Arial;sans-serif"/>
          <w:b w:val="false"/>
          <w:color w:val="000000"/>
          <w:sz w:val="18"/>
          <w:shd w:fill="FFFFFF" w:val="clear"/>
        </w:rPr>
        <w:t xml:space="preserve">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Post-Employment Compensation</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believe that these protections were necessary to induce these individuals to accept a demanding position with the company and help retain them. These arrangements provide reasonable compensation to an executive officer if they leave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36575"/>
                <wp:effectExtent l="0" t="0" r="0" b="0"/>
                <wp:wrapNone/>
                <wp:docPr id="92" name="Frame5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fiduciary duties under Nevada law. The terms and conditions were approved by our board of directors after an analysis of competitive market data.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 </w:t>
      </w:r>
    </w:p>
    <w:p>
      <w:pPr>
        <w:pStyle w:val="TextBody"/>
        <w:bidi w:val="0"/>
        <w:spacing w:lineRule="auto" w:line="276" w:before="180" w:after="283"/>
        <w:jc w:val="left"/>
        <w:rPr/>
      </w:pPr>
      <w:r>
        <w:rPr>
          <w:rFonts w:ascii="Arial;sans-serif" w:hAnsi="Arial;sans-serif"/>
          <w:b w:val="false"/>
          <w:color w:val="000000"/>
          <w:sz w:val="18"/>
          <w:shd w:fill="FFFFFF" w:val="clear"/>
        </w:rPr>
        <w:t>Mr. Houston’s Co-Founder Grant (as described below) is eligible to vest in connection with our acquisition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the section titled “</w:t>
      </w:r>
      <w:r>
        <w:rPr>
          <w:rFonts w:ascii="Arial;sans-serif" w:hAnsi="Arial;sans-serif"/>
          <w:b w:val="false"/>
          <w:i/>
          <w:color w:val="000000"/>
          <w:sz w:val="18"/>
          <w:shd w:fill="FFFFFF" w:val="clear"/>
        </w:rPr>
        <w:t>Potential Payments on Termination or Change in Control</w:t>
      </w:r>
      <w:r>
        <w:rPr>
          <w:color w:val="000000"/>
          <w:shd w:fill="FFFFFF" w:val="clear"/>
        </w:rPr>
        <w:t xml:space="preserve">” </w:t>
      </w:r>
      <w:r>
        <w:rPr>
          <w:rFonts w:ascii="Arial;sans-serif" w:hAnsi="Arial;sans-serif"/>
          <w:b w:val="false"/>
          <w:color w:val="000000"/>
          <w:sz w:val="18"/>
          <w:shd w:fill="FFFFFF" w:val="clear"/>
        </w:rPr>
        <w:t xml:space="preserve">below for additional details. </w:t>
      </w:r>
    </w:p>
    <w:p>
      <w:pPr>
        <w:pStyle w:val="TextBody"/>
        <w:bidi w:val="0"/>
        <w:spacing w:lineRule="auto" w:line="276" w:before="420" w:after="120"/>
        <w:jc w:val="left"/>
        <w:rPr>
          <w:rFonts w:ascii="Arial;sans-serif" w:hAnsi="Arial;sans-serif"/>
          <w:b/>
          <w:color w:val="0063A6"/>
          <w:sz w:val="18"/>
          <w:shd w:fill="FFFFFF" w:val="clear"/>
        </w:rPr>
      </w:pPr>
      <w:r>
        <w:rPr>
          <w:rFonts w:ascii="Arial;sans-serif" w:hAnsi="Arial;sans-serif"/>
          <w:b/>
          <w:color w:val="0063A6"/>
          <w:sz w:val="18"/>
          <w:shd w:fill="FFFFFF" w:val="clear"/>
        </w:rPr>
        <w:t>Hedging and Pledging Prohibitions</w:t>
      </w:r>
    </w:p>
    <w:p>
      <w:pPr>
        <w:pStyle w:val="TextBody"/>
        <w:bidi w:val="0"/>
        <w:spacing w:lineRule="auto" w:line="276" w:before="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2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Tax and Accounting Considerations </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take the applicable tax and accounting requirements into consideration in designing and operating our executive compensation program. </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Deductibility of Executive Compensation</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or the best interests of our stockholders.</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Taxation of Parachute Payments and Deferred Compensation</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pStyle w:val="TextBody"/>
        <w:bidi w:val="0"/>
        <w:spacing w:lineRule="auto" w:line="276" w:before="300" w:after="283"/>
        <w:jc w:val="left"/>
        <w:rPr>
          <w:rFonts w:ascii="Arial;sans-serif" w:hAnsi="Arial;sans-serif"/>
          <w:b/>
          <w:color w:val="0063A6"/>
          <w:sz w:val="18"/>
          <w:shd w:fill="FFFFFF" w:val="clear"/>
        </w:rPr>
      </w:pPr>
      <w:r>
        <w:rPr>
          <w:rFonts w:ascii="Arial;sans-serif" w:hAnsi="Arial;sans-serif"/>
          <w:b/>
          <w:color w:val="0063A6"/>
          <w:sz w:val="18"/>
          <w:shd w:fill="FFFFFF" w:val="clear"/>
        </w:rPr>
        <w:t>Accounting for Stock-Based Compensation</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36575"/>
                <wp:effectExtent l="0" t="0" r="0" b="0"/>
                <wp:wrapNone/>
                <wp:docPr id="93" name="Frame5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48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As of December 31, 2024, Mr. Houston's Co-Founder Grant has been fully recognized, and no further stock-based compensation expense related to the Co-Founder Grant remains.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fair value of the Co-Founder Grant, whereby vesting is contingent on meeting certain market conditions was estimated using the following assumptions:</w:t>
      </w:r>
    </w:p>
    <w:tbl>
      <w:tblPr>
        <w:tblW w:w="4199" w:type="dxa"/>
        <w:jc w:val="left"/>
        <w:tblInd w:w="0" w:type="dxa"/>
        <w:tblLayout w:type="fixed"/>
        <w:tblCellMar>
          <w:top w:w="28" w:type="dxa"/>
          <w:left w:w="28" w:type="dxa"/>
          <w:bottom w:w="28" w:type="dxa"/>
          <w:right w:w="28" w:type="dxa"/>
        </w:tblCellMar>
      </w:tblPr>
      <w:tblGrid>
        <w:gridCol w:w="1126"/>
        <w:gridCol w:w="992"/>
        <w:gridCol w:w="1001"/>
        <w:gridCol w:w="316"/>
        <w:gridCol w:w="316"/>
        <w:gridCol w:w="448"/>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Grant date</w:t>
            </w:r>
          </w:p>
        </w:tc>
        <w:tc>
          <w:tcPr>
            <w:tcW w:w="108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12/12/2017</w:t>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Expected IPO date</w:t>
            </w:r>
          </w:p>
        </w:tc>
        <w:tc>
          <w:tcPr>
            <w:tcW w:w="1080"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3/31/2018</w:t>
            </w:r>
          </w:p>
        </w:tc>
      </w:tr>
      <w:tr>
        <w:trPr/>
        <w:tc>
          <w:tcPr>
            <w:tcW w:w="311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Lock-up period</w:t>
            </w:r>
          </w:p>
        </w:tc>
        <w:tc>
          <w:tcPr>
            <w:tcW w:w="108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1/1/2019</w:t>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Expiration date</w:t>
            </w:r>
          </w:p>
        </w:tc>
        <w:tc>
          <w:tcPr>
            <w:tcW w:w="1080"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3/31/2028</w:t>
            </w:r>
          </w:p>
        </w:tc>
      </w:tr>
      <w:tr>
        <w:trPr/>
        <w:tc>
          <w:tcPr>
            <w:tcW w:w="311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Grant price</w:t>
            </w:r>
          </w:p>
        </w:tc>
        <w:tc>
          <w:tcPr>
            <w:tcW w:w="108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$17.15</w:t>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Expected volatility</w:t>
            </w:r>
          </w:p>
        </w:tc>
        <w:tc>
          <w:tcPr>
            <w:tcW w:w="1080"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40.0%</w:t>
            </w:r>
          </w:p>
        </w:tc>
      </w:tr>
      <w:tr>
        <w:trPr/>
        <w:tc>
          <w:tcPr>
            <w:tcW w:w="311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Risk-free interest rate (continuous)</w:t>
            </w:r>
          </w:p>
        </w:tc>
        <w:tc>
          <w:tcPr>
            <w:tcW w:w="108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2.38%</w:t>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Expected dividends</w:t>
            </w:r>
          </w:p>
        </w:tc>
        <w:tc>
          <w:tcPr>
            <w:tcW w:w="1080"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76" w:before="180" w:after="283"/>
        <w:jc w:val="left"/>
        <w:rPr/>
      </w:pPr>
      <w:r>
        <w:rPr>
          <w:rFonts w:ascii="Arial;sans-serif" w:hAnsi="Arial;sans-serif"/>
          <w:b w:val="false"/>
          <w:i/>
          <w:color w:val="000000"/>
          <w:sz w:val="18"/>
          <w:shd w:fill="FFFFFF" w:val="clear"/>
        </w:rPr>
        <w:t>Expected grant date, expected IPO date, lock-up period, and expiration date.</w:t>
      </w:r>
      <w:r>
        <w:rPr>
          <w:color w:val="000000"/>
          <w:shd w:fill="FFFFFF" w:val="clear"/>
        </w:rPr>
        <w:t xml:space="preserve"> </w:t>
      </w:r>
      <w:r>
        <w:rPr>
          <w:rFonts w:ascii="Arial;sans-serif" w:hAnsi="Arial;sans-serif"/>
          <w:b w:val="false"/>
          <w:color w:val="000000"/>
          <w:sz w:val="18"/>
          <w:shd w:fill="FFFFFF" w:val="clear"/>
        </w:rPr>
        <w:t xml:space="preserve">The Grant Date, expected IPO date, and the expiration of the lock-up period were estimates at the time of the valuation and correspond to the terms defined in the Restricted Stock Award Agreement. </w:t>
      </w:r>
    </w:p>
    <w:p>
      <w:pPr>
        <w:pStyle w:val="TextBody"/>
        <w:bidi w:val="0"/>
        <w:spacing w:lineRule="auto" w:line="276" w:before="180" w:after="283"/>
        <w:jc w:val="left"/>
        <w:rPr/>
      </w:pPr>
      <w:r>
        <w:rPr>
          <w:rFonts w:ascii="Arial;sans-serif" w:hAnsi="Arial;sans-serif"/>
          <w:b w:val="false"/>
          <w:i/>
          <w:color w:val="000000"/>
          <w:sz w:val="18"/>
          <w:shd w:fill="FFFFFF" w:val="clear"/>
        </w:rPr>
        <w:t xml:space="preserve">Grant price. </w:t>
      </w:r>
      <w:r>
        <w:rPr>
          <w:rFonts w:ascii="Arial;sans-serif" w:hAnsi="Arial;sans-serif"/>
          <w:b w:val="false"/>
          <w:color w:val="000000"/>
          <w:sz w:val="18"/>
          <w:shd w:fill="FFFFFF" w:val="clear"/>
        </w:rPr>
        <w:t>The grant price is based on the valuation of Common Stock as of December 12, 2017.</w:t>
      </w:r>
    </w:p>
    <w:p>
      <w:pPr>
        <w:pStyle w:val="TextBody"/>
        <w:bidi w:val="0"/>
        <w:spacing w:lineRule="auto" w:line="276" w:before="180" w:after="283"/>
        <w:jc w:val="left"/>
        <w:rPr/>
      </w:pPr>
      <w:r>
        <w:rPr>
          <w:rFonts w:ascii="Arial;sans-serif" w:hAnsi="Arial;sans-serif"/>
          <w:b w:val="false"/>
          <w:i/>
          <w:color w:val="000000"/>
          <w:sz w:val="18"/>
          <w:shd w:fill="FFFFFF" w:val="clear"/>
        </w:rPr>
        <w:t xml:space="preserve">Expected volatility. </w:t>
      </w:r>
      <w:r>
        <w:rPr>
          <w:rFonts w:ascii="Arial;sans-serif" w:hAnsi="Arial;sans-serif"/>
          <w:b w:val="false"/>
          <w:color w:val="000000"/>
          <w:sz w:val="18"/>
          <w:shd w:fill="FFFFFF" w:val="clear"/>
        </w:rPr>
        <w:t xml:space="preserve">Expected volatility is based on the average of the implied volatility of the longer at-the-money call option and the annualized daily return volatility over the greater of the trading history or the term for each one of the guideline companies. The concluded volatility is then based on the median of the comparable companies. </w:t>
      </w:r>
    </w:p>
    <w:p>
      <w:pPr>
        <w:pStyle w:val="TextBody"/>
        <w:bidi w:val="0"/>
        <w:spacing w:lineRule="auto" w:line="276" w:before="180" w:after="283"/>
        <w:jc w:val="left"/>
        <w:rPr/>
      </w:pPr>
      <w:r>
        <w:rPr>
          <w:rFonts w:ascii="Arial;sans-serif" w:hAnsi="Arial;sans-serif"/>
          <w:b w:val="false"/>
          <w:i/>
          <w:color w:val="000000"/>
          <w:sz w:val="18"/>
          <w:shd w:fill="FFFFFF" w:val="clear"/>
        </w:rPr>
        <w:t xml:space="preserve">Risk-free interest rate. </w:t>
      </w:r>
      <w:r>
        <w:rPr>
          <w:rFonts w:ascii="Arial;sans-serif" w:hAnsi="Arial;sans-serif"/>
          <w:b w:val="false"/>
          <w:color w:val="000000"/>
          <w:sz w:val="18"/>
          <w:shd w:fill="FFFFFF" w:val="clear"/>
        </w:rPr>
        <w:t>The risk-free interest rate is interpolated based on the U.S. Treasury rates sourced from S&amp;P Capital IQ with a term commensurate with the remaining performance period.</w:t>
      </w:r>
    </w:p>
    <w:p>
      <w:pPr>
        <w:pStyle w:val="TextBody"/>
        <w:bidi w:val="0"/>
        <w:spacing w:lineRule="auto" w:line="276" w:before="180" w:after="283"/>
        <w:jc w:val="left"/>
        <w:rPr/>
      </w:pPr>
      <w:r>
        <w:rPr>
          <w:rFonts w:ascii="Arial;sans-serif" w:hAnsi="Arial;sans-serif"/>
          <w:b w:val="false"/>
          <w:i/>
          <w:color w:val="000000"/>
          <w:sz w:val="18"/>
          <w:shd w:fill="FFFFFF" w:val="clear"/>
        </w:rPr>
        <w:t>Expected dividend.</w:t>
      </w:r>
      <w:r>
        <w:rPr>
          <w:color w:val="000000"/>
          <w:shd w:fill="FFFFFF" w:val="clear"/>
        </w:rPr>
        <w:t xml:space="preserve"> </w:t>
      </w:r>
      <w:r>
        <w:rPr>
          <w:rFonts w:ascii="Arial;sans-serif" w:hAnsi="Arial;sans-serif"/>
          <w:b w:val="false"/>
          <w:color w:val="000000"/>
          <w:sz w:val="18"/>
          <w:shd w:fill="FFFFFF" w:val="clear"/>
        </w:rPr>
        <w:t>The company has not paid and does not expect to pay dividends. Consequently, the company uses an expected dividend yield of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36575"/>
                <wp:effectExtent l="0" t="0" r="0" b="0"/>
                <wp:wrapNone/>
                <wp:docPr id="94" name="Frame5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Report of the Compensation Committee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2024.</w:t>
      </w:r>
    </w:p>
    <w:p>
      <w:pPr>
        <w:pStyle w:val="TextBody"/>
        <w:bidi w:val="0"/>
        <w:spacing w:lineRule="auto" w:line="276" w:before="25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Respectfully submitted by the members of the talent and compensation committee of the board of directors:</w:t>
      </w:r>
    </w:p>
    <w:p>
      <w:pPr>
        <w:pStyle w:val="TextBody"/>
        <w:bidi w:val="0"/>
        <w:spacing w:lineRule="auto" w:line="276" w:before="250" w:after="283"/>
        <w:jc w:val="left"/>
        <w:rPr>
          <w:rFonts w:ascii="Arial;sans-serif" w:hAnsi="Arial;sans-serif"/>
          <w:b/>
          <w:color w:val="000000"/>
          <w:sz w:val="18"/>
          <w:shd w:fill="FFFFFF" w:val="clear"/>
        </w:rPr>
      </w:pPr>
      <w:r>
        <w:rPr>
          <w:rFonts w:ascii="Arial;sans-serif" w:hAnsi="Arial;sans-serif"/>
          <w:b/>
          <w:color w:val="000000"/>
          <w:sz w:val="18"/>
          <w:shd w:fill="FFFFFF" w:val="clear"/>
        </w:rPr>
        <w:t>Sara Mathew (Chair)</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 xml:space="preserve">Abhay Parasnis </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Karen Peacock</w:t>
      </w:r>
    </w:p>
    <w:p>
      <w:pPr>
        <w:pStyle w:val="TextBody"/>
        <w:bidi w:val="0"/>
        <w:spacing w:lineRule="auto" w:line="276" w:before="0" w:after="0"/>
        <w:jc w:val="left"/>
        <w:rPr>
          <w:rFonts w:ascii="Arial;sans-serif" w:hAnsi="Arial;sans-serif"/>
          <w:b/>
          <w:color w:val="000000"/>
          <w:sz w:val="18"/>
          <w:shd w:fill="FFFFFF" w:val="clear"/>
        </w:rPr>
      </w:pPr>
      <w:r>
        <w:rPr>
          <w:rFonts w:ascii="Arial;sans-serif" w:hAnsi="Arial;sans-serif"/>
          <w:b/>
          <w:color w:val="000000"/>
          <w:sz w:val="18"/>
          <w:shd w:fill="FFFFFF" w:val="clear"/>
        </w:rPr>
        <w:t>Michael Seibel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36575"/>
                <wp:effectExtent l="0" t="0" r="0" b="0"/>
                <wp:wrapNone/>
                <wp:docPr id="95" name="Frame5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Compensation Risk Assessment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36575"/>
                <wp:effectExtent l="0" t="0" r="0" b="0"/>
                <wp:wrapNone/>
                <wp:docPr id="96" name="Frame5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2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Summary Compensation Table for Fiscal Year 2024 </w:t>
      </w:r>
    </w:p>
    <w:tbl>
      <w:tblPr>
        <w:tblW w:w="9023" w:type="dxa"/>
        <w:jc w:val="left"/>
        <w:tblInd w:w="0" w:type="dxa"/>
        <w:tblLayout w:type="fixed"/>
        <w:tblCellMar>
          <w:top w:w="28" w:type="dxa"/>
          <w:left w:w="28" w:type="dxa"/>
          <w:bottom w:w="28" w:type="dxa"/>
          <w:right w:w="28" w:type="dxa"/>
        </w:tblCellMar>
      </w:tblPr>
      <w:tblGrid>
        <w:gridCol w:w="799"/>
        <w:gridCol w:w="700"/>
        <w:gridCol w:w="706"/>
        <w:gridCol w:w="154"/>
        <w:gridCol w:w="154"/>
        <w:gridCol w:w="158"/>
        <w:gridCol w:w="229"/>
        <w:gridCol w:w="229"/>
        <w:gridCol w:w="233"/>
        <w:gridCol w:w="204"/>
        <w:gridCol w:w="204"/>
        <w:gridCol w:w="206"/>
        <w:gridCol w:w="309"/>
        <w:gridCol w:w="309"/>
        <w:gridCol w:w="298"/>
        <w:gridCol w:w="117"/>
        <w:gridCol w:w="117"/>
        <w:gridCol w:w="118"/>
        <w:gridCol w:w="399"/>
        <w:gridCol w:w="399"/>
        <w:gridCol w:w="401"/>
        <w:gridCol w:w="230"/>
        <w:gridCol w:w="230"/>
        <w:gridCol w:w="231"/>
        <w:gridCol w:w="199"/>
        <w:gridCol w:w="199"/>
        <w:gridCol w:w="203"/>
        <w:gridCol w:w="303"/>
        <w:gridCol w:w="303"/>
        <w:gridCol w:w="310"/>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 and Principal Position</w:t>
            </w:r>
          </w:p>
        </w:tc>
        <w:tc>
          <w:tcPr>
            <w:tcW w:w="46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Year</w:t>
            </w:r>
          </w:p>
        </w:tc>
        <w:tc>
          <w:tcPr>
            <w:tcW w:w="69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Salary </w:t>
              <w:br/>
              <w:t>($)</w:t>
            </w:r>
          </w:p>
        </w:tc>
        <w:tc>
          <w:tcPr>
            <w:tcW w:w="6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Bonus </w:t>
              <w:br/>
              <w:t>($)</w:t>
            </w:r>
          </w:p>
        </w:tc>
        <w:tc>
          <w:tcPr>
            <w:tcW w:w="1268"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76" w:before="0" w:after="0"/>
              <w:jc w:val="center"/>
              <w:rPr/>
            </w:pPr>
            <w:r>
              <w:rPr>
                <w:rFonts w:ascii="Arial;sans-serif" w:hAnsi="Arial;sans-serif"/>
                <w:b/>
                <w:color w:val="FFFFFF"/>
                <w:sz w:val="16"/>
              </w:rPr>
              <w:t>($)</w:t>
            </w:r>
            <w:r>
              <w:rPr>
                <w:rFonts w:ascii="Arial;sans-serif" w:hAnsi="Arial;sans-serif"/>
                <w:b/>
                <w:color w:val="FFFFFF"/>
                <w:sz w:val="10"/>
              </w:rPr>
              <w:t>(1)</w:t>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Non-equity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Incentive Plan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Compensation </w:t>
            </w:r>
          </w:p>
          <w:p>
            <w:pPr>
              <w:pStyle w:val="TableContents"/>
              <w:bidi w:val="0"/>
              <w:spacing w:lineRule="auto" w:line="276" w:before="0" w:after="0"/>
              <w:jc w:val="center"/>
              <w:rPr/>
            </w:pPr>
            <w:r>
              <w:rPr>
                <w:rFonts w:ascii="Arial;sans-serif" w:hAnsi="Arial;sans-serif"/>
                <w:b/>
                <w:color w:val="FFFFFF"/>
                <w:sz w:val="16"/>
              </w:rPr>
              <w:t>($)</w:t>
            </w:r>
            <w:r>
              <w:rPr>
                <w:rFonts w:ascii="Arial;sans-serif" w:hAnsi="Arial;sans-serif"/>
                <w:b/>
                <w:color w:val="FFFFFF"/>
                <w:sz w:val="10"/>
              </w:rPr>
              <w:t>(2)</w:t>
            </w:r>
          </w:p>
        </w:tc>
        <w:tc>
          <w:tcPr>
            <w:tcW w:w="1292"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All Other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Compensation </w:t>
            </w:r>
          </w:p>
          <w:p>
            <w:pPr>
              <w:pStyle w:val="TableContents"/>
              <w:bidi w:val="0"/>
              <w:spacing w:lineRule="auto" w:line="276" w:before="0" w:after="0"/>
              <w:jc w:val="center"/>
              <w:rPr/>
            </w:pPr>
            <w:r>
              <w:rPr>
                <w:rFonts w:ascii="Arial;sans-serif" w:hAnsi="Arial;sans-serif"/>
                <w:b/>
                <w:color w:val="FFFFFF"/>
                <w:sz w:val="16"/>
              </w:rPr>
              <w:t>($)</w:t>
            </w:r>
            <w:r>
              <w:rPr>
                <w:rFonts w:ascii="Arial;sans-serif" w:hAnsi="Arial;sans-serif"/>
                <w:b/>
                <w:color w:val="FFFFFF"/>
                <w:sz w:val="10"/>
              </w:rPr>
              <w:t>(3)</w:t>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Total </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restart"/>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Andrew W. Houston</w:t>
            </w:r>
          </w:p>
          <w:p>
            <w:pPr>
              <w:pStyle w:val="TableContents"/>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 xml:space="preserve">Chief Executive Officer </w:t>
            </w:r>
          </w:p>
          <w:p>
            <w:pPr>
              <w:pStyle w:val="TableContents"/>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and Co-Founder</w:t>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756,250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52"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551,480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398,775</w:t>
            </w:r>
          </w:p>
        </w:tc>
        <w:tc>
          <w:tcPr>
            <w:tcW w:w="60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(4)</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1,706,505</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2F2F2"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625,000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52"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485,000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429,577</w:t>
            </w:r>
          </w:p>
        </w:tc>
        <w:tc>
          <w:tcPr>
            <w:tcW w:w="60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(4)</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1,539,577</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2F2F2"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625,000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52"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21,000</w:t>
            </w:r>
          </w:p>
        </w:tc>
        <w:tc>
          <w:tcPr>
            <w:tcW w:w="60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(4)</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1,146,000</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restart"/>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 xml:space="preserve">Timothy Regan </w:t>
            </w:r>
          </w:p>
          <w:p>
            <w:pPr>
              <w:pStyle w:val="TableContents"/>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Chief Financial Officer</w:t>
            </w:r>
          </w:p>
        </w:tc>
        <w:tc>
          <w:tcPr>
            <w:tcW w:w="46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560,000</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5,034,474</w:t>
            </w:r>
          </w:p>
        </w:tc>
        <w:tc>
          <w:tcPr>
            <w:tcW w:w="352" w:type="dxa"/>
            <w:gridSpan w:val="3"/>
            <w:tcBorders>
              <w:top w:val="single" w:sz="12" w:space="0" w:color="FFFFFF"/>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623,000</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6,223,474</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560,000</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4,761,200</w:t>
            </w:r>
          </w:p>
        </w:tc>
        <w:tc>
          <w:tcPr>
            <w:tcW w:w="352" w:type="dxa"/>
            <w:gridSpan w:val="3"/>
            <w:tcBorders>
              <w:top w:val="single" w:sz="12" w:space="0" w:color="FFFFFF"/>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348,000</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5,675,200</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518,333</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4,692,710</w:t>
            </w:r>
          </w:p>
        </w:tc>
        <w:tc>
          <w:tcPr>
            <w:tcW w:w="352" w:type="dxa"/>
            <w:gridSpan w:val="3"/>
            <w:tcBorders>
              <w:top w:val="single" w:sz="12" w:space="0" w:color="FFFFFF"/>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270,000</w:t>
            </w:r>
          </w:p>
        </w:tc>
        <w:tc>
          <w:tcPr>
            <w:tcW w:w="691"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5,487,043</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restart"/>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Bart E. Volkmer</w:t>
            </w:r>
          </w:p>
          <w:p>
            <w:pPr>
              <w:pStyle w:val="TableContents"/>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Chief Legal Officer</w:t>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520,000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3,524,132</w:t>
            </w:r>
          </w:p>
        </w:tc>
        <w:tc>
          <w:tcPr>
            <w:tcW w:w="352"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284,000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4,334,132</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2F2F2"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508,570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3,438,639</w:t>
            </w:r>
          </w:p>
        </w:tc>
        <w:tc>
          <w:tcPr>
            <w:tcW w:w="352"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287,000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4,240,209</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2F2F2"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475,000</w:t>
            </w:r>
          </w:p>
        </w:tc>
        <w:tc>
          <w:tcPr>
            <w:tcW w:w="6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3,128,474</w:t>
            </w:r>
          </w:p>
        </w:tc>
        <w:tc>
          <w:tcPr>
            <w:tcW w:w="352"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0"/>
              </w:rPr>
            </w:pPr>
            <w:r>
              <w:rPr>
                <w:rFonts w:ascii="Arial;sans-serif" w:hAnsi="Arial;sans-serif"/>
                <w:b w:val="false"/>
                <w:color w:val="000000"/>
                <w:sz w:val="10"/>
              </w:rPr>
              <w:t>(1)</w:t>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245,000</w:t>
            </w:r>
          </w:p>
        </w:tc>
        <w:tc>
          <w:tcPr>
            <w:tcW w:w="69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3,854,474</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restart"/>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Eric Cox</w:t>
            </w:r>
          </w:p>
          <w:p>
            <w:pPr>
              <w:pStyle w:val="TableContents"/>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Chief Commercial Officer</w:t>
            </w:r>
          </w:p>
        </w:tc>
        <w:tc>
          <w:tcPr>
            <w:tcW w:w="46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500,000</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11,139,991</w:t>
            </w:r>
          </w:p>
        </w:tc>
        <w:tc>
          <w:tcPr>
            <w:tcW w:w="352"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365,000</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601"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40"/>
              <w:jc w:val="center"/>
              <w:rPr/>
            </w:pPr>
            <w:r>
              <w:rPr/>
            </w:r>
          </w:p>
        </w:tc>
        <w:tc>
          <w:tcPr>
            <w:tcW w:w="916"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12,010,991</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FFFFF"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20,833</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52"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40"/>
              <w:jc w:val="center"/>
              <w:rPr/>
            </w:pPr>
            <w:r>
              <w:rPr/>
            </w:r>
          </w:p>
        </w:tc>
        <w:tc>
          <w:tcPr>
            <w:tcW w:w="91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20,833</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vMerge w:val="continue"/>
            <w:tcBorders>
              <w:top w:val="single" w:sz="12" w:space="0" w:color="FFFFFF"/>
              <w:left w:val="single" w:sz="12" w:space="0" w:color="FFFFFF"/>
            </w:tcBorders>
            <w:shd w:fill="FFFFFF" w:val="clear"/>
            <w:tcMar>
              <w:top w:w="30" w:type="dxa"/>
              <w:bottom w:w="0" w:type="dxa"/>
              <w:right w:w="0" w:type="dxa"/>
            </w:tcMar>
            <w:vAlign w:val="center"/>
          </w:tcPr>
          <w:p>
            <w:pPr>
              <w:pStyle w:val="Normal"/>
              <w:bidi w:val="0"/>
              <w:jc w:val="left"/>
              <w:rPr/>
            </w:pPr>
            <w:r>
              <w:rPr/>
            </w:r>
          </w:p>
        </w:tc>
        <w:tc>
          <w:tcPr>
            <w:tcW w:w="46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52"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1" w:type="dxa"/>
            <w:gridSpan w:val="3"/>
            <w:tcBorders>
              <w:top w:val="single" w:sz="12" w:space="0" w:color="FFFFFF"/>
            </w:tcBorders>
            <w:shd w:fill="FFFFFF" w:val="clear"/>
            <w:tcMar>
              <w:left w:w="0" w:type="dxa"/>
              <w:bottom w:w="0" w:type="dxa"/>
              <w:right w:w="0" w:type="dxa"/>
            </w:tcMar>
            <w:vAlign w:val="center"/>
          </w:tcPr>
          <w:p>
            <w:pPr>
              <w:pStyle w:val="TableContents"/>
              <w:bidi w:val="0"/>
              <w:spacing w:before="0" w:after="40"/>
              <w:jc w:val="center"/>
              <w:rPr/>
            </w:pPr>
            <w:r>
              <w:rPr/>
            </w:r>
          </w:p>
        </w:tc>
        <w:tc>
          <w:tcPr>
            <w:tcW w:w="916"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The amounts reported represent the amounts payable under our cash bonus plans for 2022, 2023, and 2024, respectively. See “</w:t>
      </w:r>
      <w:r>
        <w:rPr>
          <w:rFonts w:ascii="Arial;sans-serif" w:hAnsi="Arial;sans-serif"/>
          <w:b w:val="false"/>
          <w:i/>
          <w:color w:val="000000"/>
          <w:sz w:val="16"/>
        </w:rPr>
        <w:t>Compensation Elements—Annual Cash Bonuses</w:t>
      </w:r>
      <w:r>
        <w:rPr>
          <w:color w:val="000000"/>
        </w:rPr>
        <w:t xml:space="preserve">” </w:t>
      </w:r>
      <w:r>
        <w:rPr>
          <w:rFonts w:ascii="Arial;sans-serif" w:hAnsi="Arial;sans-serif"/>
          <w:b w:val="false"/>
          <w:color w:val="000000"/>
          <w:sz w:val="16"/>
        </w:rPr>
        <w:t>above.</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Unless otherwise noted, the amount reported reflects matching 401(k) contributions in 2022, 2023 and 2024.</w:t>
      </w:r>
    </w:p>
    <w:p>
      <w:pPr>
        <w:pStyle w:val="TextBody"/>
        <w:bidi w:val="0"/>
        <w:spacing w:lineRule="auto" w:line="268" w:before="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Includes expenses related to security programs and related costs.</w:t>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36575"/>
                <wp:effectExtent l="0" t="0" r="0" b="0"/>
                <wp:wrapNone/>
                <wp:docPr id="97" name="Frame5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2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Grants of Plan-Based Awards in 2024 </w:t>
      </w:r>
    </w:p>
    <w:p>
      <w:pPr>
        <w:pStyle w:val="TextBody"/>
        <w:bidi w:val="0"/>
        <w:spacing w:lineRule="auto" w:line="276" w:before="20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shows all plan-based awards granted to our named executive officers during fiscal 2024.</w:t>
      </w:r>
    </w:p>
    <w:tbl>
      <w:tblPr>
        <w:tblW w:w="9003" w:type="dxa"/>
        <w:jc w:val="left"/>
        <w:tblInd w:w="0" w:type="dxa"/>
        <w:tblLayout w:type="fixed"/>
        <w:tblCellMar>
          <w:top w:w="28" w:type="dxa"/>
          <w:left w:w="28" w:type="dxa"/>
          <w:bottom w:w="28" w:type="dxa"/>
          <w:right w:w="28" w:type="dxa"/>
        </w:tblCellMar>
      </w:tblPr>
      <w:tblGrid>
        <w:gridCol w:w="631"/>
        <w:gridCol w:w="551"/>
        <w:gridCol w:w="558"/>
        <w:gridCol w:w="319"/>
        <w:gridCol w:w="319"/>
        <w:gridCol w:w="321"/>
        <w:gridCol w:w="409"/>
        <w:gridCol w:w="409"/>
        <w:gridCol w:w="411"/>
        <w:gridCol w:w="305"/>
        <w:gridCol w:w="305"/>
        <w:gridCol w:w="306"/>
        <w:gridCol w:w="301"/>
        <w:gridCol w:w="301"/>
        <w:gridCol w:w="301"/>
        <w:gridCol w:w="321"/>
        <w:gridCol w:w="321"/>
        <w:gridCol w:w="320"/>
        <w:gridCol w:w="329"/>
        <w:gridCol w:w="329"/>
        <w:gridCol w:w="331"/>
        <w:gridCol w:w="382"/>
        <w:gridCol w:w="382"/>
        <w:gridCol w:w="541"/>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Approval Date</w:t>
            </w:r>
          </w:p>
        </w:tc>
        <w:tc>
          <w:tcPr>
            <w:tcW w:w="2781" w:type="dxa"/>
            <w:gridSpan w:val="9"/>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Estimated Future Payouts Under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Non-Equity Incentive </w:t>
            </w:r>
          </w:p>
          <w:p>
            <w:pPr>
              <w:pStyle w:val="TableContents"/>
              <w:bidi w:val="0"/>
              <w:spacing w:lineRule="auto" w:line="276" w:before="0" w:after="0"/>
              <w:jc w:val="center"/>
              <w:rPr/>
            </w:pPr>
            <w:r>
              <w:rPr>
                <w:rFonts w:ascii="Arial;sans-serif" w:hAnsi="Arial;sans-serif"/>
                <w:b/>
                <w:color w:val="FFFFFF"/>
                <w:sz w:val="16"/>
              </w:rPr>
              <w:t>Plan Awards ($)</w:t>
            </w:r>
            <w:r>
              <w:rPr>
                <w:rFonts w:ascii="Arial;sans-serif" w:hAnsi="Arial;sans-serif"/>
                <w:b/>
                <w:color w:val="FFFFFF"/>
                <w:sz w:val="10"/>
              </w:rPr>
              <w:t>(1)</w:t>
            </w:r>
          </w:p>
        </w:tc>
        <w:tc>
          <w:tcPr>
            <w:tcW w:w="989" w:type="dxa"/>
            <w:gridSpan w:val="3"/>
            <w:vMerge w:val="restart"/>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All Other </w:t>
              <w:br/>
              <w:t xml:space="preserve">Stock </w:t>
              <w:br/>
              <w:t xml:space="preserve">Awards: </w:t>
              <w:br/>
              <w:t xml:space="preserve">Number of </w:t>
              <w:br/>
              <w:t>Shares (#)</w:t>
            </w:r>
          </w:p>
        </w:tc>
        <w:tc>
          <w:tcPr>
            <w:tcW w:w="1305"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Grant Date </w:t>
            </w:r>
          </w:p>
          <w:p>
            <w:pPr>
              <w:pStyle w:val="TableContents"/>
              <w:bidi w:val="0"/>
              <w:spacing w:lineRule="auto" w:line="276" w:before="0" w:after="0"/>
              <w:jc w:val="center"/>
              <w:rPr/>
            </w:pPr>
            <w:r>
              <w:rPr>
                <w:rFonts w:ascii="Arial;sans-serif" w:hAnsi="Arial;sans-serif"/>
                <w:b/>
                <w:color w:val="FFFFFF"/>
                <w:sz w:val="16"/>
              </w:rPr>
              <w:t>Fair Value ($)</w:t>
            </w:r>
            <w:r>
              <w:rPr>
                <w:rFonts w:ascii="Arial;sans-serif" w:hAnsi="Arial;sans-serif"/>
                <w:b/>
                <w:color w:val="FFFFFF"/>
                <w:sz w:val="10"/>
              </w:rPr>
              <w:t>(2)</w:t>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959" w:type="dxa"/>
            <w:gridSpan w:val="3"/>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Grant Date</w:t>
            </w:r>
          </w:p>
        </w:tc>
        <w:tc>
          <w:tcPr>
            <w:tcW w:w="1229"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916"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Threshold</w:t>
            </w:r>
          </w:p>
        </w:tc>
        <w:tc>
          <w:tcPr>
            <w:tcW w:w="903"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Target</w:t>
            </w:r>
          </w:p>
        </w:tc>
        <w:tc>
          <w:tcPr>
            <w:tcW w:w="962" w:type="dxa"/>
            <w:gridSpan w:val="3"/>
            <w:tcBorders>
              <w:top w:val="single" w:sz="12" w:space="0" w:color="FFFFFF"/>
              <w:left w:val="single" w:sz="12" w:space="0" w:color="FFFFFF"/>
              <w:right w:val="single" w:sz="12" w:space="0" w:color="FFFFFF"/>
            </w:tcBorders>
            <w:shd w:fill="0063A6" w:val="clear"/>
            <w:tcMar>
              <w:top w:w="3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Maximum</w:t>
            </w:r>
          </w:p>
        </w:tc>
        <w:tc>
          <w:tcPr>
            <w:tcW w:w="98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305"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9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283,683</w:t>
            </w:r>
          </w:p>
        </w:tc>
        <w:tc>
          <w:tcPr>
            <w:tcW w:w="90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756,489</w:t>
            </w:r>
          </w:p>
        </w:tc>
        <w:tc>
          <w:tcPr>
            <w:tcW w:w="96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1,418,417</w:t>
            </w:r>
          </w:p>
        </w:tc>
        <w:tc>
          <w:tcPr>
            <w:tcW w:w="9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9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2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178,500</w:t>
            </w:r>
          </w:p>
        </w:tc>
        <w:tc>
          <w:tcPr>
            <w:tcW w:w="903"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476,000</w:t>
            </w:r>
          </w:p>
        </w:tc>
        <w:tc>
          <w:tcPr>
            <w:tcW w:w="962"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892,500</w:t>
            </w:r>
          </w:p>
        </w:tc>
        <w:tc>
          <w:tcPr>
            <w:tcW w:w="98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4/1/2024</w:t>
            </w:r>
          </w:p>
        </w:tc>
        <w:tc>
          <w:tcPr>
            <w:tcW w:w="122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3/5/2024</w:t>
            </w:r>
          </w:p>
        </w:tc>
        <w:tc>
          <w:tcPr>
            <w:tcW w:w="916"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207,180</w:t>
            </w:r>
          </w:p>
        </w:tc>
        <w:tc>
          <w:tcPr>
            <w:tcW w:w="130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5,034,474</w:t>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9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146,250</w:t>
            </w:r>
          </w:p>
        </w:tc>
        <w:tc>
          <w:tcPr>
            <w:tcW w:w="90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390,000</w:t>
            </w:r>
          </w:p>
        </w:tc>
        <w:tc>
          <w:tcPr>
            <w:tcW w:w="96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731,250</w:t>
            </w:r>
          </w:p>
        </w:tc>
        <w:tc>
          <w:tcPr>
            <w:tcW w:w="9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4/1/2024</w:t>
            </w:r>
          </w:p>
        </w:tc>
        <w:tc>
          <w:tcPr>
            <w:tcW w:w="122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3/5/2024</w:t>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145,026</w:t>
            </w:r>
          </w:p>
        </w:tc>
        <w:tc>
          <w:tcPr>
            <w:tcW w:w="1305"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3,524,132</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9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1/1/2024</w:t>
            </w:r>
          </w:p>
        </w:tc>
        <w:tc>
          <w:tcPr>
            <w:tcW w:w="12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12/12/2023</w:t>
            </w:r>
          </w:p>
        </w:tc>
        <w:tc>
          <w:tcPr>
            <w:tcW w:w="91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187,500</w:t>
            </w:r>
          </w:p>
        </w:tc>
        <w:tc>
          <w:tcPr>
            <w:tcW w:w="90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96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937,500</w:t>
            </w:r>
          </w:p>
        </w:tc>
        <w:tc>
          <w:tcPr>
            <w:tcW w:w="98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377,883</w:t>
            </w:r>
          </w:p>
        </w:tc>
        <w:tc>
          <w:tcPr>
            <w:tcW w:w="1305"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11,139,991</w:t>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Each of these grants were made pursuant to our 2024 Cash Bonus Plan, as described in greater detail under “</w:t>
      </w:r>
      <w:r>
        <w:rPr>
          <w:rFonts w:ascii="Arial;sans-serif" w:hAnsi="Arial;sans-serif"/>
          <w:b w:val="false"/>
          <w:i/>
          <w:color w:val="000000"/>
          <w:sz w:val="16"/>
        </w:rPr>
        <w:t>Compensation Elements – Annual Cash Bonuses</w:t>
      </w:r>
      <w:r>
        <w:rPr>
          <w:color w:val="000000"/>
        </w:rPr>
        <w:t xml:space="preserve">” </w:t>
      </w:r>
      <w:r>
        <w:rPr>
          <w:rFonts w:ascii="Arial;sans-serif" w:hAnsi="Arial;sans-serif"/>
          <w:b w:val="false"/>
          <w:color w:val="000000"/>
          <w:sz w:val="16"/>
        </w:rPr>
        <w:t>above.</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36575"/>
                <wp:effectExtent l="0" t="0" r="0" b="0"/>
                <wp:wrapNone/>
                <wp:docPr id="98" name="Frame5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2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Outstanding Equity Awards at 2024 Year-End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sets forth information regarding outstanding equity awards held by our named executive officers as of December 31, 2024.</w:t>
      </w:r>
    </w:p>
    <w:tbl>
      <w:tblPr>
        <w:tblW w:w="10205" w:type="dxa"/>
        <w:jc w:val="left"/>
        <w:tblInd w:w="0" w:type="dxa"/>
        <w:tblLayout w:type="fixed"/>
        <w:tblCellMar>
          <w:top w:w="28" w:type="dxa"/>
          <w:left w:w="28" w:type="dxa"/>
          <w:bottom w:w="28" w:type="dxa"/>
          <w:right w:w="28" w:type="dxa"/>
        </w:tblCellMar>
      </w:tblPr>
      <w:tblGrid>
        <w:gridCol w:w="613"/>
        <w:gridCol w:w="535"/>
        <w:gridCol w:w="542"/>
        <w:gridCol w:w="322"/>
        <w:gridCol w:w="321"/>
        <w:gridCol w:w="323"/>
        <w:gridCol w:w="373"/>
        <w:gridCol w:w="373"/>
        <w:gridCol w:w="375"/>
        <w:gridCol w:w="400"/>
        <w:gridCol w:w="400"/>
        <w:gridCol w:w="416"/>
        <w:gridCol w:w="268"/>
        <w:gridCol w:w="268"/>
        <w:gridCol w:w="270"/>
        <w:gridCol w:w="318"/>
        <w:gridCol w:w="318"/>
        <w:gridCol w:w="320"/>
        <w:gridCol w:w="413"/>
        <w:gridCol w:w="413"/>
        <w:gridCol w:w="309"/>
        <w:gridCol w:w="201"/>
        <w:gridCol w:w="201"/>
        <w:gridCol w:w="201"/>
        <w:gridCol w:w="593"/>
        <w:gridCol w:w="593"/>
        <w:gridCol w:w="526"/>
      </w:tblGrid>
      <w:tr>
        <w:trPr/>
        <w:tc>
          <w:tcPr>
            <w:tcW w:w="61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right w:val="single" w:sz="12" w:space="0" w:color="FFFFFF"/>
            </w:tcBorders>
            <w:shd w:fill="0063A6" w:val="clear"/>
            <w:tcMar>
              <w:top w:w="0" w:type="dxa"/>
              <w:left w:w="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 xml:space="preserve">Name </w:t>
            </w:r>
          </w:p>
        </w:tc>
        <w:tc>
          <w:tcPr>
            <w:tcW w:w="966"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 xml:space="preserve">Grant date </w:t>
            </w:r>
          </w:p>
        </w:tc>
        <w:tc>
          <w:tcPr>
            <w:tcW w:w="2337"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 xml:space="preserve">Option awards </w:t>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 xml:space="preserve">Stock Awards </w:t>
            </w:r>
          </w:p>
        </w:tc>
      </w:tr>
      <w:tr>
        <w:trPr/>
        <w:tc>
          <w:tcPr>
            <w:tcW w:w="1690" w:type="dxa"/>
            <w:gridSpan w:val="3"/>
            <w:vMerge w:val="continue"/>
            <w:tcBorders>
              <w:right w:val="single" w:sz="12" w:space="0" w:color="FFFFFF"/>
            </w:tcBorders>
            <w:shd w:fill="0063A6" w:val="clear"/>
            <w:tcMar>
              <w:top w:w="0" w:type="dxa"/>
              <w:left w:w="0" w:type="dxa"/>
              <w:bottom w:w="0" w:type="dxa"/>
            </w:tcMar>
            <w:vAlign w:val="center"/>
          </w:tcPr>
          <w:p>
            <w:pPr>
              <w:pStyle w:val="Normal"/>
              <w:bidi w:val="0"/>
              <w:jc w:val="left"/>
              <w:rPr/>
            </w:pPr>
            <w:r>
              <w:rPr/>
            </w:r>
          </w:p>
        </w:tc>
        <w:tc>
          <w:tcPr>
            <w:tcW w:w="96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112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right w:val="single" w:sz="12" w:space="0" w:color="FFFFFF"/>
            </w:tcBorders>
            <w:shd w:fill="0063A6" w:val="clear"/>
            <w:tcMar>
              <w:top w:w="0" w:type="dxa"/>
              <w:left w:w="0" w:type="dxa"/>
              <w:bottom w:w="0" w:type="dxa"/>
            </w:tcMar>
            <w:vAlign w:val="center"/>
          </w:tcPr>
          <w:p>
            <w:pPr>
              <w:pStyle w:val="Normal"/>
              <w:bidi w:val="0"/>
              <w:jc w:val="left"/>
              <w:rPr/>
            </w:pPr>
            <w:r>
              <w:rPr/>
            </w:r>
          </w:p>
        </w:tc>
        <w:tc>
          <w:tcPr>
            <w:tcW w:w="96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1121"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12" w:space="0" w:color="FFFFFF"/>
            </w:tcBorders>
            <w:shd w:fill="0063A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right w:val="single" w:sz="12" w:space="0" w:color="FFFFFF"/>
            </w:tcBorders>
            <w:shd w:fill="0063A6" w:val="clear"/>
            <w:tcMar>
              <w:top w:w="0" w:type="dxa"/>
              <w:left w:w="0" w:type="dxa"/>
              <w:bottom w:w="0" w:type="dxa"/>
            </w:tcMar>
            <w:vAlign w:val="center"/>
          </w:tcPr>
          <w:p>
            <w:pPr>
              <w:pStyle w:val="Normal"/>
              <w:bidi w:val="0"/>
              <w:jc w:val="left"/>
              <w:rPr/>
            </w:pPr>
            <w:r>
              <w:rPr/>
            </w:r>
          </w:p>
        </w:tc>
        <w:tc>
          <w:tcPr>
            <w:tcW w:w="96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112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w:t>
              <w:br/>
              <w:t xml:space="preserve">Securities </w:t>
              <w:br/>
              <w:t xml:space="preserve">Underlying </w:t>
              <w:br/>
              <w:t xml:space="preserve">Unexercised </w:t>
              <w:br/>
              <w:t xml:space="preserve">Options </w:t>
              <w:br/>
              <w:t>Exercisable</w:t>
            </w:r>
          </w:p>
        </w:tc>
        <w:tc>
          <w:tcPr>
            <w:tcW w:w="121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w:t>
              <w:br/>
              <w:t xml:space="preserve">Securities </w:t>
              <w:br/>
              <w:t xml:space="preserve">Underlying </w:t>
              <w:br/>
              <w:t xml:space="preserve">Unexercised </w:t>
              <w:br/>
              <w:t xml:space="preserve">Options </w:t>
              <w:br/>
              <w:t>Unexercisable</w:t>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Option </w:t>
              <w:br/>
              <w:t xml:space="preserve">Exercise </w:t>
              <w:br/>
              <w:t>Price ($)</w:t>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Option </w:t>
              <w:br/>
              <w:t xml:space="preserve">Expiration </w:t>
              <w:br/>
              <w:t>Date</w:t>
            </w:r>
          </w:p>
        </w:tc>
        <w:tc>
          <w:tcPr>
            <w:tcW w:w="1738"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w:t>
              <w:br/>
              <w:t xml:space="preserve">shares or </w:t>
              <w:br/>
              <w:t xml:space="preserve">units of stock </w:t>
              <w:br/>
              <w:t xml:space="preserve">that have not </w:t>
              <w:br/>
              <w:t>vested</w:t>
            </w:r>
          </w:p>
        </w:tc>
        <w:tc>
          <w:tcPr>
            <w:tcW w:w="1712"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Market value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of shares or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units of stock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that have not </w:t>
            </w:r>
          </w:p>
          <w:p>
            <w:pPr>
              <w:pStyle w:val="TableContents"/>
              <w:bidi w:val="0"/>
              <w:spacing w:lineRule="auto" w:line="276" w:before="0" w:after="0"/>
              <w:jc w:val="center"/>
              <w:rPr/>
            </w:pPr>
            <w:r>
              <w:rPr>
                <w:rFonts w:ascii="Arial;sans-serif" w:hAnsi="Arial;sans-serif"/>
                <w:b/>
                <w:color w:val="FFFFFF"/>
                <w:sz w:val="16"/>
              </w:rPr>
              <w:t>vested ($)</w:t>
            </w:r>
            <w:r>
              <w:rPr>
                <w:rFonts w:ascii="Arial;sans-serif" w:hAnsi="Arial;sans-serif"/>
                <w:b/>
                <w:color w:val="FFFFFF"/>
                <w:sz w:val="10"/>
              </w:rPr>
              <w:t>(1)</w:t>
            </w:r>
          </w:p>
        </w:tc>
      </w:tr>
      <w:tr>
        <w:trPr/>
        <w:tc>
          <w:tcPr>
            <w:tcW w:w="169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96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shd w:fill="F2F2F2" w:val="clear"/>
              </w:rPr>
              <w:t>12/12/17</w:t>
            </w:r>
            <w:r>
              <w:rPr>
                <w:rFonts w:ascii="Arial;sans-serif" w:hAnsi="Arial;sans-serif"/>
                <w:b w:val="false"/>
                <w:color w:val="000000"/>
                <w:sz w:val="12"/>
                <w:shd w:fill="F2F2F2" w:val="clear"/>
              </w:rPr>
              <w:t>(2)</w:t>
            </w:r>
          </w:p>
        </w:tc>
        <w:tc>
          <w:tcPr>
            <w:tcW w:w="1121"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8,266,666</w:t>
            </w:r>
          </w:p>
        </w:tc>
        <w:tc>
          <w:tcPr>
            <w:tcW w:w="603" w:type="dxa"/>
            <w:gridSpan w:val="3"/>
            <w:tcBorders>
              <w:top w:val="single" w:sz="12" w:space="0" w:color="FFFFFF"/>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248,330,647 </w:t>
            </w:r>
          </w:p>
        </w:tc>
        <w:tc>
          <w:tcPr>
            <w:tcW w:w="526" w:type="dxa"/>
            <w:tcBorders>
              <w:top w:val="single" w:sz="12"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966" w:type="dxa"/>
            <w:gridSpan w:val="3"/>
            <w:tcBorders>
              <w:left w:val="single" w:sz="12" w:space="0" w:color="FFFFFF"/>
            </w:tcBorders>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rPr>
              <w:t>4/1/2021</w:t>
            </w:r>
            <w:r>
              <w:rPr>
                <w:rFonts w:ascii="Arial;sans-serif" w:hAnsi="Arial;sans-serif"/>
                <w:b w:val="false"/>
                <w:color w:val="000000"/>
                <w:sz w:val="12"/>
                <w:shd w:fill="FFFFFF" w:val="clear"/>
              </w:rPr>
              <w:t>(3)</w:t>
            </w:r>
          </w:p>
        </w:tc>
        <w:tc>
          <w:tcPr>
            <w:tcW w:w="112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10,950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328,938 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rPr>
              <w:t>4/1/2022</w:t>
            </w:r>
            <w:r>
              <w:rPr>
                <w:rFonts w:ascii="Arial;sans-serif" w:hAnsi="Arial;sans-serif"/>
                <w:b w:val="false"/>
                <w:color w:val="000000"/>
                <w:sz w:val="12"/>
                <w:shd w:fill="FFFFFF" w:val="clear"/>
              </w:rPr>
              <w:t>(3)</w:t>
            </w:r>
          </w:p>
        </w:tc>
        <w:tc>
          <w:tcPr>
            <w:tcW w:w="112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63,074</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1,894,743 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rPr>
              <w:t>4/1/2023</w:t>
            </w:r>
            <w:r>
              <w:rPr>
                <w:rFonts w:ascii="Arial;sans-serif" w:hAnsi="Arial;sans-serif"/>
                <w:b w:val="false"/>
                <w:color w:val="000000"/>
                <w:sz w:val="12"/>
                <w:shd w:fill="FFFFFF" w:val="clear"/>
              </w:rPr>
              <w:t>(3)</w:t>
            </w:r>
          </w:p>
        </w:tc>
        <w:tc>
          <w:tcPr>
            <w:tcW w:w="112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123,875</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3,721,205 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shd w:fill="FFFFFF" w:val="clear"/>
              </w:rPr>
              <w:t>4/1/2024</w:t>
            </w:r>
            <w:r>
              <w:rPr>
                <w:rFonts w:ascii="Arial;sans-serif" w:hAnsi="Arial;sans-serif"/>
                <w:b w:val="false"/>
                <w:color w:val="000000"/>
                <w:sz w:val="12"/>
                <w:shd w:fill="FFFFFF" w:val="clear"/>
              </w:rPr>
              <w:t>(3)</w:t>
            </w:r>
          </w:p>
        </w:tc>
        <w:tc>
          <w:tcPr>
            <w:tcW w:w="112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168,334</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5,056,753 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96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shd w:fill="FFFFFF" w:val="clear"/>
              </w:rPr>
              <w:t>4/1/2021</w:t>
            </w:r>
            <w:r>
              <w:rPr>
                <w:rFonts w:ascii="Arial;sans-serif" w:hAnsi="Arial;sans-serif"/>
                <w:b w:val="false"/>
                <w:color w:val="000000"/>
                <w:sz w:val="12"/>
                <w:shd w:fill="FFFFFF" w:val="clear"/>
              </w:rPr>
              <w:t>(3)</w:t>
            </w:r>
          </w:p>
        </w:tc>
        <w:tc>
          <w:tcPr>
            <w:tcW w:w="112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7,300</w:t>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219,292 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83" w:after="83"/>
              <w:jc w:val="right"/>
              <w:rPr/>
            </w:pPr>
            <w:r>
              <w:rPr>
                <w:rFonts w:ascii="Arial;sans-serif" w:hAnsi="Arial;sans-serif"/>
                <w:b w:val="false"/>
                <w:color w:val="000000"/>
                <w:sz w:val="18"/>
                <w:shd w:fill="FFFFFF" w:val="clear"/>
              </w:rPr>
              <w:t>4/1/2022</w:t>
            </w:r>
            <w:r>
              <w:rPr>
                <w:rFonts w:ascii="Arial;sans-serif" w:hAnsi="Arial;sans-serif"/>
                <w:b w:val="false"/>
                <w:color w:val="000000"/>
                <w:sz w:val="12"/>
                <w:shd w:fill="FFFFFF" w:val="clear"/>
              </w:rPr>
              <w:t>(3)</w:t>
            </w:r>
          </w:p>
        </w:tc>
        <w:tc>
          <w:tcPr>
            <w:tcW w:w="112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42,049</w:t>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1,263,152 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83" w:after="60"/>
              <w:jc w:val="right"/>
              <w:rPr/>
            </w:pPr>
            <w:r>
              <w:rPr>
                <w:rFonts w:ascii="Arial;sans-serif" w:hAnsi="Arial;sans-serif"/>
                <w:b w:val="false"/>
                <w:color w:val="000000"/>
                <w:sz w:val="18"/>
                <w:shd w:fill="FFFFFF" w:val="clear"/>
              </w:rPr>
              <w:t>4/1/2023</w:t>
            </w:r>
            <w:r>
              <w:rPr>
                <w:rFonts w:ascii="Arial;sans-serif" w:hAnsi="Arial;sans-serif"/>
                <w:b w:val="false"/>
                <w:color w:val="000000"/>
                <w:sz w:val="12"/>
                <w:shd w:fill="FFFFFF" w:val="clear"/>
              </w:rPr>
              <w:t>(3)</w:t>
            </w:r>
          </w:p>
        </w:tc>
        <w:tc>
          <w:tcPr>
            <w:tcW w:w="112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89,465</w:t>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2,687,529 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6" w:before="83" w:after="60"/>
              <w:jc w:val="right"/>
              <w:rPr/>
            </w:pPr>
            <w:r>
              <w:rPr>
                <w:rFonts w:ascii="Arial;sans-serif" w:hAnsi="Arial;sans-serif"/>
                <w:b w:val="false"/>
                <w:color w:val="000000"/>
                <w:sz w:val="18"/>
              </w:rPr>
              <w:t>4/1/2024</w:t>
            </w:r>
            <w:r>
              <w:rPr>
                <w:rFonts w:ascii="Arial;sans-serif" w:hAnsi="Arial;sans-serif"/>
                <w:b w:val="false"/>
                <w:color w:val="000000"/>
                <w:sz w:val="12"/>
                <w:shd w:fill="FFFFFF" w:val="clear"/>
              </w:rPr>
              <w:t>(3)</w:t>
            </w:r>
          </w:p>
        </w:tc>
        <w:tc>
          <w:tcPr>
            <w:tcW w:w="112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3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117,834</w:t>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3,539,733 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Eric Cox</w:t>
            </w:r>
          </w:p>
        </w:tc>
        <w:tc>
          <w:tcPr>
            <w:tcW w:w="96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18"/>
              </w:rPr>
              <w:t>1/1/2024</w:t>
            </w:r>
            <w:r>
              <w:rPr>
                <w:rFonts w:ascii="Arial;sans-serif" w:hAnsi="Arial;sans-serif"/>
                <w:b w:val="false"/>
                <w:color w:val="000000"/>
                <w:sz w:val="12"/>
                <w:shd w:fill="FFFFFF" w:val="clear"/>
              </w:rPr>
              <w:t>(3)</w:t>
            </w:r>
          </w:p>
        </w:tc>
        <w:tc>
          <w:tcPr>
            <w:tcW w:w="1121"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1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95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26" w:type="dxa"/>
            <w:gridSpan w:val="2"/>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283,412 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8,513,696 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The closing price of our Class A common stock on December 31,2024, the last trading day of the year, was $30.04.</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sans-serif" w:hAnsi="Arial;sans-serif"/>
          <w:b w:val="false"/>
          <w:i/>
          <w:color w:val="000000"/>
          <w:sz w:val="16"/>
        </w:rPr>
        <w:t>Co-Founder Grant</w:t>
      </w:r>
      <w:r>
        <w:rPr>
          <w:color w:val="000000"/>
        </w:rPr>
        <w:t xml:space="preserve">” </w:t>
      </w:r>
      <w:r>
        <w:rPr>
          <w:rFonts w:ascii="Arial;sans-serif" w:hAnsi="Arial;sans-serif"/>
          <w:b w:val="false"/>
          <w:color w:val="000000"/>
          <w:sz w:val="16"/>
        </w:rPr>
        <w:t>below.</w:t>
      </w:r>
    </w:p>
    <w:p>
      <w:pPr>
        <w:pStyle w:val="TextBody"/>
        <w:bidi w:val="0"/>
        <w:spacing w:lineRule="auto" w:line="268"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1/16th of the total number of shares of our Class A common stock underlying the RSUs vests in equal quarterly installments on the Quarterly Vesting Dates, subject to continued service through each such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0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Co-Founder Grant </w:t>
      </w:r>
    </w:p>
    <w:p>
      <w:pPr>
        <w:pStyle w:val="TextBody"/>
        <w:bidi w:val="0"/>
        <w:spacing w:lineRule="auto" w:line="276" w:before="180" w:after="283"/>
        <w:jc w:val="left"/>
        <w:rPr/>
      </w:pPr>
      <w:r>
        <w:rPr>
          <w:rFonts w:ascii="Arial;sans-serif" w:hAnsi="Arial;sans-serif"/>
          <w:b w:val="false"/>
          <w:color w:val="000000"/>
          <w:sz w:val="18"/>
          <w:shd w:fill="FFFFFF" w:val="clear"/>
        </w:rPr>
        <w:t>In December 2017, our board of directors approved the Co-Founder Grant. The Co-Founder Grant has service-based, market-based, and performance-based vesting conditions as described above in “</w:t>
      </w:r>
      <w:r>
        <w:rPr>
          <w:rFonts w:ascii="Arial;sans-serif" w:hAnsi="Arial;sans-serif"/>
          <w:b w:val="false"/>
          <w:i/>
          <w:color w:val="000000"/>
          <w:sz w:val="18"/>
          <w:shd w:fill="FFFFFF" w:val="clear"/>
        </w:rPr>
        <w:t>Performance Achievement of Mr. Houston’s Co-Founder Grant</w:t>
      </w:r>
      <w:r>
        <w:rPr>
          <w:color w:val="000000"/>
          <w:shd w:fill="FFFFFF" w:val="clear"/>
        </w:rPr>
        <w:t>”</w:t>
      </w:r>
      <w:r>
        <w:rPr>
          <w:rFonts w:ascii="Arial;sans-serif" w:hAnsi="Arial;sans-serif"/>
          <w:b w:val="false"/>
          <w:color w:val="000000"/>
          <w:sz w:val="18"/>
          <w:shd w:fill="FFFFFF" w:val="clear"/>
        </w:rPr>
        <w: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Option Exercises and Stock Vested in 2024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table shows all stock awards vested, and value realized upon vesting, by our named executive officers during fiscal 2024. </w:t>
      </w:r>
    </w:p>
    <w:tbl>
      <w:tblPr>
        <w:tblW w:w="7706" w:type="dxa"/>
        <w:jc w:val="left"/>
        <w:tblInd w:w="0" w:type="dxa"/>
        <w:tblLayout w:type="fixed"/>
        <w:tblCellMar>
          <w:top w:w="28" w:type="dxa"/>
          <w:left w:w="28" w:type="dxa"/>
          <w:bottom w:w="28" w:type="dxa"/>
          <w:right w:w="28" w:type="dxa"/>
        </w:tblCellMar>
      </w:tblPr>
      <w:tblGrid>
        <w:gridCol w:w="631"/>
        <w:gridCol w:w="551"/>
        <w:gridCol w:w="558"/>
        <w:gridCol w:w="569"/>
        <w:gridCol w:w="569"/>
        <w:gridCol w:w="571"/>
        <w:gridCol w:w="513"/>
        <w:gridCol w:w="513"/>
        <w:gridCol w:w="533"/>
        <w:gridCol w:w="524"/>
        <w:gridCol w:w="524"/>
        <w:gridCol w:w="526"/>
        <w:gridCol w:w="328"/>
        <w:gridCol w:w="328"/>
        <w:gridCol w:w="468"/>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Option Awards</w:t>
            </w:r>
          </w:p>
        </w:tc>
        <w:tc>
          <w:tcPr>
            <w:tcW w:w="2698"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Stock Awards</w:t>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170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Option Awards – </w:t>
              <w:br/>
              <w:t xml:space="preserve">Shares Acquired on </w:t>
              <w:br/>
              <w:t>Exercise</w:t>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Option Awards –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Value Realized on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Exercise ($)</w:t>
            </w:r>
          </w:p>
        </w:tc>
        <w:tc>
          <w:tcPr>
            <w:tcW w:w="157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Shares </w:t>
              <w:br/>
              <w:t xml:space="preserve">Acquired on </w:t>
              <w:br/>
              <w:t>Vesting</w:t>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Value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Realized on </w:t>
            </w:r>
          </w:p>
          <w:p>
            <w:pPr>
              <w:pStyle w:val="TableContents"/>
              <w:bidi w:val="0"/>
              <w:spacing w:lineRule="auto" w:line="276" w:before="0" w:after="0"/>
              <w:jc w:val="center"/>
              <w:rPr/>
            </w:pPr>
            <w:r>
              <w:rPr>
                <w:rFonts w:ascii="Arial;sans-serif" w:hAnsi="Arial;sans-serif"/>
                <w:b/>
                <w:color w:val="FFFFFF"/>
                <w:sz w:val="16"/>
              </w:rPr>
              <w:t>Vesting ($)</w:t>
            </w:r>
            <w:r>
              <w:rPr>
                <w:rFonts w:ascii="Arial;sans-serif" w:hAnsi="Arial;sans-serif"/>
                <w:b/>
                <w:color w:val="FFFFFF"/>
                <w:sz w:val="10"/>
              </w:rPr>
              <w:t>(1)</w:t>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170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7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12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70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7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229,480</w:t>
            </w:r>
          </w:p>
        </w:tc>
        <w:tc>
          <w:tcPr>
            <w:tcW w:w="112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6,045,762</w:t>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170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7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138,160</w:t>
            </w:r>
          </w:p>
        </w:tc>
        <w:tc>
          <w:tcPr>
            <w:tcW w:w="112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3,676,543</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170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57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94,471</w:t>
            </w:r>
          </w:p>
        </w:tc>
        <w:tc>
          <w:tcPr>
            <w:tcW w:w="112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2,516,710</w:t>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The value realized upon vesting of RSAs or RSUs, as applicable, is calculated by multiplying the number of shares vested by the closing price for a share of our Class A common stock on the trading day immediately preceding the vest date. </w:t>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36575"/>
                <wp:effectExtent l="0" t="0" r="0" b="0"/>
                <wp:wrapNone/>
                <wp:docPr id="99" name="Frame6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pPr>
      <w:r>
        <w:rPr>
          <w:rFonts w:ascii="Arial;sans-serif" w:hAnsi="Arial;sans-serif"/>
          <w:b w:val="false"/>
          <w:color w:val="0063A6"/>
          <w:sz w:val="29"/>
          <w:shd w:fill="FFFFFF" w:val="clear"/>
        </w:rPr>
        <w:t>Potential Payments on Termination or Change in Control</w:t>
        <w:br/>
        <w:br/>
      </w:r>
      <w:r>
        <w:rPr>
          <w:rFonts w:ascii="Arial;sans-serif" w:hAnsi="Arial;sans-serif"/>
          <w:b/>
          <w:color w:val="0063A6"/>
          <w:sz w:val="18"/>
          <w:shd w:fill="FFFFFF" w:val="clear"/>
        </w:rPr>
        <w:t xml:space="preserve">Change in Control and Severance Agreements </w:t>
      </w:r>
    </w:p>
    <w:p>
      <w:pPr>
        <w:pStyle w:val="TextBody"/>
        <w:bidi w:val="0"/>
        <w:spacing w:lineRule="auto" w:line="276" w:before="120" w:after="283"/>
        <w:jc w:val="left"/>
        <w:rPr/>
      </w:pPr>
      <w:r>
        <w:rPr>
          <w:rFonts w:ascii="Arial;sans-serif" w:hAnsi="Arial;sans-serif"/>
          <w:b w:val="false"/>
          <w:color w:val="000000"/>
          <w:sz w:val="18"/>
          <w:shd w:fill="FFFFFF" w:val="clear"/>
        </w:rPr>
        <w:t xml:space="preserve">In order to recruit and maintain a stable and effective management team, the talent and compensation committee believes it is appropriate and necessary to provide assurance of </w:t>
      </w:r>
      <w:r>
        <w:rPr>
          <w:rFonts w:ascii="Arial;sans-serif" w:hAnsi="Arial;sans-serif"/>
          <w:b w:val="false"/>
          <w:color w:val="000000"/>
          <w:sz w:val="18"/>
        </w:rPr>
        <w:t xml:space="preserve">certain severance and change in control benefits approved by the talent and compensation committee, in consultation with Compensia. We entered into change in control and severance agreements with each of our named executive officers that provide for the severance and change in control benefits described below. </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Basic Severance</w:t>
      </w:r>
    </w:p>
    <w:p>
      <w:pPr>
        <w:pStyle w:val="TextBody"/>
        <w:bidi w:val="0"/>
        <w:spacing w:lineRule="auto" w:line="276"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a lump-sum payment equal to 50% of annual base salary as of immediately before their termination (or, if the termination is due to a resignation for good reason based on a material reduction in base salary, then as of immediately before such reduction);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 </w:t>
      </w:r>
    </w:p>
    <w:p>
      <w:pPr>
        <w:pStyle w:val="TextBody"/>
        <w:bidi w:val="0"/>
        <w:spacing w:lineRule="auto" w:line="276" w:before="18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the case of Mr. Cox, with respect to equity awards with performance-based vesting, as specified in the award agreements governing such equity awards; and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in the case of Mr. Regan</w:t>
      </w:r>
      <w:r>
        <w:rPr>
          <w:color w:val="000000"/>
        </w:rPr>
        <w:t xml:space="preserve"> </w:t>
      </w:r>
      <w:r>
        <w:rPr>
          <w:rFonts w:ascii="Arial;sans-serif" w:hAnsi="Arial;sans-serif"/>
          <w:b w:val="false"/>
          <w:color w:val="000000"/>
          <w:sz w:val="18"/>
        </w:rPr>
        <w:t xml:space="preserve">and Mr. Cox, </w:t>
      </w:r>
      <w:r>
        <w:rPr>
          <w:rFonts w:ascii="Arial;sans-serif" w:hAnsi="Arial;sans-serif"/>
          <w:b w:val="false"/>
          <w:color w:val="000000"/>
          <w:sz w:val="18"/>
          <w:shd w:fill="FFFFFF" w:val="clear"/>
        </w:rPr>
        <w:t xml:space="preserve">3 months’ accelerated vesting of the unvested portion of outstanding time-based equity awards.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Change in Control Severance</w:t>
      </w:r>
    </w:p>
    <w:p>
      <w:pPr>
        <w:pStyle w:val="TextBody"/>
        <w:bidi w:val="0"/>
        <w:spacing w:lineRule="auto" w:line="276" w:before="100" w:after="283"/>
        <w:jc w:val="left"/>
        <w:rPr/>
      </w:pPr>
      <w:r>
        <w:rPr>
          <w:rFonts w:ascii="Arial;sans-serif" w:hAnsi="Arial;sans-serif"/>
          <w:b w:val="false"/>
          <w:color w:val="000000"/>
          <w:sz w:val="18"/>
          <w:shd w:fill="FFFFFF" w:val="clear"/>
        </w:rPr>
        <w:t>If, within the three-month period prior to a change in control or during the 12-month period following a change in control (such period, the “</w:t>
      </w:r>
      <w:r>
        <w:rPr>
          <w:rFonts w:ascii="Arial;sans-serif" w:hAnsi="Arial;sans-serif"/>
          <w:b/>
          <w:i/>
          <w:color w:val="000000"/>
          <w:sz w:val="18"/>
          <w:shd w:fill="FFFFFF" w:val="clear"/>
        </w:rPr>
        <w:t>Change in Control Period</w:t>
      </w:r>
      <w:r>
        <w:rPr>
          <w:color w:val="000000"/>
          <w:shd w:fill="FFFFFF" w:val="clear"/>
        </w:rPr>
        <w:t>”</w:t>
      </w:r>
      <w:r>
        <w:rPr>
          <w:rFonts w:ascii="Arial;sans-serif" w:hAnsi="Arial;sans-serif"/>
          <w:b w:val="false"/>
          <w:color w:val="000000"/>
          <w:sz w:val="18"/>
          <w:shd w:fill="FFFFFF" w:val="clear"/>
        </w:rPr>
        <w:t>), a named executive officer’s employment is terminated by us other than for cause, death, or disability or they resign for “good reason” (as defined in their change in control and severance agreement), they will be entitled to the following benefits:</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a lump-sum payment equal to 100% of their target annual bonus (for the year of their termination);</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addition, if any of the payments or benefits provided for under a change in control and severance agreement or otherwise payable to a named executive officer would constitute “parachute payments” within the meaning of Section 280G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36575"/>
                <wp:effectExtent l="0" t="0" r="0" b="0"/>
                <wp:wrapNone/>
                <wp:docPr id="100" name="Frame6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Certain Equity Awards </w:t>
      </w:r>
    </w:p>
    <w:p>
      <w:pPr>
        <w:pStyle w:val="TextBody"/>
        <w:bidi w:val="0"/>
        <w:spacing w:lineRule="auto" w:line="276" w:before="17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Andrew Houston Co-Founder Grant </w:t>
      </w:r>
    </w:p>
    <w:p>
      <w:pPr>
        <w:pStyle w:val="TextBody"/>
        <w:bidi w:val="0"/>
        <w:spacing w:lineRule="auto" w:line="276" w:before="120" w:after="283"/>
        <w:jc w:val="left"/>
        <w:rPr/>
      </w:pPr>
      <w:r>
        <w:rPr>
          <w:rFonts w:ascii="Arial;sans-serif" w:hAnsi="Arial;sans-serif"/>
          <w:b w:val="false"/>
          <w:color w:val="000000"/>
          <w:sz w:val="18"/>
          <w:shd w:fill="FFFFFF" w:val="clear"/>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sans-serif" w:hAnsi="Arial;sans-serif"/>
          <w:b w:val="false"/>
          <w:i/>
          <w:color w:val="000000"/>
          <w:sz w:val="18"/>
          <w:shd w:fill="FFFFFF" w:val="clear"/>
        </w:rPr>
        <w:t>Co-Founder Grant</w:t>
      </w:r>
      <w:r>
        <w:rPr>
          <w:color w:val="000000"/>
          <w:shd w:fill="FFFFFF" w:val="clear"/>
        </w:rPr>
        <w:t xml:space="preserve">” </w:t>
      </w:r>
      <w:r>
        <w:rPr>
          <w:rFonts w:ascii="Arial;sans-serif" w:hAnsi="Arial;sans-serif"/>
          <w:b w:val="false"/>
          <w:color w:val="000000"/>
          <w:sz w:val="18"/>
          <w:shd w:fill="FFFFFF" w:val="clear"/>
        </w:rPr>
        <w:t>above.</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 xml:space="preserve">Amount of Payments Upon Termination at 2024 Year-End </w:t>
      </w:r>
    </w:p>
    <w:p>
      <w:pPr>
        <w:pStyle w:val="TextBody"/>
        <w:bidi w:val="0"/>
        <w:spacing w:lineRule="auto" w:line="276"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2024. </w:t>
      </w:r>
    </w:p>
    <w:tbl>
      <w:tblPr>
        <w:tblW w:w="7385" w:type="dxa"/>
        <w:jc w:val="left"/>
        <w:tblInd w:w="0" w:type="dxa"/>
        <w:tblLayout w:type="fixed"/>
        <w:tblCellMar>
          <w:top w:w="28" w:type="dxa"/>
          <w:left w:w="28" w:type="dxa"/>
          <w:bottom w:w="28" w:type="dxa"/>
          <w:right w:w="28" w:type="dxa"/>
        </w:tblCellMar>
      </w:tblPr>
      <w:tblGrid>
        <w:gridCol w:w="631"/>
        <w:gridCol w:w="551"/>
        <w:gridCol w:w="558"/>
        <w:gridCol w:w="364"/>
        <w:gridCol w:w="364"/>
        <w:gridCol w:w="366"/>
        <w:gridCol w:w="374"/>
        <w:gridCol w:w="374"/>
        <w:gridCol w:w="376"/>
        <w:gridCol w:w="434"/>
        <w:gridCol w:w="434"/>
        <w:gridCol w:w="436"/>
        <w:gridCol w:w="269"/>
        <w:gridCol w:w="269"/>
        <w:gridCol w:w="271"/>
        <w:gridCol w:w="488"/>
        <w:gridCol w:w="488"/>
        <w:gridCol w:w="338"/>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w:t>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Base Salary </w:t>
              <w:br/>
              <w:t xml:space="preserve">Component </w:t>
              <w:br/>
              <w:t>($)</w:t>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Cash Bonus </w:t>
              <w:br/>
              <w:t xml:space="preserve">Component </w:t>
              <w:br/>
              <w:t>($)</w:t>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Value of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Accelerated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Equity Awards </w:t>
            </w:r>
          </w:p>
          <w:p>
            <w:pPr>
              <w:pStyle w:val="TableContents"/>
              <w:bidi w:val="0"/>
              <w:spacing w:lineRule="auto" w:line="276" w:before="0" w:after="0"/>
              <w:jc w:val="center"/>
              <w:rPr/>
            </w:pPr>
            <w:r>
              <w:rPr>
                <w:rFonts w:ascii="Arial;sans-serif" w:hAnsi="Arial;sans-serif"/>
                <w:b/>
                <w:color w:val="FFFFFF"/>
                <w:sz w:val="16"/>
              </w:rPr>
              <w:t>($)</w:t>
            </w:r>
            <w:r>
              <w:rPr>
                <w:rFonts w:ascii="Arial;sans-serif" w:hAnsi="Arial;sans-serif"/>
                <w:b/>
                <w:color w:val="FFFFFF"/>
                <w:sz w:val="10"/>
              </w:rPr>
              <w:t>(1)</w:t>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Value of </w:t>
              <w:br/>
              <w:t xml:space="preserve">Benefits </w:t>
              <w:br/>
              <w:t>($)</w:t>
            </w:r>
          </w:p>
        </w:tc>
        <w:tc>
          <w:tcPr>
            <w:tcW w:w="13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Total ($)</w:t>
            </w:r>
          </w:p>
        </w:tc>
      </w:tr>
      <w:tr>
        <w:trPr/>
        <w:tc>
          <w:tcPr>
            <w:tcW w:w="174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109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112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15,711</w:t>
            </w:r>
          </w:p>
        </w:tc>
        <w:tc>
          <w:tcPr>
            <w:tcW w:w="976" w:type="dxa"/>
            <w:gridSpan w:val="2"/>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415,711 </w:t>
            </w:r>
          </w:p>
        </w:tc>
        <w:tc>
          <w:tcPr>
            <w:tcW w:w="338" w:type="dxa"/>
            <w:tcBorders>
              <w:top w:val="single" w:sz="12"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09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280,000</w:t>
            </w:r>
          </w:p>
        </w:tc>
        <w:tc>
          <w:tcPr>
            <w:tcW w:w="112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1,510,351</w:t>
            </w:r>
          </w:p>
        </w:tc>
        <w:tc>
          <w:tcPr>
            <w:tcW w:w="80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15,777</w:t>
            </w:r>
          </w:p>
        </w:tc>
        <w:tc>
          <w:tcPr>
            <w:tcW w:w="976"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1,806,128 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109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260,000</w:t>
            </w:r>
          </w:p>
        </w:tc>
        <w:tc>
          <w:tcPr>
            <w:tcW w:w="112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1,927,426</w:t>
            </w:r>
          </w:p>
        </w:tc>
        <w:tc>
          <w:tcPr>
            <w:tcW w:w="80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15,777</w:t>
            </w:r>
          </w:p>
        </w:tc>
        <w:tc>
          <w:tcPr>
            <w:tcW w:w="976"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2,203,203 </w:t>
            </w:r>
          </w:p>
        </w:tc>
        <w:tc>
          <w:tcPr>
            <w:tcW w:w="3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109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250,000</w:t>
            </w:r>
          </w:p>
        </w:tc>
        <w:tc>
          <w:tcPr>
            <w:tcW w:w="112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30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709,455</w:t>
            </w:r>
          </w:p>
        </w:tc>
        <w:tc>
          <w:tcPr>
            <w:tcW w:w="80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15,777</w:t>
            </w:r>
          </w:p>
        </w:tc>
        <w:tc>
          <w:tcPr>
            <w:tcW w:w="976" w:type="dxa"/>
            <w:gridSpan w:val="2"/>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975,231 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ind w:left="0" w:right="0" w:hanging="360"/>
        <w:jc w:val="left"/>
        <w:rPr/>
      </w:pPr>
      <w:r>
        <w:rPr>
          <w:rFonts w:ascii="Calibri;sans-serif" w:hAnsi="Calibri;sans-serif"/>
          <w:b w:val="false"/>
          <w:color w:val="000000"/>
          <w:sz w:val="10"/>
        </w:rPr>
        <w:t>(1)</w:t>
      </w:r>
      <w:r>
        <w:rPr>
          <w:rFonts w:ascii="Arial;sans-serif" w:hAnsi="Arial;sans-serif"/>
          <w:b w:val="false"/>
          <w:color w:val="000000"/>
          <w:sz w:val="16"/>
          <w:shd w:fill="FFFFFF" w:val="clear"/>
        </w:rPr>
        <w:t>Value based on a per share price of $30.04, which was the closing price for a share of our Class A common stock, as reported on December 31, 2024, th</w:t>
      </w:r>
      <w:r>
        <w:rPr>
          <w:rFonts w:ascii="Arial;sans-serif" w:hAnsi="Arial;sans-serif"/>
          <w:b w:val="false"/>
          <w:color w:val="000000"/>
          <w:sz w:val="16"/>
        </w:rPr>
        <w:t>e last trading day of the year.</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following table describes the payments that would have been provided for each of our named executive officers upon termination of employment in connection with a change in control of Dropbox as described above, assuming such termination had occurred on December 31, 2024. </w:t>
      </w:r>
    </w:p>
    <w:tbl>
      <w:tblPr>
        <w:tblW w:w="8773" w:type="dxa"/>
        <w:jc w:val="left"/>
        <w:tblInd w:w="0" w:type="dxa"/>
        <w:tblLayout w:type="fixed"/>
        <w:tblCellMar>
          <w:top w:w="28" w:type="dxa"/>
          <w:left w:w="28" w:type="dxa"/>
          <w:bottom w:w="28" w:type="dxa"/>
          <w:right w:w="28" w:type="dxa"/>
        </w:tblCellMar>
      </w:tblPr>
      <w:tblGrid>
        <w:gridCol w:w="626"/>
        <w:gridCol w:w="551"/>
        <w:gridCol w:w="562"/>
        <w:gridCol w:w="364"/>
        <w:gridCol w:w="364"/>
        <w:gridCol w:w="366"/>
        <w:gridCol w:w="374"/>
        <w:gridCol w:w="374"/>
        <w:gridCol w:w="376"/>
        <w:gridCol w:w="345"/>
        <w:gridCol w:w="345"/>
        <w:gridCol w:w="346"/>
        <w:gridCol w:w="216"/>
        <w:gridCol w:w="216"/>
        <w:gridCol w:w="221"/>
        <w:gridCol w:w="299"/>
        <w:gridCol w:w="299"/>
        <w:gridCol w:w="301"/>
        <w:gridCol w:w="269"/>
        <w:gridCol w:w="269"/>
        <w:gridCol w:w="271"/>
        <w:gridCol w:w="540"/>
        <w:gridCol w:w="541"/>
        <w:gridCol w:w="338"/>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0063A6" w:val="clear"/>
            <w:tcMar>
              <w:top w:w="0" w:type="dxa"/>
              <w:left w:w="0" w:type="dxa"/>
              <w:bottom w:w="0" w:type="dxa"/>
              <w:right w:w="0" w:type="dxa"/>
            </w:tcMar>
            <w:vAlign w:val="center"/>
          </w:tcPr>
          <w:p>
            <w:pPr>
              <w:pStyle w:val="TableContents"/>
              <w:bidi w:val="0"/>
              <w:spacing w:lineRule="auto" w:line="276" w:before="120" w:after="95"/>
              <w:jc w:val="left"/>
              <w:rPr/>
            </w:pPr>
            <w:r>
              <w:rPr>
                <w:rFonts w:ascii="Arial;sans-serif" w:hAnsi="Arial;sans-serif"/>
                <w:b/>
                <w:color w:val="FFFFFF"/>
                <w:sz w:val="16"/>
              </w:rPr>
              <w:t>Name</w:t>
            </w:r>
            <w:r>
              <w:rPr>
                <w:rFonts w:ascii="Arial;sans-serif" w:hAnsi="Arial;sans-serif"/>
                <w:b/>
                <w:color w:val="FFFFFF"/>
                <w:sz w:val="10"/>
              </w:rPr>
              <w:t>(1)</w:t>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Base Salary </w:t>
              <w:br/>
              <w:t xml:space="preserve">Component </w:t>
              <w:br/>
              <w:t>($)</w:t>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Cash Bonus </w:t>
              <w:br/>
              <w:t xml:space="preserve">Component </w:t>
              <w:br/>
              <w:t>($)</w:t>
            </w:r>
          </w:p>
        </w:tc>
        <w:tc>
          <w:tcPr>
            <w:tcW w:w="1689"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Value of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Accelerated </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Equity Awards </w:t>
            </w:r>
          </w:p>
          <w:p>
            <w:pPr>
              <w:pStyle w:val="TableContents"/>
              <w:bidi w:val="0"/>
              <w:spacing w:lineRule="auto" w:line="276" w:before="0" w:after="0"/>
              <w:jc w:val="center"/>
              <w:rPr/>
            </w:pPr>
            <w:r>
              <w:rPr>
                <w:rFonts w:ascii="Arial;sans-serif" w:hAnsi="Arial;sans-serif"/>
                <w:b/>
                <w:color w:val="FFFFFF"/>
                <w:sz w:val="16"/>
              </w:rPr>
              <w:t>($)</w:t>
            </w:r>
            <w:r>
              <w:rPr>
                <w:rFonts w:ascii="Arial;sans-serif" w:hAnsi="Arial;sans-serif"/>
                <w:b/>
                <w:color w:val="FFFFFF"/>
                <w:sz w:val="10"/>
              </w:rPr>
              <w:t>(2)</w:t>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280G </w:t>
              <w:br/>
              <w:t xml:space="preserve">Gross-up </w:t>
              <w:br/>
              <w:t>($)</w:t>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Value of </w:t>
              <w:br/>
              <w:t xml:space="preserve">Benefits </w:t>
              <w:br/>
              <w:t>($)</w:t>
            </w:r>
          </w:p>
        </w:tc>
        <w:tc>
          <w:tcPr>
            <w:tcW w:w="141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Total ($)</w:t>
            </w:r>
          </w:p>
        </w:tc>
      </w:tr>
      <w:tr>
        <w:trPr/>
        <w:tc>
          <w:tcPr>
            <w:tcW w:w="173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Andrew W. Houston</w:t>
            </w:r>
          </w:p>
        </w:tc>
        <w:tc>
          <w:tcPr>
            <w:tcW w:w="109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800,000</w:t>
            </w:r>
          </w:p>
        </w:tc>
        <w:tc>
          <w:tcPr>
            <w:tcW w:w="112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756,489</w:t>
            </w:r>
          </w:p>
        </w:tc>
        <w:tc>
          <w:tcPr>
            <w:tcW w:w="1036"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53"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0"/>
              </w:rPr>
            </w:pPr>
            <w:r>
              <w:rPr>
                <w:rFonts w:ascii="Arial;sans-serif" w:hAnsi="Arial;sans-serif"/>
                <w:b w:val="false"/>
                <w:color w:val="000000"/>
                <w:sz w:val="10"/>
              </w:rPr>
              <w:t>(3)</w:t>
            </w:r>
          </w:p>
        </w:tc>
        <w:tc>
          <w:tcPr>
            <w:tcW w:w="8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31,423</w:t>
            </w:r>
          </w:p>
        </w:tc>
        <w:tc>
          <w:tcPr>
            <w:tcW w:w="1081" w:type="dxa"/>
            <w:gridSpan w:val="2"/>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1,587,912 </w:t>
            </w:r>
          </w:p>
        </w:tc>
        <w:tc>
          <w:tcPr>
            <w:tcW w:w="338" w:type="dxa"/>
            <w:tcBorders>
              <w:top w:val="single" w:sz="12"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09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560,000</w:t>
            </w:r>
          </w:p>
        </w:tc>
        <w:tc>
          <w:tcPr>
            <w:tcW w:w="1124"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476,000</w:t>
            </w:r>
          </w:p>
        </w:tc>
        <w:tc>
          <w:tcPr>
            <w:tcW w:w="103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11,001,639</w:t>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31,553</w:t>
            </w:r>
          </w:p>
        </w:tc>
        <w:tc>
          <w:tcPr>
            <w:tcW w:w="1081" w:type="dxa"/>
            <w:gridSpan w:val="2"/>
            <w:tcBorders>
              <w:left w:val="single" w:sz="12" w:space="0" w:color="FFFFFF"/>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12,069,193 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109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520,000</w:t>
            </w:r>
          </w:p>
        </w:tc>
        <w:tc>
          <w:tcPr>
            <w:tcW w:w="112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390,000</w:t>
            </w:r>
          </w:p>
        </w:tc>
        <w:tc>
          <w:tcPr>
            <w:tcW w:w="103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7,709,706</w:t>
            </w:r>
          </w:p>
        </w:tc>
        <w:tc>
          <w:tcPr>
            <w:tcW w:w="65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31,553</w:t>
            </w:r>
          </w:p>
        </w:tc>
        <w:tc>
          <w:tcPr>
            <w:tcW w:w="1081" w:type="dxa"/>
            <w:gridSpan w:val="2"/>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8,651,259 </w:t>
            </w:r>
          </w:p>
        </w:tc>
        <w:tc>
          <w:tcPr>
            <w:tcW w:w="3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Arial;sans-serif" w:hAnsi="Arial;sans-serif"/>
                <w:b w:val="false"/>
                <w:color w:val="000000"/>
                <w:sz w:val="18"/>
              </w:rPr>
              <w:t>Eric Cox</w:t>
            </w:r>
          </w:p>
        </w:tc>
        <w:tc>
          <w:tcPr>
            <w:tcW w:w="109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112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1036"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8,513,696</w:t>
            </w:r>
          </w:p>
        </w:tc>
        <w:tc>
          <w:tcPr>
            <w:tcW w:w="653" w:type="dxa"/>
            <w:gridSpan w:val="3"/>
            <w:tcBorders>
              <w:left w:val="single" w:sz="12"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0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31,553</w:t>
            </w:r>
          </w:p>
        </w:tc>
        <w:tc>
          <w:tcPr>
            <w:tcW w:w="1081" w:type="dxa"/>
            <w:gridSpan w:val="2"/>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9,545,250 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pStyle w:val="TextBody"/>
        <w:bidi w:val="0"/>
        <w:spacing w:lineRule="auto" w:line="268"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Unless otherwise noted, the value is based on a per share price of $30.04, which was the closing price for a share of our Class A common stock as reported o</w:t>
      </w:r>
      <w:r>
        <w:rPr>
          <w:rFonts w:ascii="Arial;sans-serif" w:hAnsi="Arial;sans-serif"/>
          <w:b w:val="false"/>
          <w:color w:val="000000"/>
          <w:sz w:val="16"/>
          <w:shd w:fill="FFFFFF" w:val="clear"/>
        </w:rPr>
        <w:t>n December 31, 2024, the last trading day of the year.</w:t>
      </w:r>
    </w:p>
    <w:p>
      <w:pPr>
        <w:pStyle w:val="TextBody"/>
        <w:bidi w:val="0"/>
        <w:spacing w:lineRule="auto" w:line="268" w:before="20" w:after="283"/>
        <w:ind w:left="0" w:right="0" w:hanging="360"/>
        <w:jc w:val="left"/>
        <w:rPr/>
      </w:pPr>
      <w:r>
        <w:rPr>
          <w:rFonts w:ascii="Arial;sans-serif" w:hAnsi="Arial;sans-serif"/>
          <w:b w:val="false"/>
          <w:color w:val="000000"/>
          <w:sz w:val="10"/>
          <w:shd w:fill="FFFFFF" w:val="clear"/>
        </w:rPr>
        <w:t>(3)</w:t>
      </w:r>
      <w:r>
        <w:rPr>
          <w:rFonts w:ascii="Arial;sans-serif" w:hAnsi="Arial;sans-serif"/>
          <w:b w:val="false"/>
          <w:color w:val="000000"/>
          <w:sz w:val="16"/>
          <w:shd w:fill="FFFFFF" w:val="clear"/>
        </w:rPr>
        <w:t xml:space="preserve">Excludes 8,266,666 shares of Class A common stock </w:t>
      </w:r>
      <w:r>
        <w:rPr>
          <w:rFonts w:ascii="Arial;sans-serif" w:hAnsi="Arial;sans-serif"/>
          <w:b w:val="false"/>
          <w:color w:val="000000"/>
          <w:sz w:val="16"/>
        </w:rPr>
        <w:t>underlying RSAs subject to Mr. Houston’s Co-Founder Grant. See “</w:t>
      </w:r>
      <w:r>
        <w:rPr>
          <w:rFonts w:ascii="Arial;sans-serif" w:hAnsi="Arial;sans-serif"/>
          <w:b w:val="false"/>
          <w:i/>
          <w:color w:val="000000"/>
          <w:sz w:val="16"/>
        </w:rPr>
        <w:t>Potential Payments on Termination or Change in Control—Certain Equity Awards</w:t>
      </w:r>
      <w:r>
        <w:rPr>
          <w:color w:val="000000"/>
        </w:rPr>
        <w:t xml:space="preserve">” </w:t>
      </w:r>
      <w:r>
        <w:rPr>
          <w:rFonts w:ascii="Arial;sans-serif" w:hAnsi="Arial;sans-serif"/>
          <w:b w:val="false"/>
          <w:color w:val="000000"/>
          <w:sz w:val="16"/>
        </w:rPr>
        <w:t>above for additional information regarding the terms of Mr. Houston’s Co-Founder Grant in connection with a change in control.</w:t>
      </w:r>
    </w:p>
    <w:p>
      <w:pPr>
        <w:pStyle w:val="TextBody"/>
        <w:bidi w:val="0"/>
        <w:spacing w:before="20" w:after="283"/>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36575"/>
                <wp:effectExtent l="0" t="0" r="0" b="0"/>
                <wp:wrapNone/>
                <wp:docPr id="101" name="Frame6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CEO Pay Ratio</w:t>
      </w:r>
    </w:p>
    <w:p>
      <w:pPr>
        <w:pStyle w:val="TextBody"/>
        <w:bidi w:val="0"/>
        <w:spacing w:lineRule="auto" w:line="276" w:before="180" w:after="283"/>
        <w:jc w:val="left"/>
        <w:rPr/>
      </w:pPr>
      <w:r>
        <w:rPr>
          <w:rFonts w:ascii="Arial;sans-serif" w:hAnsi="Arial;sans-serif"/>
          <w:b w:val="false"/>
          <w:color w:val="000000"/>
          <w:sz w:val="18"/>
          <w:shd w:fill="FFFFFF" w:val="clear"/>
        </w:rPr>
        <w:t>In accordance with Item 402 of Regulation S-K under the Securities Act (“</w:t>
      </w:r>
      <w:r>
        <w:rPr>
          <w:rFonts w:ascii="Arial;sans-serif" w:hAnsi="Arial;sans-serif"/>
          <w:b/>
          <w:i/>
          <w:color w:val="000000"/>
          <w:sz w:val="18"/>
          <w:shd w:fill="FFFFFF" w:val="clear"/>
        </w:rPr>
        <w:t>Item 402</w:t>
      </w:r>
      <w:r>
        <w:rPr>
          <w:color w:val="000000"/>
          <w:shd w:fill="FFFFFF" w:val="clear"/>
        </w:rPr>
        <w:t>”</w:t>
      </w:r>
      <w:r>
        <w:rPr>
          <w:rFonts w:ascii="Arial;sans-serif" w:hAnsi="Arial;sans-serif"/>
          <w:b w:val="false"/>
          <w:color w:val="000000"/>
          <w:sz w:val="18"/>
          <w:shd w:fill="FFFFFF" w:val="clear"/>
        </w:rPr>
        <w:t>), below is the ratio of the total compensation of the median employee of the company to the annual total compensation of the CEO (the “</w:t>
      </w:r>
      <w:r>
        <w:rPr>
          <w:rFonts w:ascii="Arial;sans-serif" w:hAnsi="Arial;sans-serif"/>
          <w:b/>
          <w:i/>
          <w:color w:val="000000"/>
          <w:sz w:val="18"/>
          <w:shd w:fill="FFFFFF" w:val="clear"/>
        </w:rPr>
        <w:t>Pay Ratio Disclosure</w:t>
      </w:r>
      <w:r>
        <w:rPr>
          <w:color w:val="000000"/>
          <w:shd w:fill="FFFFFF" w:val="clear"/>
        </w:rPr>
        <w:t>”</w:t>
      </w:r>
      <w:r>
        <w:rPr>
          <w:rFonts w:ascii="Arial;sans-serif" w:hAnsi="Arial;sans-serif"/>
          <w:b w:val="false"/>
          <w:color w:val="000000"/>
          <w:sz w:val="18"/>
          <w:shd w:fill="FFFFFF" w:val="clear"/>
        </w:rPr>
        <w:t>).</w:t>
      </w:r>
    </w:p>
    <w:tbl>
      <w:tblPr>
        <w:tblW w:w="6112" w:type="dxa"/>
        <w:jc w:val="center"/>
        <w:tblInd w:w="0" w:type="dxa"/>
        <w:tblLayout w:type="fixed"/>
        <w:tblCellMar>
          <w:top w:w="28" w:type="dxa"/>
          <w:left w:w="28" w:type="dxa"/>
          <w:bottom w:w="28" w:type="dxa"/>
          <w:right w:w="28" w:type="dxa"/>
        </w:tblCellMar>
      </w:tblPr>
      <w:tblGrid>
        <w:gridCol w:w="636"/>
        <w:gridCol w:w="558"/>
        <w:gridCol w:w="560"/>
        <w:gridCol w:w="109"/>
        <w:gridCol w:w="109"/>
        <w:gridCol w:w="109"/>
        <w:gridCol w:w="739"/>
        <w:gridCol w:w="739"/>
        <w:gridCol w:w="741"/>
        <w:gridCol w:w="109"/>
        <w:gridCol w:w="109"/>
        <w:gridCol w:w="109"/>
        <w:gridCol w:w="435"/>
        <w:gridCol w:w="435"/>
        <w:gridCol w:w="615"/>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3774B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32"/>
              </w:rPr>
            </w:pPr>
            <w:r>
              <w:rPr>
                <w:rFonts w:ascii="Arial;sans-serif" w:hAnsi="Arial;sans-serif"/>
                <w:b w:val="false"/>
                <w:color w:val="FFFFFF"/>
                <w:sz w:val="32"/>
              </w:rPr>
              <w:t>$1,706,505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3774B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32"/>
              </w:rPr>
            </w:pPr>
            <w:r>
              <w:rPr>
                <w:rFonts w:ascii="Arial;sans-serif" w:hAnsi="Arial;sans-serif"/>
                <w:b w:val="false"/>
                <w:color w:val="FFFFFF"/>
                <w:sz w:val="32"/>
              </w:rPr>
              <w:t>$228,805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3774B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FFFFFF"/>
                <w:sz w:val="32"/>
              </w:rPr>
            </w:pPr>
            <w:r>
              <w:rPr>
                <w:rFonts w:ascii="Arial;sans-serif" w:hAnsi="Arial;sans-serif"/>
                <w:b w:val="false"/>
                <w:color w:val="FFFFFF"/>
                <w:sz w:val="32"/>
              </w:rPr>
              <w:t>7:1</w:t>
            </w:r>
          </w:p>
        </w:tc>
      </w:tr>
      <w:tr>
        <w:trPr/>
        <w:tc>
          <w:tcPr>
            <w:tcW w:w="1754" w:type="dxa"/>
            <w:gridSpan w:val="3"/>
            <w:tcBorders/>
            <w:shd w:fill="3774B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xml:space="preserve">CEO Total Annual </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3774B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 xml:space="preserve">Median Employee Total </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3774B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CEO Pay Ratio</w:t>
            </w:r>
          </w:p>
        </w:tc>
      </w:tr>
      <w:tr>
        <w:trPr/>
        <w:tc>
          <w:tcPr>
            <w:tcW w:w="1754"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3774B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order to identify our median employee, we examined the total compensation in 2024 of all employees globally, including those employed on a full-time, part-time, seasonal or temporary basis by the company as of December 31, 2024, and then such compensation is converted into U.S. dollars. We did not annualize compensation for employees who were not employed for the entire 2024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2024 through December 31, 2024.</w:t>
      </w:r>
    </w:p>
    <w:p>
      <w:pPr>
        <w:pStyle w:val="TextBody"/>
        <w:bidi w:val="0"/>
        <w:spacing w:lineRule="auto" w:line="276" w:before="180" w:after="283"/>
        <w:jc w:val="left"/>
        <w:rPr/>
      </w:pPr>
      <w:r>
        <w:rPr>
          <w:rFonts w:ascii="Arial;sans-serif" w:hAnsi="Arial;sans-serif"/>
          <w:b w:val="false"/>
          <w:color w:val="000000"/>
          <w:sz w:val="18"/>
          <w:shd w:fill="FFFFFF" w:val="clear"/>
        </w:rPr>
        <w:t>Our CEO had annual total compensation for 2024, calculated using the requirements of Item 402 for purposes of the Pay Ratio Disclosure, of $1,706,505. The annual total compensation of the median employee of the company for 2024, calculated using the same requirements under Item 402 for purposes of the Pay Ratio Disclosure, which included base pay, incentive compensation, the grant date fair value of equity grants and the company’s matching contribution to that employee’s 401(k) plan, was $228,805. Accordingly, the ratio of the annual total compensation of the CEO to the annual total compensation of the median employee of the company was 7:1</w:t>
      </w:r>
      <w:r>
        <w:rPr>
          <w:rFonts w:ascii="Arial;sans-serif" w:hAnsi="Arial;sans-serif"/>
          <w:b w:val="false"/>
          <w:color w:val="000000"/>
          <w:sz w:val="18"/>
        </w:rPr>
        <w: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36575"/>
                <wp:effectExtent l="0" t="0" r="0" b="0"/>
                <wp:wrapNone/>
                <wp:docPr id="102" name="Frame6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before="195" w:after="283"/>
        <w:jc w:val="left"/>
        <w:rPr/>
      </w:pPr>
      <w:r>
        <w:rPr/>
      </w: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 xml:space="preserve">Pay Versus Performance </w:t>
      </w:r>
    </w:p>
    <w:p>
      <w:pPr>
        <w:pStyle w:val="TextBody"/>
        <w:bidi w:val="0"/>
        <w:spacing w:lineRule="auto" w:line="276" w:before="180" w:after="283"/>
        <w:jc w:val="left"/>
        <w:rPr/>
      </w:pPr>
      <w:r>
        <w:rPr>
          <w:rFonts w:ascii="Arial;sans-serif" w:hAnsi="Arial;sans-serif"/>
          <w:b w:val="false"/>
          <w:color w:val="000000"/>
          <w:sz w:val="18"/>
          <w:shd w:fill="FFFFFF" w:val="clear"/>
        </w:rPr>
        <w:t>In accordance with Item 402, below is the comparison of the total compensation actually paid to company performance (the “</w:t>
      </w:r>
      <w:r>
        <w:rPr>
          <w:rFonts w:ascii="Arial;sans-serif" w:hAnsi="Arial;sans-serif"/>
          <w:b/>
          <w:i/>
          <w:color w:val="000000"/>
          <w:sz w:val="18"/>
          <w:shd w:fill="FFFFFF" w:val="clear"/>
        </w:rPr>
        <w:t>Pay Versus Performance Disclosure</w:t>
      </w:r>
      <w:r>
        <w:rPr>
          <w:color w:val="000000"/>
          <w:shd w:fill="FFFFFF" w:val="clear"/>
        </w:rPr>
        <w:t>”</w:t>
      </w:r>
      <w:r>
        <w:rPr>
          <w:rFonts w:ascii="Arial;sans-serif" w:hAnsi="Arial;sans-serif"/>
          <w:b w:val="false"/>
          <w:color w:val="000000"/>
          <w:sz w:val="18"/>
          <w:shd w:fill="FFFFFF" w:val="clear"/>
        </w:rPr>
        <w:t>). For further information concerning our variable pay-for-performance philosophy and how we align executive compensation with the company’s performance, refer to “</w:t>
      </w:r>
      <w:r>
        <w:rPr>
          <w:rFonts w:ascii="Arial;sans-serif" w:hAnsi="Arial;sans-serif"/>
          <w:b w:val="false"/>
          <w:i/>
          <w:color w:val="000000"/>
          <w:sz w:val="18"/>
          <w:shd w:fill="FFFFFF" w:val="clear"/>
        </w:rPr>
        <w:t>Executive Compensation – Compensation Discussion and Analysis</w:t>
      </w:r>
      <w:r>
        <w:rPr>
          <w:rFonts w:ascii="Arial;sans-serif" w:hAnsi="Arial;sans-serif"/>
          <w:b w:val="false"/>
          <w:color w:val="000000"/>
          <w:sz w:val="18"/>
          <w:shd w:fill="FFFFFF" w:val="clear"/>
        </w:rPr>
        <w:t>.”</w:t>
      </w:r>
    </w:p>
    <w:tbl>
      <w:tblPr>
        <w:tblW w:w="9851" w:type="dxa"/>
        <w:jc w:val="left"/>
        <w:tblInd w:w="0" w:type="dxa"/>
        <w:tblLayout w:type="fixed"/>
        <w:tblCellMar>
          <w:top w:w="28" w:type="dxa"/>
          <w:left w:w="28" w:type="dxa"/>
          <w:bottom w:w="28" w:type="dxa"/>
          <w:right w:w="28" w:type="dxa"/>
        </w:tblCellMar>
      </w:tblPr>
      <w:tblGrid>
        <w:gridCol w:w="195"/>
        <w:gridCol w:w="171"/>
        <w:gridCol w:w="175"/>
        <w:gridCol w:w="399"/>
        <w:gridCol w:w="399"/>
        <w:gridCol w:w="401"/>
        <w:gridCol w:w="434"/>
        <w:gridCol w:w="434"/>
        <w:gridCol w:w="436"/>
        <w:gridCol w:w="519"/>
        <w:gridCol w:w="519"/>
        <w:gridCol w:w="521"/>
        <w:gridCol w:w="519"/>
        <w:gridCol w:w="519"/>
        <w:gridCol w:w="521"/>
        <w:gridCol w:w="350"/>
        <w:gridCol w:w="350"/>
        <w:gridCol w:w="350"/>
        <w:gridCol w:w="347"/>
        <w:gridCol w:w="347"/>
        <w:gridCol w:w="356"/>
        <w:gridCol w:w="229"/>
        <w:gridCol w:w="229"/>
        <w:gridCol w:w="231"/>
        <w:gridCol w:w="263"/>
        <w:gridCol w:w="263"/>
        <w:gridCol w:w="37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(a)</w:t>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(b)</w:t>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(c)</w:t>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(d)</w:t>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(e)</w:t>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(f)</w:t>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(g)</w:t>
            </w:r>
          </w:p>
        </w:tc>
        <w:tc>
          <w:tcPr>
            <w:tcW w:w="68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(h)</w:t>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(i)</w:t>
            </w:r>
          </w:p>
        </w:tc>
      </w:tr>
      <w:tr>
        <w:trPr/>
        <w:tc>
          <w:tcPr>
            <w:tcW w:w="54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12" w:space="0" w:color="FFFFFF"/>
            </w:tcBorders>
            <w:shd w:fill="0063A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2" w:space="0" w:color="FFFFFF"/>
            </w:tcBorders>
            <w:shd w:fill="0063A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right w:val="single" w:sz="12" w:space="0" w:color="FFFFFF"/>
            </w:tcBorders>
            <w:shd w:fill="0063A6" w:val="clear"/>
            <w:tcMar>
              <w:top w:w="0" w:type="dxa"/>
              <w:left w:w="0" w:type="dxa"/>
              <w:bottom w:w="0" w:type="dxa"/>
            </w:tcMar>
            <w:vAlign w:val="center"/>
          </w:tcPr>
          <w:p>
            <w:pPr>
              <w:pStyle w:val="TableContents"/>
              <w:bidi w:val="0"/>
              <w:spacing w:lineRule="auto" w:line="273" w:before="0" w:after="283"/>
              <w:jc w:val="left"/>
              <w:rPr>
                <w:rFonts w:ascii="Arial;sans-serif" w:hAnsi="Arial;sans-serif"/>
                <w:b/>
                <w:color w:val="FFFFFF"/>
                <w:sz w:val="15"/>
              </w:rPr>
            </w:pPr>
            <w:r>
              <w:rPr>
                <w:rFonts w:ascii="Arial;sans-serif" w:hAnsi="Arial;sans-serif"/>
                <w:b/>
                <w:color w:val="FFFFFF"/>
                <w:sz w:val="15"/>
              </w:rPr>
              <w:t>Year</w:t>
            </w:r>
          </w:p>
        </w:tc>
        <w:tc>
          <w:tcPr>
            <w:tcW w:w="1199" w:type="dxa"/>
            <w:gridSpan w:val="3"/>
            <w:vMerge w:val="restart"/>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Summary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Compensation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Table Total for </w:t>
            </w:r>
          </w:p>
          <w:p>
            <w:pPr>
              <w:pStyle w:val="TableContents"/>
              <w:bidi w:val="0"/>
              <w:spacing w:lineRule="auto" w:line="276" w:before="0" w:after="0"/>
              <w:jc w:val="center"/>
              <w:rPr/>
            </w:pPr>
            <w:r>
              <w:rPr>
                <w:rFonts w:ascii="Arial;sans-serif" w:hAnsi="Arial;sans-serif"/>
                <w:b/>
                <w:color w:val="FFFFFF"/>
                <w:sz w:val="15"/>
              </w:rPr>
              <w:t>PEO ($)</w:t>
            </w:r>
            <w:r>
              <w:rPr>
                <w:rFonts w:ascii="Arial;sans-serif" w:hAnsi="Arial;sans-serif"/>
                <w:b/>
                <w:color w:val="FFFFFF"/>
                <w:sz w:val="10"/>
              </w:rPr>
              <w:t>(1)</w:t>
            </w:r>
          </w:p>
        </w:tc>
        <w:tc>
          <w:tcPr>
            <w:tcW w:w="1304" w:type="dxa"/>
            <w:gridSpan w:val="3"/>
            <w:vMerge w:val="restart"/>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Compensation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Actually Paid to </w:t>
            </w:r>
          </w:p>
          <w:p>
            <w:pPr>
              <w:pStyle w:val="TableContents"/>
              <w:bidi w:val="0"/>
              <w:spacing w:lineRule="auto" w:line="276" w:before="0" w:after="0"/>
              <w:jc w:val="center"/>
              <w:rPr/>
            </w:pPr>
            <w:r>
              <w:rPr>
                <w:rFonts w:ascii="Arial;sans-serif" w:hAnsi="Arial;sans-serif"/>
                <w:b/>
                <w:color w:val="FFFFFF"/>
                <w:sz w:val="15"/>
              </w:rPr>
              <w:t>PEO ($)</w:t>
            </w:r>
            <w:r>
              <w:rPr>
                <w:rFonts w:ascii="Arial;sans-serif" w:hAnsi="Arial;sans-serif"/>
                <w:b/>
                <w:color w:val="FFFFFF"/>
                <w:sz w:val="10"/>
              </w:rPr>
              <w:t>(2)</w:t>
            </w:r>
          </w:p>
        </w:tc>
        <w:tc>
          <w:tcPr>
            <w:tcW w:w="1559" w:type="dxa"/>
            <w:gridSpan w:val="3"/>
            <w:vMerge w:val="restart"/>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Average Summary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Compensation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Table Total for </w:t>
            </w:r>
          </w:p>
          <w:p>
            <w:pPr>
              <w:pStyle w:val="TableContents"/>
              <w:bidi w:val="0"/>
              <w:spacing w:lineRule="auto" w:line="276" w:before="0" w:after="0"/>
              <w:jc w:val="center"/>
              <w:rPr/>
            </w:pPr>
            <w:r>
              <w:rPr>
                <w:rFonts w:ascii="Arial;sans-serif" w:hAnsi="Arial;sans-serif"/>
                <w:b/>
                <w:color w:val="FFFFFF"/>
                <w:sz w:val="15"/>
              </w:rPr>
              <w:t>Non-PEO NEOs ($)</w:t>
            </w:r>
            <w:r>
              <w:rPr>
                <w:rFonts w:ascii="Arial;sans-serif" w:hAnsi="Arial;sans-serif"/>
                <w:b/>
                <w:color w:val="FFFFFF"/>
                <w:sz w:val="10"/>
              </w:rPr>
              <w:t>(3)</w:t>
            </w:r>
          </w:p>
        </w:tc>
        <w:tc>
          <w:tcPr>
            <w:tcW w:w="1559"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Average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Compensation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Actually Paid to </w:t>
            </w:r>
          </w:p>
          <w:p>
            <w:pPr>
              <w:pStyle w:val="TableContents"/>
              <w:bidi w:val="0"/>
              <w:spacing w:lineRule="auto" w:line="276" w:before="0" w:after="0"/>
              <w:jc w:val="center"/>
              <w:rPr/>
            </w:pPr>
            <w:r>
              <w:rPr>
                <w:rFonts w:ascii="Arial;sans-serif" w:hAnsi="Arial;sans-serif"/>
                <w:b/>
                <w:color w:val="FFFFFF"/>
                <w:sz w:val="15"/>
              </w:rPr>
              <w:t>Non-PEO NEOs ($)</w:t>
            </w:r>
            <w:r>
              <w:rPr>
                <w:rFonts w:ascii="Arial;sans-serif" w:hAnsi="Arial;sans-serif"/>
                <w:b/>
                <w:color w:val="FFFFFF"/>
                <w:sz w:val="10"/>
              </w:rPr>
              <w:t>(4)</w:t>
            </w:r>
          </w:p>
        </w:tc>
        <w:tc>
          <w:tcPr>
            <w:tcW w:w="2100"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Value of Initial Fixed $100 </w:t>
              <w:br/>
              <w:t>Investment Based On:</w:t>
            </w:r>
          </w:p>
        </w:tc>
        <w:tc>
          <w:tcPr>
            <w:tcW w:w="689" w:type="dxa"/>
            <w:gridSpan w:val="3"/>
            <w:vMerge w:val="restart"/>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Net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Income </w:t>
            </w:r>
          </w:p>
          <w:p>
            <w:pPr>
              <w:pStyle w:val="TableContents"/>
              <w:bidi w:val="0"/>
              <w:spacing w:lineRule="auto" w:line="276" w:before="0" w:after="0"/>
              <w:jc w:val="center"/>
              <w:rPr/>
            </w:pPr>
            <w:r>
              <w:rPr>
                <w:rFonts w:ascii="Arial;sans-serif" w:hAnsi="Arial;sans-serif"/>
                <w:b/>
                <w:color w:val="FFFFFF"/>
                <w:sz w:val="15"/>
              </w:rPr>
              <w:t>($M)</w:t>
            </w:r>
            <w:r>
              <w:rPr>
                <w:rFonts w:ascii="Arial;sans-serif" w:hAnsi="Arial;sans-serif"/>
                <w:b/>
                <w:color w:val="FFFFFF"/>
                <w:sz w:val="10"/>
              </w:rPr>
              <w:t>(7)</w:t>
            </w:r>
          </w:p>
        </w:tc>
        <w:tc>
          <w:tcPr>
            <w:tcW w:w="900"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color w:val="FFFFFF"/>
              </w:rPr>
            </w:pPr>
            <w:r>
              <w:rPr>
                <w:color w:val="FFFFFF"/>
              </w:rPr>
              <w:t> </w:t>
            </w:r>
            <w:r>
              <w:rPr>
                <w:rFonts w:ascii="Arial;sans-serif" w:hAnsi="Arial;sans-serif"/>
                <w:b/>
                <w:color w:val="FFFFFF"/>
                <w:sz w:val="15"/>
              </w:rPr>
              <w:t xml:space="preserve">Revenue </w:t>
            </w:r>
          </w:p>
          <w:p>
            <w:pPr>
              <w:pStyle w:val="TableContents"/>
              <w:bidi w:val="0"/>
              <w:spacing w:lineRule="auto" w:line="276" w:before="0" w:after="0"/>
              <w:jc w:val="center"/>
              <w:rPr/>
            </w:pPr>
            <w:r>
              <w:rPr>
                <w:rFonts w:ascii="Arial;sans-serif" w:hAnsi="Arial;sans-serif"/>
                <w:b/>
                <w:color w:val="FFFFFF"/>
                <w:sz w:val="15"/>
              </w:rPr>
              <w:t>($M)</w:t>
            </w:r>
            <w:r>
              <w:rPr>
                <w:rFonts w:ascii="Arial;sans-serif" w:hAnsi="Arial;sans-serif"/>
                <w:b/>
                <w:color w:val="FFFFFF"/>
                <w:sz w:val="10"/>
              </w:rPr>
              <w:t>(8)</w:t>
            </w:r>
          </w:p>
        </w:tc>
      </w:tr>
      <w:tr>
        <w:trPr/>
        <w:tc>
          <w:tcPr>
            <w:tcW w:w="541" w:type="dxa"/>
            <w:gridSpan w:val="3"/>
            <w:vMerge w:val="continue"/>
            <w:tcBorders>
              <w:right w:val="single" w:sz="12" w:space="0" w:color="FFFFFF"/>
            </w:tcBorders>
            <w:shd w:fill="0063A6" w:val="clear"/>
            <w:tcMar>
              <w:top w:w="0" w:type="dxa"/>
              <w:left w:w="0" w:type="dxa"/>
              <w:bottom w:w="0" w:type="dxa"/>
            </w:tcMar>
            <w:vAlign w:val="center"/>
          </w:tcPr>
          <w:p>
            <w:pPr>
              <w:pStyle w:val="Normal"/>
              <w:bidi w:val="0"/>
              <w:jc w:val="left"/>
              <w:rPr/>
            </w:pPr>
            <w:r>
              <w:rPr/>
            </w:r>
          </w:p>
        </w:tc>
        <w:tc>
          <w:tcPr>
            <w:tcW w:w="119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304"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55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559"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12" w:space="0" w:color="FFFFFF"/>
            </w:tcBorders>
            <w:shd w:fill="0063A6"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68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900"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541" w:type="dxa"/>
            <w:gridSpan w:val="3"/>
            <w:vMerge w:val="continue"/>
            <w:tcBorders>
              <w:right w:val="single" w:sz="12" w:space="0" w:color="FFFFFF"/>
            </w:tcBorders>
            <w:shd w:fill="0063A6" w:val="clear"/>
            <w:tcMar>
              <w:top w:w="0" w:type="dxa"/>
              <w:left w:w="0" w:type="dxa"/>
              <w:bottom w:w="0" w:type="dxa"/>
            </w:tcMar>
            <w:vAlign w:val="center"/>
          </w:tcPr>
          <w:p>
            <w:pPr>
              <w:pStyle w:val="Normal"/>
              <w:bidi w:val="0"/>
              <w:jc w:val="left"/>
              <w:rPr/>
            </w:pPr>
            <w:r>
              <w:rPr/>
            </w:r>
          </w:p>
        </w:tc>
        <w:tc>
          <w:tcPr>
            <w:tcW w:w="119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304"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55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1559"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c>
          <w:tcPr>
            <w:tcW w:w="1050"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Total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Company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Shareholder </w:t>
            </w:r>
          </w:p>
          <w:p>
            <w:pPr>
              <w:pStyle w:val="TableContents"/>
              <w:bidi w:val="0"/>
              <w:spacing w:lineRule="auto" w:line="276" w:before="0" w:after="0"/>
              <w:jc w:val="center"/>
              <w:rPr/>
            </w:pPr>
            <w:r>
              <w:rPr>
                <w:rFonts w:ascii="Arial;sans-serif" w:hAnsi="Arial;sans-serif"/>
                <w:b/>
                <w:color w:val="FFFFFF"/>
                <w:sz w:val="15"/>
              </w:rPr>
              <w:t>Return ($)</w:t>
            </w:r>
            <w:r>
              <w:rPr>
                <w:rFonts w:ascii="Arial;sans-serif" w:hAnsi="Arial;sans-serif"/>
                <w:b/>
                <w:color w:val="FFFFFF"/>
                <w:sz w:val="10"/>
              </w:rPr>
              <w:t>(5)</w:t>
            </w:r>
          </w:p>
        </w:tc>
        <w:tc>
          <w:tcPr>
            <w:tcW w:w="1050" w:type="dxa"/>
            <w:gridSpan w:val="3"/>
            <w:tcBorders>
              <w:top w:val="single" w:sz="12" w:space="0" w:color="FFFFFF"/>
              <w:left w:val="single" w:sz="12" w:space="0" w:color="FFFFFF"/>
              <w:right w:val="single" w:sz="12" w:space="0" w:color="FFFFFF"/>
            </w:tcBorders>
            <w:shd w:fill="0063A6" w:val="clear"/>
            <w:tcMar>
              <w:top w:w="30" w:type="dxa"/>
              <w:bottom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Peer Group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Total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Shareholder </w:t>
            </w:r>
          </w:p>
          <w:p>
            <w:pPr>
              <w:pStyle w:val="TableContents"/>
              <w:bidi w:val="0"/>
              <w:spacing w:lineRule="auto" w:line="276" w:before="0" w:after="0"/>
              <w:jc w:val="center"/>
              <w:rPr/>
            </w:pPr>
            <w:r>
              <w:rPr>
                <w:rFonts w:ascii="Arial;sans-serif" w:hAnsi="Arial;sans-serif"/>
                <w:b/>
                <w:color w:val="FFFFFF"/>
                <w:sz w:val="15"/>
              </w:rPr>
              <w:t>Return ($)</w:t>
            </w:r>
            <w:r>
              <w:rPr>
                <w:rFonts w:ascii="Arial;sans-serif" w:hAnsi="Arial;sans-serif"/>
                <w:b/>
                <w:color w:val="FFFFFF"/>
                <w:sz w:val="10"/>
              </w:rPr>
              <w:t>(6)</w:t>
            </w:r>
          </w:p>
        </w:tc>
        <w:tc>
          <w:tcPr>
            <w:tcW w:w="689" w:type="dxa"/>
            <w:gridSpan w:val="3"/>
            <w:vMerge w:val="continue"/>
            <w:tcBorders>
              <w:left w:val="single" w:sz="12" w:space="0" w:color="FFFFFF"/>
              <w:right w:val="single" w:sz="12" w:space="0" w:color="FFFFFF"/>
            </w:tcBorders>
            <w:shd w:fill="0063A6" w:val="clear"/>
            <w:tcMar>
              <w:top w:w="0" w:type="dxa"/>
              <w:bottom w:w="0" w:type="dxa"/>
            </w:tcMar>
            <w:vAlign w:val="center"/>
          </w:tcPr>
          <w:p>
            <w:pPr>
              <w:pStyle w:val="Normal"/>
              <w:bidi w:val="0"/>
              <w:jc w:val="left"/>
              <w:rPr/>
            </w:pPr>
            <w:r>
              <w:rPr/>
            </w:r>
          </w:p>
        </w:tc>
        <w:tc>
          <w:tcPr>
            <w:tcW w:w="900"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54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11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1,706,505</w:t>
            </w:r>
          </w:p>
        </w:tc>
        <w:tc>
          <w:tcPr>
            <w:tcW w:w="13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-16,215,315</w:t>
            </w:r>
          </w:p>
        </w:tc>
        <w:tc>
          <w:tcPr>
            <w:tcW w:w="15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7,182,866</w:t>
            </w:r>
          </w:p>
        </w:tc>
        <w:tc>
          <w:tcPr>
            <w:tcW w:w="15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7,498,844</w:t>
            </w:r>
          </w:p>
        </w:tc>
        <w:tc>
          <w:tcPr>
            <w:tcW w:w="105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167.73</w:t>
            </w:r>
          </w:p>
        </w:tc>
        <w:tc>
          <w:tcPr>
            <w:tcW w:w="105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301.44</w:t>
            </w:r>
          </w:p>
        </w:tc>
        <w:tc>
          <w:tcPr>
            <w:tcW w:w="689"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452.3</w:t>
            </w:r>
          </w:p>
        </w:tc>
        <w:tc>
          <w:tcPr>
            <w:tcW w:w="900"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2,545</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2023</w:t>
            </w:r>
          </w:p>
        </w:tc>
        <w:tc>
          <w:tcPr>
            <w:tcW w:w="119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1,539,577</w:t>
            </w:r>
          </w:p>
        </w:tc>
        <w:tc>
          <w:tcPr>
            <w:tcW w:w="130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19,457,888</w:t>
            </w:r>
          </w:p>
        </w:tc>
        <w:tc>
          <w:tcPr>
            <w:tcW w:w="15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2,515,311</w:t>
            </w:r>
          </w:p>
        </w:tc>
        <w:tc>
          <w:tcPr>
            <w:tcW w:w="15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1,165,036</w:t>
            </w:r>
          </w:p>
        </w:tc>
        <w:tc>
          <w:tcPr>
            <w:tcW w:w="105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164.60</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221.06</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453.6</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2,541</w:t>
            </w:r>
          </w:p>
        </w:tc>
      </w:tr>
      <w:tr>
        <w:trPr/>
        <w:tc>
          <w:tcPr>
            <w:tcW w:w="54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2022</w:t>
            </w:r>
          </w:p>
        </w:tc>
        <w:tc>
          <w:tcPr>
            <w:tcW w:w="119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1,146,000</w:t>
            </w:r>
          </w:p>
        </w:tc>
        <w:tc>
          <w:tcPr>
            <w:tcW w:w="130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-22,783,000</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3,473,372</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528,487</w:t>
            </w:r>
          </w:p>
        </w:tc>
        <w:tc>
          <w:tcPr>
            <w:tcW w:w="105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124.96</w:t>
            </w:r>
          </w:p>
        </w:tc>
        <w:tc>
          <w:tcPr>
            <w:tcW w:w="105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132.79</w:t>
            </w:r>
          </w:p>
        </w:tc>
        <w:tc>
          <w:tcPr>
            <w:tcW w:w="6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553.2</w:t>
            </w:r>
          </w:p>
        </w:tc>
        <w:tc>
          <w:tcPr>
            <w:tcW w:w="90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2,357</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2021</w:t>
            </w:r>
          </w:p>
        </w:tc>
        <w:tc>
          <w:tcPr>
            <w:tcW w:w="119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1,515,269</w:t>
            </w:r>
          </w:p>
        </w:tc>
        <w:tc>
          <w:tcPr>
            <w:tcW w:w="130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25,163,611</w:t>
            </w:r>
          </w:p>
        </w:tc>
        <w:tc>
          <w:tcPr>
            <w:tcW w:w="15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2,832,378</w:t>
            </w:r>
          </w:p>
        </w:tc>
        <w:tc>
          <w:tcPr>
            <w:tcW w:w="15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1,261,953</w:t>
            </w:r>
          </w:p>
        </w:tc>
        <w:tc>
          <w:tcPr>
            <w:tcW w:w="105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137.02</w:t>
            </w:r>
          </w:p>
        </w:tc>
        <w:tc>
          <w:tcPr>
            <w:tcW w:w="105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206.76</w:t>
            </w:r>
          </w:p>
        </w:tc>
        <w:tc>
          <w:tcPr>
            <w:tcW w:w="68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335.8</w:t>
            </w:r>
          </w:p>
        </w:tc>
        <w:tc>
          <w:tcPr>
            <w:tcW w:w="90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2,149</w:t>
            </w:r>
          </w:p>
        </w:tc>
      </w:tr>
      <w:tr>
        <w:trPr/>
        <w:tc>
          <w:tcPr>
            <w:tcW w:w="54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2020</w:t>
            </w:r>
          </w:p>
        </w:tc>
        <w:tc>
          <w:tcPr>
            <w:tcW w:w="119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1,268,889</w:t>
            </w:r>
          </w:p>
        </w:tc>
        <w:tc>
          <w:tcPr>
            <w:tcW w:w="130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39,123,889</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10,219,177</w:t>
            </w:r>
          </w:p>
        </w:tc>
        <w:tc>
          <w:tcPr>
            <w:tcW w:w="15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10,392,482</w:t>
            </w:r>
          </w:p>
        </w:tc>
        <w:tc>
          <w:tcPr>
            <w:tcW w:w="105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123.90</w:t>
            </w:r>
          </w:p>
        </w:tc>
        <w:tc>
          <w:tcPr>
            <w:tcW w:w="105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149.98</w:t>
            </w:r>
          </w:p>
        </w:tc>
        <w:tc>
          <w:tcPr>
            <w:tcW w:w="6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-256.3</w:t>
            </w:r>
          </w:p>
        </w:tc>
        <w:tc>
          <w:tcPr>
            <w:tcW w:w="90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1,915</w:t>
            </w:r>
          </w:p>
        </w:tc>
      </w:tr>
    </w:tbl>
    <w:p>
      <w:pPr>
        <w:pStyle w:val="TextBody"/>
        <w:bidi w:val="0"/>
        <w:spacing w:lineRule="auto" w:line="268" w:before="20" w:after="283"/>
        <w:ind w:left="0" w:right="0" w:hanging="360"/>
        <w:jc w:val="left"/>
        <w:rPr/>
      </w:pPr>
      <w:r>
        <w:rPr>
          <w:rFonts w:ascii="Arial;sans-serif" w:hAnsi="Arial;sans-serif"/>
          <w:b w:val="false"/>
          <w:color w:val="000000"/>
          <w:sz w:val="10"/>
        </w:rPr>
        <w:t>(1)    </w:t>
      </w:r>
      <w:r>
        <w:rPr>
          <w:rFonts w:ascii="Arial;sans-serif" w:hAnsi="Arial;sans-serif"/>
          <w:b w:val="false"/>
          <w:color w:val="000000"/>
          <w:sz w:val="16"/>
        </w:rPr>
        <w:t>The dollar amounts reported in column (b) are the amounts of total compensation reported for Mr. Houston, our Chief Executive Officer (“</w:t>
      </w:r>
      <w:r>
        <w:rPr>
          <w:rFonts w:ascii="Arial;sans-serif" w:hAnsi="Arial;sans-serif"/>
          <w:b/>
          <w:i/>
          <w:color w:val="000000"/>
          <w:sz w:val="16"/>
        </w:rPr>
        <w:t>PEO</w:t>
      </w:r>
      <w:r>
        <w:rPr>
          <w:color w:val="000000"/>
        </w:rPr>
        <w:t>”</w:t>
      </w:r>
      <w:r>
        <w:rPr>
          <w:rFonts w:ascii="Arial;sans-serif" w:hAnsi="Arial;sans-serif"/>
          <w:b w:val="false"/>
          <w:color w:val="000000"/>
          <w:sz w:val="16"/>
        </w:rPr>
        <w:t>), for each corresponding year in the “Total” column of the applicable “</w:t>
      </w:r>
      <w:r>
        <w:rPr>
          <w:rFonts w:ascii="Arial;sans-serif" w:hAnsi="Arial;sans-serif"/>
          <w:b w:val="false"/>
          <w:i/>
          <w:color w:val="000000"/>
          <w:sz w:val="16"/>
        </w:rPr>
        <w:t>Summary Compensation Table</w:t>
      </w:r>
      <w:r>
        <w:rPr>
          <w:rFonts w:ascii="Arial;sans-serif" w:hAnsi="Arial;sans-serif"/>
          <w:b w:val="false"/>
          <w:color w:val="000000"/>
          <w:sz w:val="16"/>
        </w:rPr>
        <w:t>.” Refer to “</w:t>
      </w:r>
      <w:r>
        <w:rPr>
          <w:rFonts w:ascii="Arial;sans-serif" w:hAnsi="Arial;sans-serif"/>
          <w:b w:val="false"/>
          <w:i/>
          <w:color w:val="000000"/>
          <w:sz w:val="16"/>
        </w:rPr>
        <w:t>Executive Compensation – Summary Compensation Table</w:t>
      </w:r>
      <w:r>
        <w:rPr>
          <w:rFonts w:ascii="Arial;sans-serif" w:hAnsi="Arial;sans-serif"/>
          <w:b w:val="false"/>
          <w:color w:val="000000"/>
          <w:sz w:val="16"/>
        </w:rPr>
        <w:t>.”</w:t>
      </w:r>
    </w:p>
    <w:p>
      <w:pPr>
        <w:pStyle w:val="TextBody"/>
        <w:bidi w:val="0"/>
        <w:spacing w:lineRule="auto" w:line="268" w:before="20" w:after="283"/>
        <w:ind w:left="0" w:right="0" w:hanging="360"/>
        <w:jc w:val="left"/>
        <w:rPr/>
      </w:pPr>
      <w:r>
        <w:rPr>
          <w:rFonts w:ascii="Arial;sans-serif" w:hAnsi="Arial;sans-serif"/>
          <w:b w:val="false"/>
          <w:color w:val="000000"/>
          <w:sz w:val="10"/>
        </w:rPr>
        <w:t>(2)    </w:t>
      </w:r>
      <w:r>
        <w:rPr>
          <w:rFonts w:ascii="Arial;sans-serif" w:hAnsi="Arial;sans-serif"/>
          <w:b w:val="false"/>
          <w:color w:val="000000"/>
          <w:sz w:val="16"/>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tbl>
      <w:tblPr>
        <w:tblW w:w="6072" w:type="dxa"/>
        <w:jc w:val="left"/>
        <w:tblInd w:w="0" w:type="dxa"/>
        <w:tblLayout w:type="fixed"/>
        <w:tblCellMar>
          <w:top w:w="28" w:type="dxa"/>
          <w:left w:w="28" w:type="dxa"/>
          <w:bottom w:w="28" w:type="dxa"/>
          <w:right w:w="28" w:type="dxa"/>
        </w:tblCellMar>
      </w:tblPr>
      <w:tblGrid>
        <w:gridCol w:w="173"/>
        <w:gridCol w:w="152"/>
        <w:gridCol w:w="156"/>
        <w:gridCol w:w="584"/>
        <w:gridCol w:w="584"/>
        <w:gridCol w:w="586"/>
        <w:gridCol w:w="404"/>
        <w:gridCol w:w="404"/>
        <w:gridCol w:w="406"/>
        <w:gridCol w:w="454"/>
        <w:gridCol w:w="454"/>
        <w:gridCol w:w="456"/>
        <w:gridCol w:w="368"/>
        <w:gridCol w:w="368"/>
        <w:gridCol w:w="52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5"/>
              </w:rPr>
            </w:pPr>
            <w:r>
              <w:rPr>
                <w:rFonts w:ascii="Arial;sans-serif" w:hAnsi="Arial;sans-serif"/>
                <w:b/>
                <w:color w:val="FFFFFF"/>
                <w:sz w:val="15"/>
              </w:rPr>
              <w:t>Year</w:t>
            </w:r>
          </w:p>
        </w:tc>
        <w:tc>
          <w:tcPr>
            <w:tcW w:w="175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Reported</w:t>
              <w:br/>
              <w:t>Summary</w:t>
              <w:br/>
              <w:t>Compensation</w:t>
              <w:br/>
              <w:t>Table Total for PEO ($)</w:t>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Reported</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Value of Equity</w:t>
            </w:r>
          </w:p>
          <w:p>
            <w:pPr>
              <w:pStyle w:val="TableContents"/>
              <w:bidi w:val="0"/>
              <w:spacing w:lineRule="auto" w:line="276" w:before="0" w:after="0"/>
              <w:jc w:val="center"/>
              <w:rPr/>
            </w:pPr>
            <w:r>
              <w:rPr>
                <w:rFonts w:ascii="Arial;sans-serif" w:hAnsi="Arial;sans-serif"/>
                <w:b/>
                <w:color w:val="FFFFFF"/>
                <w:sz w:val="15"/>
              </w:rPr>
              <w:t>Awards ($)</w:t>
            </w:r>
            <w:r>
              <w:rPr>
                <w:rFonts w:ascii="Arial;sans-serif" w:hAnsi="Arial;sans-serif"/>
                <w:b/>
                <w:color w:val="FFFFFF"/>
                <w:sz w:val="10"/>
              </w:rPr>
              <w:t>(a)</w:t>
            </w:r>
          </w:p>
        </w:tc>
        <w:tc>
          <w:tcPr>
            <w:tcW w:w="136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Equity Award </w:t>
            </w:r>
          </w:p>
          <w:p>
            <w:pPr>
              <w:pStyle w:val="TableContents"/>
              <w:bidi w:val="0"/>
              <w:spacing w:lineRule="auto" w:line="276" w:before="0" w:after="0"/>
              <w:jc w:val="center"/>
              <w:rPr/>
            </w:pPr>
            <w:r>
              <w:rPr>
                <w:rFonts w:ascii="Arial;sans-serif" w:hAnsi="Arial;sans-serif"/>
                <w:b/>
                <w:color w:val="FFFFFF"/>
                <w:sz w:val="15"/>
              </w:rPr>
              <w:t>Adjustments ($)</w:t>
            </w:r>
            <w:r>
              <w:rPr>
                <w:rFonts w:ascii="Arial;sans-serif" w:hAnsi="Arial;sans-serif"/>
                <w:b/>
                <w:color w:val="FFFFFF"/>
                <w:sz w:val="10"/>
              </w:rPr>
              <w:t>(b)</w:t>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Compensation</w:t>
              <w:br/>
              <w:t xml:space="preserve">Actually </w:t>
              <w:br/>
              <w:t>Paid to PEO ($)</w:t>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7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1,706,505</w:t>
            </w:r>
          </w:p>
        </w:tc>
        <w:tc>
          <w:tcPr>
            <w:tcW w:w="12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36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-17,921,820</w:t>
            </w:r>
          </w:p>
        </w:tc>
        <w:tc>
          <w:tcPr>
            <w:tcW w:w="12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-16,215,315</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7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1,539,577</w:t>
            </w:r>
          </w:p>
        </w:tc>
        <w:tc>
          <w:tcPr>
            <w:tcW w:w="12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36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17,918,311</w:t>
            </w:r>
          </w:p>
        </w:tc>
        <w:tc>
          <w:tcPr>
            <w:tcW w:w="12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19,457,888</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7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1,146,000</w:t>
            </w:r>
          </w:p>
        </w:tc>
        <w:tc>
          <w:tcPr>
            <w:tcW w:w="12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36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-23,929,000</w:t>
            </w:r>
          </w:p>
        </w:tc>
        <w:tc>
          <w:tcPr>
            <w:tcW w:w="12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-22,783,000</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7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1,515,269</w:t>
            </w:r>
          </w:p>
        </w:tc>
        <w:tc>
          <w:tcPr>
            <w:tcW w:w="12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36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23,648,342</w:t>
            </w:r>
          </w:p>
        </w:tc>
        <w:tc>
          <w:tcPr>
            <w:tcW w:w="12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25,163,611</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7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1,268,889</w:t>
            </w:r>
          </w:p>
        </w:tc>
        <w:tc>
          <w:tcPr>
            <w:tcW w:w="12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36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37,855,000</w:t>
            </w:r>
          </w:p>
        </w:tc>
        <w:tc>
          <w:tcPr>
            <w:tcW w:w="12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39,123,889</w:t>
            </w:r>
          </w:p>
        </w:tc>
      </w:tr>
    </w:tbl>
    <w:p>
      <w:pPr>
        <w:pStyle w:val="TextBody"/>
        <w:bidi w:val="0"/>
        <w:spacing w:lineRule="auto" w:line="268" w:before="20" w:after="283"/>
        <w:ind w:left="0" w:right="0" w:hanging="360"/>
        <w:jc w:val="left"/>
        <w:rPr/>
      </w:pPr>
      <w:r>
        <w:rPr>
          <w:rFonts w:ascii="Arial;sans-serif" w:hAnsi="Arial;sans-serif"/>
          <w:b w:val="false"/>
          <w:color w:val="000000"/>
          <w:sz w:val="10"/>
        </w:rPr>
        <w:t>(a)</w:t>
      </w:r>
      <w:r>
        <w:rPr>
          <w:rFonts w:ascii="Arial;sans-serif" w:hAnsi="Arial;sans-serif"/>
          <w:b w:val="false"/>
          <w:color w:val="000000"/>
          <w:sz w:val="16"/>
        </w:rPr>
        <w:t>The grant date fair value of equity awards represents the total of the amounts reported in the “Stock Awards” column in the “</w:t>
      </w:r>
      <w:r>
        <w:rPr>
          <w:rFonts w:ascii="Arial;sans-serif" w:hAnsi="Arial;sans-serif"/>
          <w:b w:val="false"/>
          <w:i/>
          <w:color w:val="000000"/>
          <w:sz w:val="16"/>
        </w:rPr>
        <w:t>Summary Compensation Table</w:t>
      </w:r>
      <w:r>
        <w:rPr>
          <w:color w:val="000000"/>
        </w:rPr>
        <w:t xml:space="preserve">” </w:t>
      </w:r>
      <w:r>
        <w:rPr>
          <w:rFonts w:ascii="Arial;sans-serif" w:hAnsi="Arial;sans-serif"/>
          <w:b w:val="false"/>
          <w:color w:val="000000"/>
          <w:sz w:val="16"/>
        </w:rPr>
        <w:t xml:space="preserve">for the applicable year. </w:t>
      </w:r>
    </w:p>
    <w:p>
      <w:pPr>
        <w:pStyle w:val="TextBody"/>
        <w:bidi w:val="0"/>
        <w:spacing w:lineRule="auto" w:line="268" w:before="20" w:after="283"/>
        <w:ind w:left="0" w:right="0" w:hanging="360"/>
        <w:jc w:val="left"/>
        <w:rPr/>
      </w:pPr>
      <w:r>
        <w:rPr>
          <w:rFonts w:ascii="Arial;sans-serif" w:hAnsi="Arial;sans-serif"/>
          <w:b w:val="false"/>
          <w:color w:val="000000"/>
          <w:sz w:val="10"/>
        </w:rPr>
        <w:t>(b)</w:t>
      </w:r>
      <w:r>
        <w:rPr>
          <w:rFonts w:ascii="Arial;sans-serif" w:hAnsi="Arial;sans-serif"/>
          <w:b w:val="false"/>
          <w:color w:val="000000"/>
          <w:sz w:val="16"/>
        </w:rPr>
        <w:t xml:space="preserve">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36575"/>
                <wp:effectExtent l="0" t="0" r="0" b="0"/>
                <wp:wrapNone/>
                <wp:docPr id="103" name="Frame6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58</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68" w:before="20" w:after="283"/>
        <w:jc w:val="left"/>
        <w:rPr>
          <w:rFonts w:ascii="Arial;sans-serif" w:hAnsi="Arial;sans-serif"/>
          <w:b w:val="false"/>
          <w:color w:val="000000"/>
          <w:sz w:val="16"/>
        </w:rPr>
      </w:pPr>
      <w:r>
        <w:rPr>
          <w:rFonts w:ascii="Arial;sans-serif" w:hAnsi="Arial;sans-serif"/>
          <w:b w:val="false"/>
          <w:color w:val="000000"/>
          <w:sz w:val="16"/>
        </w:rPr>
        <w:t>year, which are valued as of the applicable vesting date. The amounts deducted or added in calculating the equity award adjustments are as follows:</w:t>
      </w:r>
    </w:p>
    <w:tbl>
      <w:tblPr>
        <w:tblW w:w="8949" w:type="dxa"/>
        <w:jc w:val="left"/>
        <w:tblInd w:w="0" w:type="dxa"/>
        <w:tblLayout w:type="fixed"/>
        <w:tblCellMar>
          <w:top w:w="28" w:type="dxa"/>
          <w:left w:w="28" w:type="dxa"/>
          <w:bottom w:w="28" w:type="dxa"/>
          <w:right w:w="28" w:type="dxa"/>
        </w:tblCellMar>
      </w:tblPr>
      <w:tblGrid>
        <w:gridCol w:w="173"/>
        <w:gridCol w:w="152"/>
        <w:gridCol w:w="156"/>
        <w:gridCol w:w="299"/>
        <w:gridCol w:w="299"/>
        <w:gridCol w:w="301"/>
        <w:gridCol w:w="419"/>
        <w:gridCol w:w="419"/>
        <w:gridCol w:w="421"/>
        <w:gridCol w:w="389"/>
        <w:gridCol w:w="389"/>
        <w:gridCol w:w="391"/>
        <w:gridCol w:w="384"/>
        <w:gridCol w:w="384"/>
        <w:gridCol w:w="386"/>
        <w:gridCol w:w="389"/>
        <w:gridCol w:w="389"/>
        <w:gridCol w:w="391"/>
        <w:gridCol w:w="509"/>
        <w:gridCol w:w="509"/>
        <w:gridCol w:w="511"/>
        <w:gridCol w:w="377"/>
        <w:gridCol w:w="377"/>
        <w:gridCol w:w="535"/>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5"/>
              </w:rPr>
            </w:pPr>
            <w:r>
              <w:rPr>
                <w:rFonts w:ascii="Arial;sans-serif" w:hAnsi="Arial;sans-serif"/>
                <w:b/>
                <w:color w:val="FFFFFF"/>
                <w:sz w:val="15"/>
              </w:rPr>
              <w:t>Year</w:t>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Year End </w:t>
              <w:br/>
              <w:t xml:space="preserve">Fair Value </w:t>
              <w:br/>
              <w:t xml:space="preserve">of Equity </w:t>
              <w:br/>
              <w:t>Awards ($)</w:t>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Year over Year </w:t>
              <w:br/>
              <w:t xml:space="preserve">Change in Fair </w:t>
              <w:br/>
              <w:t xml:space="preserve">Value of </w:t>
              <w:br/>
              <w:t xml:space="preserve">Outstanding </w:t>
              <w:br/>
              <w:t xml:space="preserve">and Unvested </w:t>
              <w:br/>
              <w:t xml:space="preserve">Equity </w:t>
              <w:br/>
              <w:t>Awards ($)</w:t>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Fair Value as </w:t>
              <w:br/>
              <w:t xml:space="preserve">of Vesting </w:t>
              <w:br/>
              <w:t xml:space="preserve">Date of Equity </w:t>
              <w:br/>
              <w:t xml:space="preserve">Awards </w:t>
              <w:br/>
              <w:t xml:space="preserve">Granted and </w:t>
              <w:br/>
              <w:t xml:space="preserve">Vested in the </w:t>
              <w:br/>
              <w:t>Year ($)</w:t>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Year over </w:t>
              <w:br/>
              <w:t xml:space="preserve">Year Change </w:t>
              <w:br/>
              <w:t xml:space="preserve">in Fair Value </w:t>
              <w:br/>
              <w:t xml:space="preserve">of Equity </w:t>
              <w:br/>
              <w:t xml:space="preserve">Awards </w:t>
              <w:br/>
              <w:t xml:space="preserve">Granted in </w:t>
              <w:br/>
              <w:t xml:space="preserve">Prior Years </w:t>
              <w:br/>
              <w:t xml:space="preserve">that Vested in </w:t>
              <w:br/>
              <w:t>the Year ($)</w:t>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Fair Value at </w:t>
              <w:br/>
              <w:t xml:space="preserve">the End of the </w:t>
              <w:br/>
              <w:t xml:space="preserve">Prior Year of </w:t>
              <w:br/>
              <w:t xml:space="preserve">Equity </w:t>
              <w:br/>
              <w:t xml:space="preserve">Awards that </w:t>
              <w:br/>
              <w:t xml:space="preserve">Failed to Meet </w:t>
              <w:br/>
              <w:t xml:space="preserve">Vesting </w:t>
              <w:br/>
              <w:t xml:space="preserve">Conditions in </w:t>
              <w:br/>
              <w:t>the Year ($)</w:t>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Value of Dividends </w:t>
              <w:br/>
              <w:t xml:space="preserve">or other Earnings </w:t>
              <w:br/>
              <w:t xml:space="preserve">Paid on Stock or </w:t>
              <w:br/>
              <w:t xml:space="preserve">Option Awards not </w:t>
              <w:br/>
              <w:t xml:space="preserve">Otherwise </w:t>
              <w:br/>
              <w:t xml:space="preserve">Reflected in Fair </w:t>
              <w:br/>
              <w:t xml:space="preserve">Value or Total </w:t>
              <w:br/>
              <w:t>Compensation ($)</w:t>
            </w:r>
          </w:p>
        </w:tc>
        <w:tc>
          <w:tcPr>
            <w:tcW w:w="128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Total </w:t>
              <w:br/>
              <w:t xml:space="preserve">Equity </w:t>
              <w:br/>
              <w:t xml:space="preserve">Award </w:t>
              <w:br/>
              <w:t>Adjustments ($)</w:t>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89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-17,921,820</w:t>
            </w:r>
          </w:p>
        </w:tc>
        <w:tc>
          <w:tcPr>
            <w:tcW w:w="116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6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2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8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-17,921,820</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89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17,918,311</w:t>
            </w:r>
          </w:p>
        </w:tc>
        <w:tc>
          <w:tcPr>
            <w:tcW w:w="11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8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17,918,311</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89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-23,929,000</w:t>
            </w:r>
          </w:p>
        </w:tc>
        <w:tc>
          <w:tcPr>
            <w:tcW w:w="11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-23,929,000</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89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8,238,085</w:t>
            </w:r>
          </w:p>
        </w:tc>
        <w:tc>
          <w:tcPr>
            <w:tcW w:w="11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15,410,257</w:t>
            </w:r>
          </w:p>
        </w:tc>
        <w:tc>
          <w:tcPr>
            <w:tcW w:w="11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2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8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23,648,342</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89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37,855,000</w:t>
            </w:r>
          </w:p>
        </w:tc>
        <w:tc>
          <w:tcPr>
            <w:tcW w:w="11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52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28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37,855,000</w:t>
            </w:r>
          </w:p>
        </w:tc>
      </w:tr>
    </w:tbl>
    <w:p>
      <w:pPr>
        <w:pStyle w:val="TextBody"/>
        <w:bidi w:val="0"/>
        <w:spacing w:lineRule="auto" w:line="268" w:before="60" w:after="283"/>
        <w:ind w:left="0" w:right="0" w:hanging="360"/>
        <w:jc w:val="left"/>
        <w:rPr/>
      </w:pPr>
      <w:r>
        <w:rPr>
          <w:rFonts w:ascii="Arial;sans-serif" w:hAnsi="Arial;sans-serif"/>
          <w:b w:val="false"/>
          <w:color w:val="000000"/>
          <w:sz w:val="10"/>
        </w:rPr>
        <w:t>(3)    </w:t>
      </w:r>
      <w:r>
        <w:rPr>
          <w:rFonts w:ascii="Arial;sans-serif" w:hAnsi="Arial;sans-serif"/>
          <w:b w:val="false"/>
          <w:color w:val="000000"/>
          <w:sz w:val="16"/>
        </w:rPr>
        <w:t>The dollar amounts reported in column (d) represent the average of the amounts reported for the company’s named executive officers (“</w:t>
      </w:r>
      <w:r>
        <w:rPr>
          <w:rFonts w:ascii="Arial;sans-serif" w:hAnsi="Arial;sans-serif"/>
          <w:b/>
          <w:i/>
          <w:color w:val="000000"/>
          <w:sz w:val="16"/>
        </w:rPr>
        <w:t>NEOs</w:t>
      </w:r>
      <w:r>
        <w:rPr>
          <w:color w:val="000000"/>
        </w:rPr>
        <w:t>”</w:t>
      </w:r>
      <w:r>
        <w:rPr>
          <w:rFonts w:ascii="Arial;sans-serif" w:hAnsi="Arial;sans-serif"/>
          <w:b w:val="false"/>
          <w:color w:val="000000"/>
          <w:sz w:val="16"/>
        </w:rPr>
        <w:t>) as a group (excluding Mr. Houston) in the “Total” column of the “</w:t>
      </w:r>
      <w:r>
        <w:rPr>
          <w:rFonts w:ascii="Arial;sans-serif" w:hAnsi="Arial;sans-serif"/>
          <w:b w:val="false"/>
          <w:i/>
          <w:color w:val="000000"/>
          <w:sz w:val="16"/>
        </w:rPr>
        <w:t>Summary Compensation Table</w:t>
      </w:r>
      <w:r>
        <w:rPr>
          <w:color w:val="000000"/>
        </w:rPr>
        <w:t xml:space="preserve">” </w:t>
      </w:r>
      <w:r>
        <w:rPr>
          <w:rFonts w:ascii="Arial;sans-serif" w:hAnsi="Arial;sans-serif"/>
          <w:b w:val="false"/>
          <w:color w:val="000000"/>
          <w:sz w:val="16"/>
        </w:rPr>
        <w:t>in each applicable year. The names of each of the NEOs (excluding Mr. Houston) included for purposes of calculating the average amounts in each applicable year are as follows: (i) for 2024, Tim Regan, Bart Volkmer, and Eric Cox; (ii) for 2023, Timothy Young, Tim Regan, Bart Volkmer, and Eric Cox; (iii) for 2022, Timothy Young, Tim Regan and Bart Volkmer; (iv) for 2021, Timothy Young, Tim Regan, Bart Volkmer, and Olivia Nottebohm; and (v) for 2020, Timothy Young, Tim Regan, Bart Volkmer, Olivia Nottebohm, and Ajay Vashee.</w:t>
      </w:r>
    </w:p>
    <w:p>
      <w:pPr>
        <w:pStyle w:val="TextBody"/>
        <w:bidi w:val="0"/>
        <w:spacing w:lineRule="auto" w:line="268" w:before="100" w:after="283"/>
        <w:ind w:left="0" w:right="0" w:hanging="360"/>
        <w:jc w:val="left"/>
        <w:rPr/>
      </w:pPr>
      <w:r>
        <w:rPr>
          <w:rFonts w:ascii="Arial;sans-serif" w:hAnsi="Arial;sans-serif"/>
          <w:b w:val="false"/>
          <w:color w:val="000000"/>
          <w:sz w:val="10"/>
        </w:rPr>
        <w:t>(4)    </w:t>
      </w:r>
      <w:r>
        <w:rPr>
          <w:rFonts w:ascii="Arial;sans-serif" w:hAnsi="Arial;sans-serif"/>
          <w:b w:val="false"/>
          <w:color w:val="000000"/>
          <w:sz w:val="16"/>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tbl>
      <w:tblPr>
        <w:tblW w:w="7363" w:type="dxa"/>
        <w:jc w:val="left"/>
        <w:tblInd w:w="0" w:type="dxa"/>
        <w:tblLayout w:type="fixed"/>
        <w:tblCellMar>
          <w:top w:w="28" w:type="dxa"/>
          <w:left w:w="28" w:type="dxa"/>
          <w:bottom w:w="28" w:type="dxa"/>
          <w:right w:w="28" w:type="dxa"/>
        </w:tblCellMar>
      </w:tblPr>
      <w:tblGrid>
        <w:gridCol w:w="173"/>
        <w:gridCol w:w="152"/>
        <w:gridCol w:w="156"/>
        <w:gridCol w:w="549"/>
        <w:gridCol w:w="549"/>
        <w:gridCol w:w="551"/>
        <w:gridCol w:w="489"/>
        <w:gridCol w:w="489"/>
        <w:gridCol w:w="491"/>
        <w:gridCol w:w="619"/>
        <w:gridCol w:w="619"/>
        <w:gridCol w:w="621"/>
        <w:gridCol w:w="557"/>
        <w:gridCol w:w="557"/>
        <w:gridCol w:w="791"/>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5"/>
              </w:rPr>
            </w:pPr>
            <w:r>
              <w:rPr>
                <w:rFonts w:ascii="Arial;sans-serif" w:hAnsi="Arial;sans-serif"/>
                <w:b/>
                <w:color w:val="FFFFFF"/>
                <w:sz w:val="15"/>
              </w:rPr>
              <w:t>Year</w:t>
            </w:r>
          </w:p>
        </w:tc>
        <w:tc>
          <w:tcPr>
            <w:tcW w:w="164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w:t>
              <w:br/>
              <w:t xml:space="preserve">Reported Summary </w:t>
              <w:br/>
              <w:t xml:space="preserve">Compensation Table </w:t>
              <w:br/>
              <w:t xml:space="preserve">Total for Non-PEO </w:t>
              <w:br/>
              <w:t>NEOs ($)</w:t>
            </w:r>
          </w:p>
        </w:tc>
        <w:tc>
          <w:tcPr>
            <w:tcW w:w="146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Reported </w:t>
              <w:br/>
              <w:t xml:space="preserve">Value of Equity </w:t>
              <w:br/>
              <w:t>Awards($)</w:t>
            </w:r>
          </w:p>
        </w:tc>
        <w:tc>
          <w:tcPr>
            <w:tcW w:w="185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Average Equity </w:t>
            </w:r>
          </w:p>
          <w:p>
            <w:pPr>
              <w:pStyle w:val="TableContents"/>
              <w:bidi w:val="0"/>
              <w:spacing w:lineRule="auto" w:line="276" w:before="0" w:after="0"/>
              <w:jc w:val="center"/>
              <w:rPr/>
            </w:pPr>
            <w:r>
              <w:rPr>
                <w:rFonts w:ascii="Arial;sans-serif" w:hAnsi="Arial;sans-serif"/>
                <w:b/>
                <w:color w:val="FFFFFF"/>
                <w:sz w:val="15"/>
              </w:rPr>
              <w:t>Award Adjustments ($)</w:t>
            </w:r>
            <w:r>
              <w:rPr>
                <w:rFonts w:ascii="Arial;sans-serif" w:hAnsi="Arial;sans-serif"/>
                <w:b/>
                <w:color w:val="FFFFFF"/>
                <w:sz w:val="10"/>
              </w:rPr>
              <w:t>(a)</w:t>
            </w:r>
          </w:p>
        </w:tc>
        <w:tc>
          <w:tcPr>
            <w:tcW w:w="1905"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Compensation </w:t>
              <w:br/>
              <w:t>Actually Paid to Non-</w:t>
              <w:br/>
              <w:t>PEO NEOs ($)</w:t>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64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7,182,866</w:t>
            </w:r>
          </w:p>
        </w:tc>
        <w:tc>
          <w:tcPr>
            <w:tcW w:w="146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6,566,199</w:t>
            </w:r>
          </w:p>
        </w:tc>
        <w:tc>
          <w:tcPr>
            <w:tcW w:w="18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6,882,177</w:t>
            </w:r>
          </w:p>
        </w:tc>
        <w:tc>
          <w:tcPr>
            <w:tcW w:w="1905"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7,498,844</w:t>
            </w:r>
          </w:p>
        </w:tc>
      </w:tr>
      <w:tr>
        <w:trPr/>
        <w:tc>
          <w:tcPr>
            <w:tcW w:w="481" w:type="dxa"/>
            <w:gridSpan w:val="3"/>
            <w:tcBorders>
              <w:top w:val="single" w:sz="12" w:space="0" w:color="FFFFFF"/>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64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2,515,311</w:t>
            </w:r>
          </w:p>
        </w:tc>
        <w:tc>
          <w:tcPr>
            <w:tcW w:w="146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2,049,960</w:t>
            </w:r>
          </w:p>
        </w:tc>
        <w:tc>
          <w:tcPr>
            <w:tcW w:w="185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699,685</w:t>
            </w:r>
          </w:p>
        </w:tc>
        <w:tc>
          <w:tcPr>
            <w:tcW w:w="190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1,165,036</w:t>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64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3,473,372</w:t>
            </w:r>
          </w:p>
        </w:tc>
        <w:tc>
          <w:tcPr>
            <w:tcW w:w="146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2,607,061</w:t>
            </w:r>
          </w:p>
        </w:tc>
        <w:tc>
          <w:tcPr>
            <w:tcW w:w="185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-337,824</w:t>
            </w:r>
          </w:p>
        </w:tc>
        <w:tc>
          <w:tcPr>
            <w:tcW w:w="1905"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528,487</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6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2,832,378</w:t>
            </w:r>
          </w:p>
        </w:tc>
        <w:tc>
          <w:tcPr>
            <w:tcW w:w="14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1,946,253</w:t>
            </w:r>
          </w:p>
        </w:tc>
        <w:tc>
          <w:tcPr>
            <w:tcW w:w="185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375,828</w:t>
            </w:r>
          </w:p>
        </w:tc>
        <w:tc>
          <w:tcPr>
            <w:tcW w:w="1905"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1,261,953</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6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10,219,177</w:t>
            </w:r>
          </w:p>
        </w:tc>
        <w:tc>
          <w:tcPr>
            <w:tcW w:w="14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9,424,859</w:t>
            </w:r>
          </w:p>
        </w:tc>
        <w:tc>
          <w:tcPr>
            <w:tcW w:w="18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9,598,164</w:t>
            </w:r>
          </w:p>
        </w:tc>
        <w:tc>
          <w:tcPr>
            <w:tcW w:w="1905"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10,392,482</w:t>
            </w:r>
          </w:p>
        </w:tc>
      </w:tr>
    </w:tbl>
    <w:p>
      <w:pPr>
        <w:pStyle w:val="TextBody"/>
        <w:bidi w:val="0"/>
        <w:spacing w:lineRule="auto" w:line="268" w:before="20" w:after="283"/>
        <w:ind w:left="0" w:right="0" w:hanging="360"/>
        <w:jc w:val="left"/>
        <w:rPr/>
      </w:pPr>
      <w:r>
        <w:rPr>
          <w:rFonts w:ascii="Arial;sans-serif" w:hAnsi="Arial;sans-serif"/>
          <w:b w:val="false"/>
          <w:color w:val="000000"/>
          <w:sz w:val="10"/>
        </w:rPr>
        <w:t>(a)</w:t>
      </w:r>
      <w:r>
        <w:rPr>
          <w:rFonts w:ascii="Arial;sans-serif" w:hAnsi="Arial;sans-serif"/>
          <w:b w:val="false"/>
          <w:i/>
          <w:color w:val="000000"/>
          <w:sz w:val="16"/>
        </w:rPr>
        <w:t>The amounts deducted or added in calculating the total average equity award adjustments are as follows:</w:t>
      </w:r>
    </w:p>
    <w:tbl>
      <w:tblPr>
        <w:tblW w:w="8950" w:type="dxa"/>
        <w:jc w:val="left"/>
        <w:tblInd w:w="0" w:type="dxa"/>
        <w:tblLayout w:type="fixed"/>
        <w:tblCellMar>
          <w:top w:w="28" w:type="dxa"/>
          <w:left w:w="28" w:type="dxa"/>
          <w:bottom w:w="28" w:type="dxa"/>
          <w:right w:w="28" w:type="dxa"/>
        </w:tblCellMar>
      </w:tblPr>
      <w:tblGrid>
        <w:gridCol w:w="173"/>
        <w:gridCol w:w="152"/>
        <w:gridCol w:w="156"/>
        <w:gridCol w:w="359"/>
        <w:gridCol w:w="359"/>
        <w:gridCol w:w="361"/>
        <w:gridCol w:w="384"/>
        <w:gridCol w:w="384"/>
        <w:gridCol w:w="386"/>
        <w:gridCol w:w="404"/>
        <w:gridCol w:w="404"/>
        <w:gridCol w:w="406"/>
        <w:gridCol w:w="384"/>
        <w:gridCol w:w="384"/>
        <w:gridCol w:w="386"/>
        <w:gridCol w:w="449"/>
        <w:gridCol w:w="449"/>
        <w:gridCol w:w="451"/>
        <w:gridCol w:w="469"/>
        <w:gridCol w:w="469"/>
        <w:gridCol w:w="471"/>
        <w:gridCol w:w="325"/>
        <w:gridCol w:w="325"/>
        <w:gridCol w:w="46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5"/>
              </w:rPr>
            </w:pPr>
            <w:r>
              <w:rPr>
                <w:rFonts w:ascii="Arial;sans-serif" w:hAnsi="Arial;sans-serif"/>
                <w:b/>
                <w:color w:val="FFFFFF"/>
                <w:sz w:val="15"/>
              </w:rPr>
              <w:t>Year</w:t>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(a)</w:t>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(b)</w:t>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(c)</w:t>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(d)</w:t>
            </w:r>
          </w:p>
        </w:tc>
        <w:tc>
          <w:tcPr>
            <w:tcW w:w="134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(e)</w:t>
            </w:r>
          </w:p>
        </w:tc>
        <w:tc>
          <w:tcPr>
            <w:tcW w:w="1409"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5"/>
              </w:rPr>
            </w:pPr>
            <w:r>
              <w:rPr>
                <w:rFonts w:ascii="Arial;sans-serif" w:hAnsi="Arial;sans-serif"/>
                <w:b/>
                <w:color w:val="FFFFFF"/>
                <w:sz w:val="15"/>
              </w:rPr>
              <w:t>(f)</w:t>
            </w:r>
          </w:p>
        </w:tc>
        <w:tc>
          <w:tcPr>
            <w:tcW w:w="1110"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Total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Average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Equity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Award </w:t>
            </w:r>
          </w:p>
          <w:p>
            <w:pPr>
              <w:pStyle w:val="TableContents"/>
              <w:bidi w:val="0"/>
              <w:spacing w:lineRule="auto" w:line="276" w:before="0" w:after="0"/>
              <w:jc w:val="center"/>
              <w:rPr>
                <w:rFonts w:ascii="Arial;sans-serif" w:hAnsi="Arial;sans-serif"/>
                <w:b/>
                <w:color w:val="FFFFFF"/>
                <w:sz w:val="15"/>
              </w:rPr>
            </w:pPr>
            <w:r>
              <w:rPr>
                <w:rFonts w:ascii="Arial;sans-serif" w:hAnsi="Arial;sans-serif"/>
                <w:b/>
                <w:color w:val="FFFFFF"/>
                <w:sz w:val="15"/>
              </w:rPr>
              <w:t xml:space="preserve">Adjustments </w:t>
            </w:r>
          </w:p>
          <w:p>
            <w:pPr>
              <w:pStyle w:val="TableContents"/>
              <w:bidi w:val="0"/>
              <w:spacing w:lineRule="auto" w:line="276" w:before="0" w:after="0"/>
              <w:jc w:val="center"/>
              <w:rPr/>
            </w:pPr>
            <w:r>
              <w:rPr>
                <w:rFonts w:ascii="Arial;sans-serif" w:hAnsi="Arial;sans-serif"/>
                <w:b/>
                <w:color w:val="FFFFFF"/>
                <w:sz w:val="15"/>
              </w:rPr>
              <w:t>($)</w:t>
            </w:r>
            <w:r>
              <w:rPr>
                <w:rFonts w:ascii="Arial;sans-serif" w:hAnsi="Arial;sans-serif"/>
                <w:b/>
                <w:color w:val="FFFFFF"/>
                <w:sz w:val="10"/>
              </w:rPr>
              <w:t>(a)</w:t>
            </w:r>
          </w:p>
        </w:tc>
      </w:tr>
      <w:tr>
        <w:trPr/>
        <w:tc>
          <w:tcPr>
            <w:tcW w:w="481"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left w:val="single" w:sz="12" w:space="0" w:color="FFFFFF"/>
              <w:right w:val="single" w:sz="12" w:space="0" w:color="FFFFFF"/>
            </w:tcBorders>
            <w:shd w:fill="0063A6" w:val="clear"/>
            <w:tcMar>
              <w:top w:w="0" w:type="dxa"/>
              <w:bottom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481" w:type="dxa"/>
            <w:gridSpan w:val="3"/>
            <w:vMerge w:val="continue"/>
            <w:tcBorders/>
            <w:shd w:fill="0063A6" w:val="clear"/>
            <w:tcMar>
              <w:top w:w="0" w:type="dxa"/>
              <w:left w:w="0" w:type="dxa"/>
              <w:bottom w:w="0" w:type="dxa"/>
              <w:right w:w="0" w:type="dxa"/>
            </w:tcMar>
            <w:vAlign w:val="center"/>
          </w:tcPr>
          <w:p>
            <w:pPr>
              <w:pStyle w:val="Normal"/>
              <w:bidi w:val="0"/>
              <w:jc w:val="left"/>
              <w:rPr/>
            </w:pPr>
            <w:r>
              <w:rPr/>
            </w:r>
          </w:p>
        </w:tc>
        <w:tc>
          <w:tcPr>
            <w:tcW w:w="1079"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w:t>
              <w:br/>
              <w:t xml:space="preserve">Year End </w:t>
              <w:br/>
              <w:t xml:space="preserve">Fair Value of </w:t>
              <w:br/>
              <w:t xml:space="preserve">Equity </w:t>
              <w:br/>
              <w:t>Awards ($)</w:t>
            </w:r>
          </w:p>
        </w:tc>
        <w:tc>
          <w:tcPr>
            <w:tcW w:w="1154"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Year over </w:t>
              <w:br/>
              <w:t xml:space="preserve">Year Average </w:t>
              <w:br/>
              <w:t xml:space="preserve">Change in </w:t>
              <w:br/>
              <w:t xml:space="preserve">Fair Value of </w:t>
              <w:br/>
              <w:t xml:space="preserve">Outstanding </w:t>
              <w:br/>
              <w:t xml:space="preserve">and Unvested </w:t>
              <w:br/>
              <w:t xml:space="preserve">Equity </w:t>
              <w:br/>
              <w:t>Awards ($)</w:t>
            </w:r>
          </w:p>
        </w:tc>
        <w:tc>
          <w:tcPr>
            <w:tcW w:w="1214"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w:t>
              <w:br/>
              <w:t xml:space="preserve">Fair Value </w:t>
              <w:br/>
              <w:t xml:space="preserve">as of Vesting </w:t>
              <w:br/>
              <w:t xml:space="preserve">Date of </w:t>
              <w:br/>
              <w:t xml:space="preserve">Equity Awards </w:t>
              <w:br/>
              <w:t xml:space="preserve">Granted </w:t>
              <w:br/>
              <w:t xml:space="preserve">and Vested </w:t>
              <w:br/>
              <w:t xml:space="preserve">in the </w:t>
              <w:br/>
              <w:t>Year ($)</w:t>
            </w:r>
          </w:p>
        </w:tc>
        <w:tc>
          <w:tcPr>
            <w:tcW w:w="1154"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Year over </w:t>
              <w:br/>
              <w:t xml:space="preserve">Year Average </w:t>
              <w:br/>
              <w:t xml:space="preserve">Change in </w:t>
              <w:br/>
              <w:t xml:space="preserve">Fair Value of </w:t>
              <w:br/>
              <w:t xml:space="preserve">Equity </w:t>
              <w:br/>
              <w:t xml:space="preserve">Awards </w:t>
              <w:br/>
              <w:t xml:space="preserve">Granted in </w:t>
              <w:br/>
              <w:t xml:space="preserve">Prior Years </w:t>
              <w:br/>
              <w:t xml:space="preserve">that Vested in </w:t>
              <w:br/>
              <w:t>the Year ($)</w:t>
            </w:r>
          </w:p>
        </w:tc>
        <w:tc>
          <w:tcPr>
            <w:tcW w:w="1349" w:type="dxa"/>
            <w:gridSpan w:val="3"/>
            <w:tcBorders>
              <w:top w:val="single" w:sz="12" w:space="0" w:color="FFFFFF"/>
              <w:left w:val="single" w:sz="12" w:space="0" w:color="FFFFFF"/>
            </w:tcBorders>
            <w:shd w:fill="0063A6"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Fair </w:t>
              <w:br/>
              <w:t xml:space="preserve">Value at the End </w:t>
              <w:br/>
              <w:t xml:space="preserve">of the Prior Year </w:t>
              <w:br/>
              <w:t xml:space="preserve">of Equity </w:t>
              <w:br/>
              <w:t xml:space="preserve">Awards that </w:t>
              <w:br/>
              <w:t xml:space="preserve">Failed to Meet </w:t>
              <w:br/>
              <w:t xml:space="preserve">Vesting </w:t>
              <w:br/>
              <w:t xml:space="preserve">Conditions in </w:t>
              <w:br/>
              <w:t>the Year ($)</w:t>
            </w:r>
          </w:p>
        </w:tc>
        <w:tc>
          <w:tcPr>
            <w:tcW w:w="1409" w:type="dxa"/>
            <w:gridSpan w:val="3"/>
            <w:tcBorders>
              <w:top w:val="single" w:sz="12" w:space="0" w:color="FFFFFF"/>
              <w:left w:val="single" w:sz="12" w:space="0" w:color="FFFFFF"/>
              <w:right w:val="single" w:sz="12" w:space="0" w:color="FFFFFF"/>
            </w:tcBorders>
            <w:shd w:fill="0063A6" w:val="clear"/>
            <w:tcMar>
              <w:top w:w="30" w:type="dxa"/>
              <w:bottom w:w="0" w:type="dxa"/>
            </w:tcMar>
            <w:vAlign w:val="center"/>
          </w:tcPr>
          <w:p>
            <w:pPr>
              <w:pStyle w:val="TableContents"/>
              <w:bidi w:val="0"/>
              <w:spacing w:lineRule="auto" w:line="276" w:before="0" w:after="283"/>
              <w:jc w:val="center"/>
              <w:rPr>
                <w:rFonts w:ascii="Arial;sans-serif" w:hAnsi="Arial;sans-serif"/>
                <w:b/>
                <w:color w:val="FFFFFF"/>
                <w:sz w:val="15"/>
              </w:rPr>
            </w:pPr>
            <w:r>
              <w:rPr>
                <w:rFonts w:ascii="Arial;sans-serif" w:hAnsi="Arial;sans-serif"/>
                <w:b/>
                <w:color w:val="FFFFFF"/>
                <w:sz w:val="15"/>
              </w:rPr>
              <w:t xml:space="preserve">Average 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110"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48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07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5,703,394</w:t>
            </w:r>
          </w:p>
        </w:tc>
        <w:tc>
          <w:tcPr>
            <w:tcW w:w="11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62,853</w:t>
            </w:r>
          </w:p>
        </w:tc>
        <w:tc>
          <w:tcPr>
            <w:tcW w:w="12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1,382,982</w:t>
            </w:r>
          </w:p>
        </w:tc>
        <w:tc>
          <w:tcPr>
            <w:tcW w:w="11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-267,053</w:t>
            </w:r>
          </w:p>
        </w:tc>
        <w:tc>
          <w:tcPr>
            <w:tcW w:w="134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40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1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6,882,177</w:t>
            </w:r>
          </w:p>
        </w:tc>
      </w:tr>
      <w:tr>
        <w:trPr/>
        <w:tc>
          <w:tcPr>
            <w:tcW w:w="481" w:type="dxa"/>
            <w:gridSpan w:val="3"/>
            <w:tcBorders>
              <w:top w:val="single" w:sz="12" w:space="0" w:color="FFFFFF"/>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07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2,271,117</w:t>
            </w:r>
          </w:p>
        </w:tc>
        <w:tc>
          <w:tcPr>
            <w:tcW w:w="115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586,030</w:t>
            </w:r>
          </w:p>
        </w:tc>
        <w:tc>
          <w:tcPr>
            <w:tcW w:w="121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460,877</w:t>
            </w:r>
          </w:p>
        </w:tc>
        <w:tc>
          <w:tcPr>
            <w:tcW w:w="115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299,187</w:t>
            </w:r>
          </w:p>
        </w:tc>
        <w:tc>
          <w:tcPr>
            <w:tcW w:w="134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-2,917,528</w:t>
            </w:r>
          </w:p>
        </w:tc>
        <w:tc>
          <w:tcPr>
            <w:tcW w:w="140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699,685</w:t>
            </w:r>
          </w:p>
        </w:tc>
      </w:tr>
      <w:tr>
        <w:trPr/>
        <w:tc>
          <w:tcPr>
            <w:tcW w:w="481"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07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2,038,975</w:t>
            </w:r>
          </w:p>
        </w:tc>
        <w:tc>
          <w:tcPr>
            <w:tcW w:w="11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-2,637,402</w:t>
            </w:r>
          </w:p>
        </w:tc>
        <w:tc>
          <w:tcPr>
            <w:tcW w:w="121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479,292</w:t>
            </w:r>
          </w:p>
        </w:tc>
        <w:tc>
          <w:tcPr>
            <w:tcW w:w="115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-218,688</w:t>
            </w:r>
          </w:p>
        </w:tc>
        <w:tc>
          <w:tcPr>
            <w:tcW w:w="134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409"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1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-337,824</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07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1,455,584</w:t>
            </w:r>
          </w:p>
        </w:tc>
        <w:tc>
          <w:tcPr>
            <w:tcW w:w="11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1,400,515</w:t>
            </w:r>
          </w:p>
        </w:tc>
        <w:tc>
          <w:tcPr>
            <w:tcW w:w="121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385,547</w:t>
            </w:r>
          </w:p>
        </w:tc>
        <w:tc>
          <w:tcPr>
            <w:tcW w:w="1154"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648,906</w:t>
            </w:r>
          </w:p>
        </w:tc>
        <w:tc>
          <w:tcPr>
            <w:tcW w:w="134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3,514,724</w:t>
            </w:r>
          </w:p>
        </w:tc>
        <w:tc>
          <w:tcPr>
            <w:tcW w:w="140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1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375,828</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2020</w:t>
            </w:r>
          </w:p>
        </w:tc>
        <w:tc>
          <w:tcPr>
            <w:tcW w:w="107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9,833,673</w:t>
            </w:r>
          </w:p>
        </w:tc>
        <w:tc>
          <w:tcPr>
            <w:tcW w:w="11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796,740</w:t>
            </w:r>
          </w:p>
        </w:tc>
        <w:tc>
          <w:tcPr>
            <w:tcW w:w="121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307,618</w:t>
            </w:r>
          </w:p>
        </w:tc>
        <w:tc>
          <w:tcPr>
            <w:tcW w:w="115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148,905</w:t>
            </w:r>
          </w:p>
        </w:tc>
        <w:tc>
          <w:tcPr>
            <w:tcW w:w="134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1,488,772</w:t>
            </w:r>
          </w:p>
        </w:tc>
        <w:tc>
          <w:tcPr>
            <w:tcW w:w="140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111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9,598,164</w:t>
            </w:r>
          </w:p>
        </w:tc>
      </w:tr>
    </w:tbl>
    <w:p>
      <w:pPr>
        <w:pStyle w:val="TextBody"/>
        <w:bidi w:val="0"/>
        <w:spacing w:lineRule="auto" w:line="256" w:before="20" w:after="283"/>
        <w:ind w:left="0" w:right="0" w:hanging="360"/>
        <w:jc w:val="left"/>
        <w:rPr/>
      </w:pPr>
      <w:r>
        <w:rPr>
          <w:rFonts w:ascii="Arial;sans-serif" w:hAnsi="Arial;sans-serif"/>
          <w:b w:val="false"/>
          <w:color w:val="000000"/>
          <w:sz w:val="10"/>
        </w:rPr>
        <w:t>(a)</w:t>
      </w:r>
      <w:r>
        <w:rPr>
          <w:rFonts w:ascii="Arial;sans-serif" w:hAnsi="Arial;sans-serif"/>
          <w:b w:val="false"/>
          <w:color w:val="000000"/>
          <w:sz w:val="16"/>
        </w:rPr>
        <w:t>The total average equity award adjustment is calculated by adding the values in columns (a), (b), (c), (d), and (f) less (e). Due to rounding, the total average equity award may not equal the total obtained by adding and subtracting the applicable columns.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36575"/>
                <wp:effectExtent l="0" t="0" r="0" b="0"/>
                <wp:wrapNone/>
                <wp:docPr id="104" name="Frame6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68" w:before="20" w:after="283"/>
        <w:ind w:left="0" w:right="0" w:hanging="360"/>
        <w:jc w:val="left"/>
        <w:rPr/>
      </w:pPr>
      <w:r>
        <w:rPr>
          <w:rFonts w:ascii="Arial;sans-serif" w:hAnsi="Arial;sans-serif"/>
          <w:b w:val="false"/>
          <w:color w:val="000000"/>
          <w:sz w:val="10"/>
        </w:rPr>
        <w:t>(5)    </w:t>
      </w:r>
      <w:r>
        <w:rPr>
          <w:rFonts w:ascii="Arial;sans-serif" w:hAnsi="Arial;sans-serif"/>
          <w:b w:val="false"/>
          <w:color w:val="000000"/>
          <w:sz w:val="16"/>
        </w:rPr>
        <w:t>Cumulative total shareholder return (“</w:t>
      </w:r>
      <w:r>
        <w:rPr>
          <w:rFonts w:ascii="Arial;sans-serif" w:hAnsi="Arial;sans-serif"/>
          <w:b/>
          <w:i/>
          <w:color w:val="000000"/>
          <w:sz w:val="16"/>
        </w:rPr>
        <w:t>TSR</w:t>
      </w:r>
      <w:r>
        <w:rPr>
          <w:color w:val="000000"/>
        </w:rPr>
        <w:t>”</w:t>
      </w:r>
      <w:r>
        <w:rPr>
          <w:rFonts w:ascii="Arial;sans-serif" w:hAnsi="Arial;sans-serif"/>
          <w:b w:val="false"/>
          <w:color w:val="000000"/>
          <w:sz w:val="16"/>
        </w:rPr>
        <w:t>) is calculated as the difference between the company’s share price at the end and the beginning of the measurement period divided by the company’s share price at the beginning of the measurement period.</w:t>
      </w:r>
    </w:p>
    <w:p>
      <w:pPr>
        <w:pStyle w:val="TextBody"/>
        <w:bidi w:val="0"/>
        <w:spacing w:lineRule="auto" w:line="268" w:before="20" w:after="283"/>
        <w:ind w:left="0" w:right="0" w:hanging="360"/>
        <w:jc w:val="left"/>
        <w:rPr/>
      </w:pPr>
      <w:r>
        <w:rPr>
          <w:rFonts w:ascii="Arial;sans-serif" w:hAnsi="Arial;sans-serif"/>
          <w:b w:val="false"/>
          <w:color w:val="000000"/>
          <w:sz w:val="10"/>
        </w:rPr>
        <w:t>(6)    </w:t>
      </w:r>
      <w:r>
        <w:rPr>
          <w:rFonts w:ascii="Arial;sans-serif" w:hAnsi="Arial;sans-serif"/>
          <w:b w:val="false"/>
          <w:color w:val="000000"/>
          <w:sz w:val="16"/>
        </w:rPr>
        <w:t>The peer group used for this purpose is the following published industry index: Nasdaq Computer Index.</w:t>
      </w:r>
    </w:p>
    <w:p>
      <w:pPr>
        <w:pStyle w:val="TextBody"/>
        <w:bidi w:val="0"/>
        <w:spacing w:lineRule="auto" w:line="268" w:before="20" w:after="283"/>
        <w:ind w:left="0" w:right="0" w:hanging="360"/>
        <w:jc w:val="left"/>
        <w:rPr/>
      </w:pPr>
      <w:r>
        <w:rPr>
          <w:rFonts w:ascii="Arial;sans-serif" w:hAnsi="Arial;sans-serif"/>
          <w:b w:val="false"/>
          <w:color w:val="000000"/>
          <w:sz w:val="10"/>
        </w:rPr>
        <w:t>(7)    </w:t>
      </w:r>
      <w:r>
        <w:rPr>
          <w:rFonts w:ascii="Arial;sans-serif" w:hAnsi="Arial;sans-serif"/>
          <w:b w:val="false"/>
          <w:color w:val="000000"/>
          <w:sz w:val="16"/>
        </w:rPr>
        <w:t>The dollar amounts reported represent the amount of net income reflected in the company’s audited financial statements for the applicable year.</w:t>
      </w:r>
    </w:p>
    <w:p>
      <w:pPr>
        <w:pStyle w:val="TextBody"/>
        <w:bidi w:val="0"/>
        <w:spacing w:lineRule="auto" w:line="268" w:before="20" w:after="283"/>
        <w:ind w:left="0" w:right="0" w:hanging="360"/>
        <w:jc w:val="left"/>
        <w:rPr/>
      </w:pPr>
      <w:r>
        <w:rPr>
          <w:rFonts w:ascii="Arial;sans-serif" w:hAnsi="Arial;sans-serif"/>
          <w:b w:val="false"/>
          <w:color w:val="000000"/>
          <w:sz w:val="10"/>
        </w:rPr>
        <w:t>(8)    </w:t>
      </w:r>
      <w:r>
        <w:rPr>
          <w:rFonts w:ascii="Arial;sans-serif" w:hAnsi="Arial;sans-serif"/>
          <w:b w:val="false"/>
          <w:color w:val="000000"/>
          <w:sz w:val="16"/>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Financial Performance Measures</w:t>
      </w:r>
    </w:p>
    <w:p>
      <w:pPr>
        <w:pStyle w:val="TextBody"/>
        <w:bidi w:val="0"/>
        <w:spacing w:lineRule="auto" w:line="276" w:before="100" w:after="283"/>
        <w:jc w:val="left"/>
        <w:rPr/>
      </w:pPr>
      <w:r>
        <w:rPr>
          <w:rFonts w:ascii="Arial;sans-serif" w:hAnsi="Arial;sans-serif"/>
          <w:b w:val="false"/>
          <w:color w:val="000000"/>
          <w:sz w:val="18"/>
          <w:shd w:fill="FFFFFF" w:val="clear"/>
        </w:rPr>
        <w:t>As described in greater detail in “</w:t>
      </w:r>
      <w:r>
        <w:rPr>
          <w:rFonts w:ascii="Arial;sans-serif" w:hAnsi="Arial;sans-serif"/>
          <w:b w:val="false"/>
          <w:i/>
          <w:color w:val="000000"/>
          <w:sz w:val="18"/>
          <w:shd w:fill="FFFFFF" w:val="clear"/>
        </w:rPr>
        <w:t>Executive Compensation – Compensation Discussion and Analysis</w:t>
      </w:r>
      <w:r>
        <w:rPr>
          <w:rFonts w:ascii="Arial;sans-serif" w:hAnsi="Arial;sans-serif"/>
          <w:b w:val="false"/>
          <w:color w:val="000000"/>
          <w:sz w:val="18"/>
          <w:shd w:fill="FFFFFF" w:val="clear"/>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Revenue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Non-GAAP operating margin</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Stock-based compensation expense</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Stock price</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Analysis of the Information Presented in the Pay versus Performance Table</w:t>
      </w:r>
    </w:p>
    <w:p>
      <w:pPr>
        <w:pStyle w:val="TextBody"/>
        <w:bidi w:val="0"/>
        <w:spacing w:lineRule="auto" w:line="276" w:before="100" w:after="283"/>
        <w:jc w:val="left"/>
        <w:rPr/>
      </w:pPr>
      <w:r>
        <w:rPr>
          <w:rFonts w:ascii="Arial;sans-serif" w:hAnsi="Arial;sans-serif"/>
          <w:b w:val="false"/>
          <w:color w:val="000000"/>
          <w:sz w:val="18"/>
          <w:shd w:fill="FFFFFF" w:val="clear"/>
        </w:rPr>
        <w:t>As described in more detail in the section “</w:t>
      </w:r>
      <w:r>
        <w:rPr>
          <w:rFonts w:ascii="Arial;sans-serif" w:hAnsi="Arial;sans-serif"/>
          <w:b w:val="false"/>
          <w:i/>
          <w:color w:val="000000"/>
          <w:sz w:val="18"/>
          <w:shd w:fill="FFFFFF" w:val="clear"/>
        </w:rPr>
        <w:t>Executive Compensation – Compensation Discussion and Analysis</w:t>
      </w:r>
      <w:r>
        <w:rPr>
          <w:rFonts w:ascii="Arial;sans-serif" w:hAnsi="Arial;sans-serif"/>
          <w:b w:val="false"/>
          <w:color w:val="000000"/>
          <w:sz w:val="18"/>
          <w:shd w:fill="FFFFFF" w:val="clear"/>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sans-serif" w:hAnsi="Arial;sans-serif"/>
          <w:b w:val="false"/>
          <w:i/>
          <w:color w:val="000000"/>
          <w:sz w:val="18"/>
          <w:shd w:fill="FFFFFF" w:val="clear"/>
        </w:rPr>
        <w:t>Pay Versus Performance</w:t>
      </w:r>
      <w:r>
        <w:rPr>
          <w:color w:val="000000"/>
          <w:shd w:fill="FFFFFF" w:val="clear"/>
        </w:rPr>
        <w:t xml:space="preserve">” </w:t>
      </w:r>
      <w:r>
        <w:rPr>
          <w:rFonts w:ascii="Arial;sans-serif" w:hAnsi="Arial;sans-serif"/>
          <w:b w:val="false"/>
          <w:color w:val="000000"/>
          <w:sz w:val="18"/>
          <w:shd w:fill="FFFFFF" w:val="clear"/>
        </w:rPr>
        <w:t>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sans-serif" w:hAnsi="Arial;sans-serif"/>
          <w:b w:val="false"/>
          <w:i/>
          <w:color w:val="000000"/>
          <w:sz w:val="18"/>
          <w:shd w:fill="FFFFFF" w:val="clear"/>
        </w:rPr>
        <w:t>Pay Versus Performance</w:t>
      </w:r>
      <w:r>
        <w:rPr>
          <w:color w:val="000000"/>
          <w:shd w:fill="FFFFFF" w:val="clear"/>
        </w:rPr>
        <w:t xml:space="preserve">” </w:t>
      </w:r>
      <w:r>
        <w:rPr>
          <w:rFonts w:ascii="Arial;sans-serif" w:hAnsi="Arial;sans-serif"/>
          <w:b w:val="false"/>
          <w:color w:val="000000"/>
          <w:sz w:val="18"/>
          <w:shd w:fill="FFFFFF" w:val="clear"/>
        </w:rPr>
        <w:t>table.</w:t>
      </w:r>
    </w:p>
    <w:p>
      <w:pPr>
        <w:pStyle w:val="TextBody"/>
        <w:bidi w:val="0"/>
        <w:spacing w:lineRule="auto" w:line="276" w:before="440" w:after="283"/>
        <w:jc w:val="left"/>
        <w:rPr>
          <w:rFonts w:ascii="Arial;sans-serif" w:hAnsi="Arial;sans-serif"/>
          <w:b/>
          <w:i/>
          <w:color w:val="0063A6"/>
          <w:sz w:val="18"/>
          <w:shd w:fill="FFFFFF" w:val="clear"/>
        </w:rPr>
      </w:pPr>
      <w:r>
        <w:rPr>
          <w:rFonts w:ascii="Arial;sans-serif" w:hAnsi="Arial;sans-serif"/>
          <w:b/>
          <w:i/>
          <w:color w:val="0063A6"/>
          <w:sz w:val="18"/>
          <w:shd w:fill="FFFFFF" w:val="clear"/>
        </w:rPr>
        <w:t>Compensation Actually Paid and Cumulative TSR</w:t>
      </w:r>
    </w:p>
    <w:p>
      <w:pPr>
        <w:pStyle w:val="TextBody"/>
        <w:bidi w:val="0"/>
        <w:spacing w:lineRule="auto" w:line="276" w:before="100" w:after="283"/>
        <w:jc w:val="left"/>
        <w:rPr/>
      </w:pPr>
      <w:r>
        <w:rPr>
          <w:rFonts w:ascii="Arial;sans-serif" w:hAnsi="Arial;sans-serif"/>
          <w:b w:val="false"/>
          <w:color w:val="000000"/>
          <w:sz w:val="18"/>
          <w:shd w:fill="FFFFFF" w:val="clear"/>
        </w:rPr>
        <w:t>As demonstrated by the following graph, the amount of compensation actually paid to Mr. Houston decreased between 2020 and 2022, increased between 2022 and 2023, and then decreased again in 2024. The average amount of compensation actually paid to the company’s NEOs as a group (excluding Mr. Houston) decreased between 2020 and 2022 and increased between 2022 and 2024. During that five-year period, total shareholder return has been positive. The variance in compensation actually paid over the five year period is because a significant portion of compensation actually paid is comprised of equity awards, and in the case of Mr. Houston, vesting of equity awards is contingent upon achieving stock price targets as described in more detail in the section “</w:t>
      </w:r>
      <w:r>
        <w:rPr>
          <w:rFonts w:ascii="Arial;sans-serif" w:hAnsi="Arial;sans-serif"/>
          <w:b w:val="false"/>
          <w:i/>
          <w:color w:val="000000"/>
          <w:sz w:val="18"/>
          <w:shd w:fill="FFFFFF" w:val="clear"/>
        </w:rPr>
        <w:t>Executive Compensation – Compensation Discussion and Analysis</w:t>
      </w:r>
      <w:r>
        <w:rPr>
          <w:color w:val="000000"/>
          <w:shd w:fill="FFFFFF" w:val="clear"/>
        </w:rPr>
        <w:t>”</w:t>
      </w:r>
      <w:r>
        <w:rPr>
          <w:rFonts w:ascii="Arial;sans-serif" w:hAnsi="Arial;sans-serif"/>
          <w:b w:val="false"/>
          <w:color w:val="000000"/>
          <w:sz w:val="18"/>
          <w:shd w:fill="FFFFFF" w:val="clear"/>
        </w:rPr>
        <w:t>.</w:t>
      </w:r>
    </w:p>
    <w:p>
      <w:pPr>
        <w:pStyle w:val="TextBody"/>
        <w:bidi w:val="0"/>
        <w:spacing w:before="240" w:after="283"/>
        <w:jc w:val="center"/>
        <w:rPr/>
      </w:pPr>
      <w:r>
        <w:rPr/>
        <w:drawing>
          <wp:inline distT="0" distB="0" distL="0" distR="0">
            <wp:extent cx="3152775" cy="2286000"/>
            <wp:effectExtent l="0" t="0" r="0" b="0"/>
            <wp:docPr id="10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0" descr=""/>
                    <pic:cNvPicPr>
                      <a:picLocks noChangeAspect="1" noChangeArrowheads="1"/>
                    </pic:cNvPicPr>
                  </pic:nvPicPr>
                  <pic:blipFill>
                    <a:blip r:embed="rId41"/>
                    <a:stretch>
                      <a:fillRect/>
                    </a:stretch>
                  </pic:blipFill>
                  <pic:spPr bwMode="auto">
                    <a:xfrm>
                      <a:off x="0" y="0"/>
                      <a:ext cx="3152775" cy="2286000"/>
                    </a:xfrm>
                    <a:prstGeom prst="rect">
                      <a:avLst/>
                    </a:prstGeom>
                  </pic:spPr>
                </pic:pic>
              </a:graphicData>
            </a:graphic>
          </wp:inline>
        </w:drawing>
      </w:r>
    </w:p>
    <w:p>
      <w:pPr>
        <w:pStyle w:val="TextBody"/>
        <w:bidi w:val="0"/>
        <w:spacing w:before="240" w:after="283"/>
        <w:jc w:val="center"/>
        <w:rPr/>
      </w:pPr>
      <w:r>
        <w:rPr/>
        <w:drawing>
          <wp:inline distT="0" distB="0" distL="0" distR="0">
            <wp:extent cx="3152775" cy="2286000"/>
            <wp:effectExtent l="0" t="0" r="0" b="0"/>
            <wp:docPr id="10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1" descr=""/>
                    <pic:cNvPicPr>
                      <a:picLocks noChangeAspect="1" noChangeArrowheads="1"/>
                    </pic:cNvPicPr>
                  </pic:nvPicPr>
                  <pic:blipFill>
                    <a:blip r:embed="rId42"/>
                    <a:stretch>
                      <a:fillRect/>
                    </a:stretch>
                  </pic:blipFill>
                  <pic:spPr bwMode="auto">
                    <a:xfrm>
                      <a:off x="0" y="0"/>
                      <a:ext cx="3152775" cy="22860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36575"/>
                <wp:effectExtent l="0" t="0" r="0" b="0"/>
                <wp:wrapNone/>
                <wp:docPr id="107" name="Frame6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60</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440" w:after="283"/>
        <w:jc w:val="left"/>
        <w:rPr>
          <w:rFonts w:ascii="Arial;sans-serif" w:hAnsi="Arial;sans-serif"/>
          <w:b/>
          <w:i/>
          <w:color w:val="0063A6"/>
          <w:sz w:val="18"/>
          <w:shd w:fill="FFFFFF" w:val="clear"/>
        </w:rPr>
      </w:pPr>
      <w:r>
        <w:rPr>
          <w:rFonts w:ascii="Arial;sans-serif" w:hAnsi="Arial;sans-serif"/>
          <w:b/>
          <w:i/>
          <w:color w:val="0063A6"/>
          <w:sz w:val="18"/>
          <w:shd w:fill="FFFFFF" w:val="clear"/>
        </w:rPr>
        <w:t>Compensation Actually Paid and Net Income</w:t>
      </w:r>
    </w:p>
    <w:p>
      <w:pPr>
        <w:pStyle w:val="TextBody"/>
        <w:bidi w:val="0"/>
        <w:spacing w:lineRule="auto" w:line="276" w:before="0" w:after="0"/>
        <w:jc w:val="left"/>
        <w:rPr/>
      </w:pPr>
      <w:r>
        <w:rPr>
          <w:rFonts w:ascii="Arial;sans-serif" w:hAnsi="Arial;sans-serif"/>
          <w:b w:val="false"/>
          <w:color w:val="000000"/>
          <w:sz w:val="18"/>
          <w:shd w:fill="FFFFFF" w:val="clear"/>
        </w:rPr>
        <w:t>As demonstrated by the following graph, the amount of compensation actually paid to Mr. Houston decreased between 2020 and 2022, increased between 2022 and 2023, and then decreased again in 2024. Meanwhile, the company's net income stabilized at a strong position over the same period. The average amount of compensation actually paid to the company’s NEOs as a group (excluding Mr. Houston) decreased between 2020 and 2022 and increased between 2022 and 2024, while the company's net income stabilized at a strong position over the same period. We do not use net income as a performance measure in our short or long-term incentive programs and as further discussed in the section “</w:t>
      </w:r>
      <w:r>
        <w:rPr>
          <w:rFonts w:ascii="Arial;sans-serif" w:hAnsi="Arial;sans-serif"/>
          <w:b w:val="false"/>
          <w:i/>
          <w:color w:val="000000"/>
          <w:sz w:val="18"/>
          <w:shd w:fill="FFFFFF" w:val="clear"/>
        </w:rPr>
        <w:t>Executive Compensation – Compensation Discussion and Analysis</w:t>
      </w:r>
      <w:r>
        <w:rPr>
          <w:color w:val="000000"/>
          <w:shd w:fill="FFFFFF" w:val="clear"/>
        </w:rPr>
        <w:t>”</w:t>
      </w:r>
      <w:r>
        <w:rPr>
          <w:rFonts w:ascii="Arial;sans-serif" w:hAnsi="Arial;sans-serif"/>
          <w:b w:val="false"/>
          <w:color w:val="000000"/>
          <w:sz w:val="18"/>
          <w:shd w:fill="FFFFFF" w:val="clear"/>
        </w:rPr>
        <w:t>, a majority of the total compensation for the company’s NEOs is in the form of equity and therefore tied to stock price performance.</w:t>
      </w:r>
    </w:p>
    <w:p>
      <w:pPr>
        <w:pStyle w:val="TextBody"/>
        <w:bidi w:val="0"/>
        <w:spacing w:before="240" w:after="283"/>
        <w:jc w:val="center"/>
        <w:rPr/>
      </w:pPr>
      <w:r>
        <w:rPr/>
        <w:drawing>
          <wp:inline distT="0" distB="0" distL="0" distR="0">
            <wp:extent cx="3152775" cy="2286000"/>
            <wp:effectExtent l="0" t="0" r="0" b="0"/>
            <wp:docPr id="10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2" descr=""/>
                    <pic:cNvPicPr>
                      <a:picLocks noChangeAspect="1" noChangeArrowheads="1"/>
                    </pic:cNvPicPr>
                  </pic:nvPicPr>
                  <pic:blipFill>
                    <a:blip r:embed="rId43"/>
                    <a:stretch>
                      <a:fillRect/>
                    </a:stretch>
                  </pic:blipFill>
                  <pic:spPr bwMode="auto">
                    <a:xfrm>
                      <a:off x="0" y="0"/>
                      <a:ext cx="3152775" cy="2286000"/>
                    </a:xfrm>
                    <a:prstGeom prst="rect">
                      <a:avLst/>
                    </a:prstGeom>
                  </pic:spPr>
                </pic:pic>
              </a:graphicData>
            </a:graphic>
          </wp:inline>
        </w:drawing>
      </w:r>
    </w:p>
    <w:p>
      <w:pPr>
        <w:pStyle w:val="TextBody"/>
        <w:bidi w:val="0"/>
        <w:spacing w:before="240" w:after="283"/>
        <w:jc w:val="center"/>
        <w:rPr/>
      </w:pPr>
      <w:r>
        <w:rPr/>
        <w:drawing>
          <wp:inline distT="0" distB="0" distL="0" distR="0">
            <wp:extent cx="3152775" cy="2286000"/>
            <wp:effectExtent l="0" t="0" r="0" b="0"/>
            <wp:docPr id="10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3" descr=""/>
                    <pic:cNvPicPr>
                      <a:picLocks noChangeAspect="1" noChangeArrowheads="1"/>
                    </pic:cNvPicPr>
                  </pic:nvPicPr>
                  <pic:blipFill>
                    <a:blip r:embed="rId44"/>
                    <a:stretch>
                      <a:fillRect/>
                    </a:stretch>
                  </pic:blipFill>
                  <pic:spPr bwMode="auto">
                    <a:xfrm>
                      <a:off x="0" y="0"/>
                      <a:ext cx="3152775" cy="2286000"/>
                    </a:xfrm>
                    <a:prstGeom prst="rect">
                      <a:avLst/>
                    </a:prstGeom>
                  </pic:spPr>
                </pic:pic>
              </a:graphicData>
            </a:graphic>
          </wp:inline>
        </w:drawing>
      </w:r>
    </w:p>
    <w:p>
      <w:pPr>
        <w:pStyle w:val="TextBody"/>
        <w:bidi w:val="0"/>
        <w:spacing w:lineRule="auto" w:line="276" w:before="440" w:after="283"/>
        <w:jc w:val="left"/>
        <w:rPr>
          <w:rFonts w:ascii="Arial;sans-serif" w:hAnsi="Arial;sans-serif"/>
          <w:b/>
          <w:i/>
          <w:color w:val="0063A6"/>
          <w:sz w:val="18"/>
          <w:shd w:fill="FFFFFF" w:val="clear"/>
        </w:rPr>
      </w:pPr>
      <w:r>
        <w:rPr>
          <w:rFonts w:ascii="Arial;sans-serif" w:hAnsi="Arial;sans-serif"/>
          <w:b/>
          <w:i/>
          <w:color w:val="0063A6"/>
          <w:sz w:val="18"/>
          <w:shd w:fill="FFFFFF" w:val="clear"/>
        </w:rPr>
        <w:t>Compensation Actually Paid and Revenue</w:t>
      </w:r>
    </w:p>
    <w:p>
      <w:pPr>
        <w:pStyle w:val="TextBody"/>
        <w:bidi w:val="0"/>
        <w:spacing w:lineRule="auto" w:line="276" w:before="120" w:after="283"/>
        <w:jc w:val="left"/>
        <w:rPr/>
      </w:pPr>
      <w:r>
        <w:rPr>
          <w:rFonts w:ascii="Arial;sans-serif" w:hAnsi="Arial;sans-serif"/>
          <w:b w:val="false"/>
          <w:color w:val="000000"/>
          <w:sz w:val="18"/>
          <w:shd w:fill="FFFFFF" w:val="clear"/>
        </w:rPr>
        <w:t>As demonstrated by the following graph, the amount of compensation actually paid to Mr. Houston decreased between 2020 and 2022, increased between 2022 and 2023, and decreased again in 2024. Meanwhile, the company's revenue increased over the same period. The average amount of compensation actually paid to the company’s NEOs as a group (excluding Mr. Houston) decreased between 2020 and 2022 and increased between 2022 and 2024, while the company’s revenue increased over the same period.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w:t>
      </w:r>
      <w:r>
        <w:rPr>
          <w:rFonts w:ascii="Arial;sans-serif" w:hAnsi="Arial;sans-serif"/>
          <w:b w:val="false"/>
          <w:i/>
          <w:color w:val="000000"/>
          <w:sz w:val="18"/>
          <w:shd w:fill="FFFFFF" w:val="clear"/>
        </w:rPr>
        <w:t>Executive Compensation – Compensation Discussion and Analysis</w:t>
      </w:r>
      <w:r>
        <w:rPr>
          <w:color w:val="000000"/>
          <w:shd w:fill="FFFFFF" w:val="clear"/>
        </w:rPr>
        <w:t>”</w:t>
      </w:r>
      <w:r>
        <w:rPr>
          <w:rFonts w:ascii="Arial;sans-serif" w:hAnsi="Arial;sans-serif"/>
          <w:b w:val="false"/>
          <w:color w:val="000000"/>
          <w:sz w:val="18"/>
          <w:shd w:fill="FFFFFF" w:val="clear"/>
        </w:rPr>
        <w:t>, revenue represents two-thirds of the corporate multiplier of the short-term incentive plan.</w:t>
      </w:r>
    </w:p>
    <w:p>
      <w:pPr>
        <w:pStyle w:val="TextBody"/>
        <w:bidi w:val="0"/>
        <w:spacing w:before="240" w:after="283"/>
        <w:jc w:val="center"/>
        <w:rPr/>
      </w:pPr>
      <w:r>
        <w:rPr/>
        <w:drawing>
          <wp:inline distT="0" distB="0" distL="0" distR="0">
            <wp:extent cx="3152775" cy="2286000"/>
            <wp:effectExtent l="0" t="0" r="0" b="0"/>
            <wp:docPr id="11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4" descr=""/>
                    <pic:cNvPicPr>
                      <a:picLocks noChangeAspect="1" noChangeArrowheads="1"/>
                    </pic:cNvPicPr>
                  </pic:nvPicPr>
                  <pic:blipFill>
                    <a:blip r:embed="rId45"/>
                    <a:stretch>
                      <a:fillRect/>
                    </a:stretch>
                  </pic:blipFill>
                  <pic:spPr bwMode="auto">
                    <a:xfrm>
                      <a:off x="0" y="0"/>
                      <a:ext cx="3152775" cy="2286000"/>
                    </a:xfrm>
                    <a:prstGeom prst="rect">
                      <a:avLst/>
                    </a:prstGeom>
                  </pic:spPr>
                </pic:pic>
              </a:graphicData>
            </a:graphic>
          </wp:inline>
        </w:drawing>
      </w:r>
    </w:p>
    <w:p>
      <w:pPr>
        <w:pStyle w:val="TextBody"/>
        <w:bidi w:val="0"/>
        <w:spacing w:before="240" w:after="283"/>
        <w:jc w:val="center"/>
        <w:rPr/>
      </w:pPr>
      <w:r>
        <w:rPr/>
        <w:drawing>
          <wp:inline distT="0" distB="0" distL="0" distR="0">
            <wp:extent cx="3152775" cy="2286000"/>
            <wp:effectExtent l="0" t="0" r="0" b="0"/>
            <wp:docPr id="11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5" descr=""/>
                    <pic:cNvPicPr>
                      <a:picLocks noChangeAspect="1" noChangeArrowheads="1"/>
                    </pic:cNvPicPr>
                  </pic:nvPicPr>
                  <pic:blipFill>
                    <a:blip r:embed="rId46"/>
                    <a:stretch>
                      <a:fillRect/>
                    </a:stretch>
                  </pic:blipFill>
                  <pic:spPr bwMode="auto">
                    <a:xfrm>
                      <a:off x="0" y="0"/>
                      <a:ext cx="3152775" cy="2286000"/>
                    </a:xfrm>
                    <a:prstGeom prst="rect">
                      <a:avLst/>
                    </a:prstGeom>
                  </pic:spPr>
                </pic:pic>
              </a:graphicData>
            </a:graphic>
          </wp:inline>
        </w:drawing>
      </w:r>
    </w:p>
    <w:p>
      <w:pPr>
        <w:pStyle w:val="TextBody"/>
        <w:bidi w:val="0"/>
        <w:spacing w:lineRule="auto" w:line="276" w:before="440" w:after="283"/>
        <w:jc w:val="left"/>
        <w:rPr>
          <w:rFonts w:ascii="Arial;sans-serif" w:hAnsi="Arial;sans-serif"/>
          <w:b/>
          <w:i/>
          <w:color w:val="0063A6"/>
          <w:sz w:val="18"/>
          <w:shd w:fill="FFFFFF" w:val="clear"/>
        </w:rPr>
      </w:pPr>
      <w:r>
        <w:rPr>
          <w:rFonts w:ascii="Arial;sans-serif" w:hAnsi="Arial;sans-serif"/>
          <w:b/>
          <w:i/>
          <w:color w:val="0063A6"/>
          <w:sz w:val="18"/>
          <w:shd w:fill="FFFFFF" w:val="clear"/>
        </w:rPr>
        <w:t>Cumulative TSR of the Company and Cumulative TSR of the Peer Group</w:t>
      </w:r>
    </w:p>
    <w:p>
      <w:pPr>
        <w:pStyle w:val="TextBody"/>
        <w:bidi w:val="0"/>
        <w:spacing w:lineRule="auto" w:line="276"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As demonstrated by the following graph, the company’s cumulative TSR over the five-year period presented in the table grew by 68%, while the cumulative TSR of the peer group presented for this purpose, the Nasdaq Computer Index, was 201% over the five years presented in the graph. For more information regarding the company’s performance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36575"/>
                <wp:effectExtent l="0" t="0" r="0" b="0"/>
                <wp:wrapNone/>
                <wp:docPr id="112" name="Frame6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EXECUTIVE COMPENSATION (continued)</w:t>
      </w:r>
    </w:p>
    <w:p>
      <w:pPr>
        <w:pStyle w:val="TextBody"/>
        <w:bidi w:val="0"/>
        <w:spacing w:lineRule="auto" w:line="276" w:before="120" w:after="283"/>
        <w:jc w:val="left"/>
        <w:rPr/>
      </w:pPr>
      <w:r>
        <w:rPr>
          <w:rFonts w:ascii="Arial;sans-serif" w:hAnsi="Arial;sans-serif"/>
          <w:b w:val="false"/>
          <w:color w:val="000000"/>
          <w:sz w:val="18"/>
          <w:shd w:fill="FFFFFF" w:val="clear"/>
        </w:rPr>
        <w:t>companies that the talent and compensation committee considers when determining compensation, refer to “</w:t>
      </w:r>
      <w:r>
        <w:rPr>
          <w:rFonts w:ascii="Arial;sans-serif" w:hAnsi="Arial;sans-serif"/>
          <w:b w:val="false"/>
          <w:i/>
          <w:color w:val="000000"/>
          <w:sz w:val="18"/>
          <w:shd w:fill="FFFFFF" w:val="clear"/>
        </w:rPr>
        <w:t>Executive Compensation – Compensation Discussion and Analysis</w:t>
      </w:r>
      <w:r>
        <w:rPr>
          <w:rFonts w:ascii="Arial;sans-serif" w:hAnsi="Arial;sans-serif"/>
          <w:b w:val="false"/>
          <w:color w:val="000000"/>
          <w:sz w:val="18"/>
          <w:shd w:fill="FFFFFF" w:val="clear"/>
        </w:rPr>
        <w:t>.”</w:t>
      </w:r>
    </w:p>
    <w:p>
      <w:pPr>
        <w:pStyle w:val="TextBody"/>
        <w:bidi w:val="0"/>
        <w:spacing w:before="240" w:after="283"/>
        <w:jc w:val="center"/>
        <w:rPr/>
      </w:pPr>
      <w:r>
        <w:rPr/>
        <w:drawing>
          <wp:inline distT="0" distB="0" distL="0" distR="0">
            <wp:extent cx="3152775" cy="2286000"/>
            <wp:effectExtent l="0" t="0" r="0" b="0"/>
            <wp:docPr id="11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6" descr=""/>
                    <pic:cNvPicPr>
                      <a:picLocks noChangeAspect="1" noChangeArrowheads="1"/>
                    </pic:cNvPicPr>
                  </pic:nvPicPr>
                  <pic:blipFill>
                    <a:blip r:embed="rId47"/>
                    <a:stretch>
                      <a:fillRect/>
                    </a:stretch>
                  </pic:blipFill>
                  <pic:spPr bwMode="auto">
                    <a:xfrm>
                      <a:off x="0" y="0"/>
                      <a:ext cx="3152775" cy="2286000"/>
                    </a:xfrm>
                    <a:prstGeom prst="rect">
                      <a:avLst/>
                    </a:prstGeom>
                  </pic:spPr>
                </pic:pic>
              </a:graphicData>
            </a:graphic>
          </wp:inline>
        </w:drawing>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36575"/>
                <wp:effectExtent l="0" t="0" r="0" b="0"/>
                <wp:wrapNone/>
                <wp:docPr id="114" name="Frame6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62</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68"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63A6"/>
          <w:sz w:val="36"/>
        </w:rPr>
      </w:pPr>
      <w:r>
        <w:rPr>
          <w:rFonts w:ascii="Arial;sans-serif" w:hAnsi="Arial;sans-serif"/>
          <w:b w:val="false"/>
          <w:color w:val="0063A6"/>
          <w:sz w:val="36"/>
        </w:rPr>
        <w:t xml:space="preserve">EQUITY COMPENSATION PLAN INFORMATION </w:t>
      </w:r>
    </w:p>
    <w:p>
      <w:pPr>
        <w:pStyle w:val="TextBody"/>
        <w:bidi w:val="0"/>
        <w:spacing w:lineRule="auto" w:line="276" w:before="180" w:after="283"/>
        <w:jc w:val="left"/>
        <w:rPr/>
      </w:pPr>
      <w:r>
        <w:rPr>
          <w:rFonts w:ascii="Arial;sans-serif" w:hAnsi="Arial;sans-serif"/>
          <w:b w:val="false"/>
          <w:color w:val="000000"/>
          <w:sz w:val="18"/>
          <w:shd w:fill="FFFFFF" w:val="clear"/>
        </w:rPr>
        <w:t>The following table summarizes our equity compensation plan information as of December 31, 2024.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w:t>
      </w:r>
      <w:r>
        <w:rPr>
          <w:color w:val="000000"/>
        </w:rPr>
        <w:t xml:space="preserve"> </w:t>
      </w:r>
      <w:r>
        <w:rPr>
          <w:rFonts w:ascii="Arial;sans-serif" w:hAnsi="Arial;sans-serif"/>
          <w:b w:val="false"/>
          <w:color w:val="000000"/>
          <w:sz w:val="18"/>
        </w:rPr>
        <w:t>As of December 31, 2024, 25,055 shares of Class A common stock were issuable upon exercise of outstanding options and release of restricted stock units assumed in connection with acquisitions. The weighted average exercise price of such outstanding options was $4.47 per share.</w:t>
      </w:r>
      <w:r>
        <w:rPr>
          <w:color w:val="000000"/>
          <w:shd w:fill="FFFFFF" w:val="clear"/>
        </w:rPr>
        <w:t xml:space="preserve"> </w:t>
      </w:r>
      <w:r>
        <w:rPr>
          <w:rFonts w:ascii="Arial;sans-serif" w:hAnsi="Arial;sans-serif"/>
          <w:b w:val="false"/>
          <w:color w:val="000000"/>
          <w:sz w:val="18"/>
          <w:shd w:fill="FFFFFF" w:val="clear"/>
        </w:rPr>
        <w:t>No additional equity awards may be granted under any assumed arrangement.</w:t>
      </w:r>
    </w:p>
    <w:tbl>
      <w:tblPr>
        <w:tblW w:w="10205" w:type="dxa"/>
        <w:jc w:val="left"/>
        <w:tblInd w:w="0" w:type="dxa"/>
        <w:tblLayout w:type="fixed"/>
        <w:tblCellMar>
          <w:top w:w="28" w:type="dxa"/>
          <w:left w:w="28" w:type="dxa"/>
          <w:bottom w:w="28" w:type="dxa"/>
          <w:right w:w="28" w:type="dxa"/>
        </w:tblCellMar>
      </w:tblPr>
      <w:tblGrid>
        <w:gridCol w:w="1445"/>
        <w:gridCol w:w="1273"/>
        <w:gridCol w:w="1282"/>
        <w:gridCol w:w="345"/>
        <w:gridCol w:w="345"/>
        <w:gridCol w:w="346"/>
        <w:gridCol w:w="282"/>
        <w:gridCol w:w="282"/>
        <w:gridCol w:w="284"/>
        <w:gridCol w:w="300"/>
        <w:gridCol w:w="300"/>
        <w:gridCol w:w="300"/>
        <w:gridCol w:w="300"/>
        <w:gridCol w:w="300"/>
        <w:gridCol w:w="302"/>
        <w:gridCol w:w="428"/>
        <w:gridCol w:w="421"/>
        <w:gridCol w:w="373"/>
        <w:gridCol w:w="373"/>
        <w:gridCol w:w="373"/>
        <w:gridCol w:w="551"/>
      </w:tblGrid>
      <w:tr>
        <w:trPr/>
        <w:tc>
          <w:tcPr>
            <w:tcW w:w="144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Plan Category</w:t>
            </w:r>
          </w:p>
        </w:tc>
        <w:tc>
          <w:tcPr>
            <w:tcW w:w="1884" w:type="dxa"/>
            <w:gridSpan w:val="6"/>
            <w:tcBorders/>
            <w:shd w:fill="0063A6"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Securities </w:t>
              <w:br/>
              <w:t xml:space="preserve">to be Issued Upon </w:t>
              <w:br/>
              <w:t xml:space="preserve">Exercise of </w:t>
              <w:br/>
              <w:t xml:space="preserve">Outstanding Options, </w:t>
              <w:br/>
              <w:t>Warrants, and Rights</w:t>
            </w:r>
          </w:p>
        </w:tc>
        <w:tc>
          <w:tcPr>
            <w:tcW w:w="1802"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Weighted-Average </w:t>
              <w:br/>
              <w:t xml:space="preserve">Exercise Price of </w:t>
              <w:br/>
              <w:t xml:space="preserve">Outstanding Options, </w:t>
              <w:br/>
              <w:t>Warrants, and Rights</w:t>
            </w:r>
          </w:p>
        </w:tc>
        <w:tc>
          <w:tcPr>
            <w:tcW w:w="2519"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Number of Securities Remaining </w:t>
              <w:br/>
              <w:t xml:space="preserve">Available for Future Issuance </w:t>
              <w:br/>
              <w:t xml:space="preserve">Under Equity Compensation </w:t>
              <w:br/>
              <w:t xml:space="preserve">Plans (Excluding Securities </w:t>
              <w:br/>
              <w:t>Reflected in the First Column)</w:t>
            </w:r>
          </w:p>
        </w:tc>
      </w:tr>
      <w:tr>
        <w:trPr/>
        <w:tc>
          <w:tcPr>
            <w:tcW w:w="40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95" w:after="60"/>
              <w:jc w:val="left"/>
              <w:rPr/>
            </w:pPr>
            <w:r>
              <w:rPr>
                <w:rFonts w:ascii="Arial;sans-serif" w:hAnsi="Arial;sans-serif"/>
                <w:b w:val="false"/>
                <w:color w:val="000000"/>
                <w:sz w:val="18"/>
                <w:shd w:fill="F2F2F2" w:val="clear"/>
              </w:rPr>
              <w:t>Equity compensation plans approved by security holders</w:t>
            </w:r>
            <w:r>
              <w:rPr>
                <w:rFonts w:ascii="Arial;sans-serif" w:hAnsi="Arial;sans-serif"/>
                <w:b w:val="false"/>
                <w:color w:val="000000"/>
                <w:sz w:val="12"/>
                <w:shd w:fill="F2F2F2" w:val="clear"/>
              </w:rPr>
              <w:t>(1)</w:t>
            </w:r>
          </w:p>
        </w:tc>
        <w:tc>
          <w:tcPr>
            <w:tcW w:w="1036"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25,762,237</w:t>
            </w:r>
          </w:p>
        </w:tc>
        <w:tc>
          <w:tcPr>
            <w:tcW w:w="848"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3"/>
              </w:rPr>
            </w:pPr>
            <w:r>
              <w:rPr>
                <w:rFonts w:ascii="Arial;sans-serif" w:hAnsi="Arial;sans-serif"/>
                <w:b w:val="false"/>
                <w:color w:val="000000"/>
                <w:sz w:val="13"/>
              </w:rPr>
              <w:t>(2)</w:t>
            </w:r>
          </w:p>
        </w:tc>
        <w:tc>
          <w:tcPr>
            <w:tcW w:w="900"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25.23</w:t>
            </w:r>
          </w:p>
        </w:tc>
        <w:tc>
          <w:tcPr>
            <w:tcW w:w="902"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3"/>
              </w:rPr>
            </w:pPr>
            <w:r>
              <w:rPr>
                <w:rFonts w:ascii="Arial;sans-serif" w:hAnsi="Arial;sans-serif"/>
                <w:b w:val="false"/>
                <w:color w:val="000000"/>
                <w:sz w:val="13"/>
              </w:rPr>
              <w:t>(3)</w:t>
            </w:r>
          </w:p>
        </w:tc>
        <w:tc>
          <w:tcPr>
            <w:tcW w:w="1222"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96,077,383</w:t>
            </w:r>
          </w:p>
        </w:tc>
        <w:tc>
          <w:tcPr>
            <w:tcW w:w="1297"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3"/>
              </w:rPr>
            </w:pPr>
            <w:r>
              <w:rPr>
                <w:rFonts w:ascii="Arial;sans-serif" w:hAnsi="Arial;sans-serif"/>
                <w:b w:val="false"/>
                <w:color w:val="000000"/>
                <w:sz w:val="13"/>
              </w:rPr>
              <w:t>(4)(5)</w:t>
            </w:r>
          </w:p>
        </w:tc>
      </w:tr>
    </w:tbl>
    <w:p>
      <w:pPr>
        <w:pStyle w:val="TextBody"/>
        <w:bidi w:val="0"/>
        <w:spacing w:lineRule="auto" w:line="26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Includes our 2008 Equity Incentive Plan (“</w:t>
      </w:r>
      <w:r>
        <w:rPr>
          <w:rFonts w:ascii="Arial;sans-serif" w:hAnsi="Arial;sans-serif"/>
          <w:b/>
          <w:i/>
          <w:color w:val="000000"/>
          <w:sz w:val="16"/>
        </w:rPr>
        <w:t>2008 Plan</w:t>
      </w:r>
      <w:r>
        <w:rPr>
          <w:color w:val="000000"/>
        </w:rPr>
        <w:t>”</w:t>
      </w:r>
      <w:r>
        <w:rPr>
          <w:rFonts w:ascii="Arial;sans-serif" w:hAnsi="Arial;sans-serif"/>
          <w:b w:val="false"/>
          <w:color w:val="000000"/>
          <w:sz w:val="16"/>
        </w:rPr>
        <w:t>), 2017 Equity Incentive Plan ("</w:t>
      </w:r>
      <w:r>
        <w:rPr>
          <w:rFonts w:ascii="Arial;sans-serif" w:hAnsi="Arial;sans-serif"/>
          <w:b/>
          <w:i/>
          <w:color w:val="000000"/>
          <w:sz w:val="16"/>
        </w:rPr>
        <w:t>2017 Plan</w:t>
      </w:r>
      <w:r>
        <w:rPr>
          <w:rFonts w:ascii="Arial;sans-serif" w:hAnsi="Arial;sans-serif"/>
          <w:b w:val="false"/>
          <w:color w:val="000000"/>
          <w:sz w:val="16"/>
        </w:rPr>
        <w:t>"), and 2018 Equity Incentive Plan (“</w:t>
      </w:r>
      <w:r>
        <w:rPr>
          <w:rFonts w:ascii="Arial;sans-serif" w:hAnsi="Arial;sans-serif"/>
          <w:b/>
          <w:i/>
          <w:color w:val="000000"/>
          <w:sz w:val="16"/>
        </w:rPr>
        <w:t>2018 Plan</w:t>
      </w:r>
      <w:r>
        <w:rPr>
          <w:color w:val="000000"/>
        </w:rPr>
        <w:t>”</w:t>
      </w:r>
      <w:r>
        <w:rPr>
          <w:rFonts w:ascii="Arial;sans-serif" w:hAnsi="Arial;sans-serif"/>
          <w:b w:val="false"/>
          <w:color w:val="000000"/>
          <w:sz w:val="16"/>
        </w:rPr>
        <w:t>). Our 2008 Plan was terminated effective March 7, 2017 and our 2017 Plan was terminated effective March 20, 2018.</w:t>
      </w:r>
    </w:p>
    <w:p>
      <w:pPr>
        <w:pStyle w:val="TextBody"/>
        <w:bidi w:val="0"/>
        <w:spacing w:lineRule="auto" w:line="26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Includes 25,762,237 shares subject to options and RSUs outstanding as of December 31, 2024 that were issued under the 2008 Plan and 2018 Plan.</w:t>
      </w:r>
    </w:p>
    <w:p>
      <w:pPr>
        <w:pStyle w:val="TextBody"/>
        <w:bidi w:val="0"/>
        <w:spacing w:lineRule="auto" w:line="268" w:before="0" w:after="0"/>
        <w:ind w:left="0" w:right="0" w:hanging="360"/>
        <w:jc w:val="left"/>
        <w:rPr/>
      </w:pPr>
      <w:r>
        <w:rPr>
          <w:rFonts w:ascii="Arial;sans-serif" w:hAnsi="Arial;sans-serif"/>
          <w:b w:val="false"/>
          <w:color w:val="000000"/>
          <w:sz w:val="10"/>
        </w:rPr>
        <w:t>(3)</w:t>
      </w:r>
      <w:r>
        <w:rPr>
          <w:rFonts w:ascii="Arial;sans-serif" w:hAnsi="Arial;sans-serif"/>
          <w:b w:val="false"/>
          <w:color w:val="000000"/>
          <w:sz w:val="16"/>
        </w:rPr>
        <w:t>RSUs, which do not have an exercise price, are excluded in the calculation of weighted-average exercise price.</w:t>
      </w:r>
    </w:p>
    <w:p>
      <w:pPr>
        <w:pStyle w:val="TextBody"/>
        <w:bidi w:val="0"/>
        <w:spacing w:lineRule="auto" w:line="268" w:before="0" w:after="0"/>
        <w:ind w:left="0" w:right="0" w:hanging="360"/>
        <w:jc w:val="left"/>
        <w:rPr/>
      </w:pPr>
      <w:r>
        <w:rPr>
          <w:rFonts w:ascii="Arial;sans-serif" w:hAnsi="Arial;sans-serif"/>
          <w:b w:val="false"/>
          <w:color w:val="000000"/>
          <w:sz w:val="10"/>
        </w:rPr>
        <w:t>(4)</w:t>
      </w:r>
      <w:r>
        <w:rPr>
          <w:rFonts w:ascii="Arial;sans-serif" w:hAnsi="Arial;sans-serif"/>
          <w:b w:val="false"/>
          <w:color w:val="000000"/>
          <w:sz w:val="16"/>
        </w:rPr>
        <w:t>As of December 31, 2024, an aggregate of 121,839,620 shares of Class A common stock were available for issuance under our 2018 Plan.</w:t>
      </w:r>
    </w:p>
    <w:p>
      <w:pPr>
        <w:pStyle w:val="TextBody"/>
        <w:bidi w:val="0"/>
        <w:spacing w:lineRule="auto" w:line="268" w:before="0" w:after="0"/>
        <w:ind w:left="0" w:right="0" w:hanging="360"/>
        <w:jc w:val="left"/>
        <w:rPr/>
      </w:pPr>
      <w:r>
        <w:rPr>
          <w:rFonts w:ascii="Arial;sans-serif" w:hAnsi="Arial;sans-serif"/>
          <w:b w:val="false"/>
          <w:color w:val="000000"/>
          <w:sz w:val="10"/>
        </w:rPr>
        <w:t>(5)</w:t>
      </w:r>
      <w:r>
        <w:rPr>
          <w:rFonts w:ascii="Arial;sans-serif" w:hAnsi="Arial;sans-serif"/>
          <w:b w:val="false"/>
          <w:color w:val="000000"/>
          <w:sz w:val="16"/>
        </w:rPr>
        <w:t>This table does not include equity awards that have been assumed by the company in connection with the acquisition of other companies. As of December 31, 2024, the following assumed equity awards were outstanding: 24,502 shares issuable upon exercise of outstanding options and 553 shares issuable upon vesting of restricted stock units. The weighted average exercise price of such outstanding options was $4.47 per share. No additional equity awards may be granted under any assumed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36575"/>
                <wp:effectExtent l="0" t="0" r="0" b="0"/>
                <wp:wrapNone/>
                <wp:docPr id="115" name="Frame6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SECURITY OWNERSHIP OF CERTAIN BENEFICIAL OWNERS AND MANAGEMENT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sets forth certain information with respect to the beneficial ownership of our common stock as of March 31, 2025 for:</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each of our directors;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each of our named executive officers;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all of our current directors, named executive officers and executive officers as a group; and </w:t>
      </w:r>
    </w:p>
    <w:p>
      <w:pPr>
        <w:pStyle w:val="TextBody"/>
        <w:bidi w:val="0"/>
        <w:spacing w:lineRule="auto" w:line="276" w:before="180" w:after="283"/>
        <w:ind w:left="0" w:right="0" w:hanging="360"/>
        <w:jc w:val="left"/>
        <w:rPr/>
      </w:pPr>
      <w:r>
        <w:rPr>
          <w:color w:val="0063A6"/>
        </w:rPr>
        <w:t>•</w:t>
      </w:r>
      <w:r>
        <w:rPr>
          <w:rFonts w:ascii="Arial;sans-serif" w:hAnsi="Arial;sans-serif"/>
          <w:b w:val="false"/>
          <w:color w:val="000000"/>
          <w:sz w:val="18"/>
          <w:shd w:fill="FFFFFF" w:val="clear"/>
        </w:rPr>
        <w:t xml:space="preserve">each person or group known by us to be the beneficial owner of more than 5% of our Class A or Class B common stock.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76" w:before="180" w:after="283"/>
        <w:jc w:val="left"/>
        <w:rPr/>
      </w:pPr>
      <w:r>
        <w:rPr>
          <w:rFonts w:ascii="Arial;sans-serif" w:hAnsi="Arial;sans-serif"/>
          <w:b w:val="false"/>
          <w:color w:val="000000"/>
          <w:sz w:val="18"/>
          <w:shd w:fill="FFFFFF" w:val="clear"/>
        </w:rPr>
        <w:t xml:space="preserve">We have based our calculation </w:t>
      </w:r>
      <w:r>
        <w:rPr>
          <w:rFonts w:ascii="Arial;sans-serif" w:hAnsi="Arial;sans-serif"/>
          <w:b w:val="false"/>
          <w:color w:val="000000"/>
          <w:sz w:val="18"/>
        </w:rPr>
        <w:t>of the percentage of beneficial ownership on 210,988,484 shares of our Class A common stock, 76,922,870 shares of our Class B</w:t>
      </w:r>
      <w:r>
        <w:rPr>
          <w:color w:val="000000"/>
          <w:shd w:fill="FFFFFF" w:val="clear"/>
        </w:rPr>
        <w:t xml:space="preserve"> </w:t>
      </w:r>
      <w:r>
        <w:rPr>
          <w:rFonts w:ascii="Arial;sans-serif" w:hAnsi="Arial;sans-serif"/>
          <w:b w:val="false"/>
          <w:color w:val="000000"/>
          <w:sz w:val="18"/>
          <w:shd w:fill="FFFFFF" w:val="clear"/>
        </w:rPr>
        <w:t>common stock, and no shares of our Class C common stock outstanding as of March 31, 2025. We have deemed shares of our common stock subject to stock options that are currently exercisable or exercisable within 60 days of March 31, 2025 or issuable pursuant to RSUs which are subject to vesting and settlement conditions expected to occur within 60 days of March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tbl>
      <w:tblPr>
        <w:tblW w:w="10205" w:type="dxa"/>
        <w:jc w:val="left"/>
        <w:tblInd w:w="0" w:type="dxa"/>
        <w:tblLayout w:type="fixed"/>
        <w:tblCellMar>
          <w:top w:w="28" w:type="dxa"/>
          <w:left w:w="28" w:type="dxa"/>
          <w:bottom w:w="28" w:type="dxa"/>
          <w:right w:w="28" w:type="dxa"/>
        </w:tblCellMar>
      </w:tblPr>
      <w:tblGrid>
        <w:gridCol w:w="1882"/>
        <w:gridCol w:w="1628"/>
        <w:gridCol w:w="1633"/>
        <w:gridCol w:w="445"/>
        <w:gridCol w:w="406"/>
        <w:gridCol w:w="372"/>
        <w:gridCol w:w="278"/>
        <w:gridCol w:w="226"/>
        <w:gridCol w:w="226"/>
        <w:gridCol w:w="485"/>
        <w:gridCol w:w="416"/>
        <w:gridCol w:w="397"/>
        <w:gridCol w:w="296"/>
        <w:gridCol w:w="247"/>
        <w:gridCol w:w="226"/>
        <w:gridCol w:w="302"/>
        <w:gridCol w:w="302"/>
        <w:gridCol w:w="438"/>
      </w:tblGrid>
      <w:tr>
        <w:trPr/>
        <w:tc>
          <w:tcPr>
            <w:tcW w:w="188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2"/>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Amount and nature of beneficial ownership</w:t>
            </w:r>
          </w:p>
        </w:tc>
        <w:tc>
          <w:tcPr>
            <w:tcW w:w="1042"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 of total </w:t>
            </w:r>
          </w:p>
          <w:p>
            <w:pPr>
              <w:pStyle w:val="TableContents"/>
              <w:bidi w:val="0"/>
              <w:spacing w:lineRule="auto" w:line="276" w:before="0" w:after="0"/>
              <w:jc w:val="center"/>
              <w:rPr/>
            </w:pPr>
            <w:r>
              <w:rPr>
                <w:rFonts w:ascii="Arial;sans-serif" w:hAnsi="Arial;sans-serif"/>
                <w:b/>
                <w:color w:val="FFFFFF"/>
                <w:sz w:val="16"/>
              </w:rPr>
              <w:t>voting power</w:t>
            </w:r>
            <w:r>
              <w:rPr>
                <w:rFonts w:ascii="Arial;sans-serif" w:hAnsi="Arial;sans-serif"/>
                <w:b/>
                <w:color w:val="FFFFFF"/>
                <w:sz w:val="10"/>
              </w:rPr>
              <w:t>#</w:t>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right w:val="single" w:sz="12" w:space="0" w:color="FFFFFF"/>
            </w:tcBorders>
            <w:shd w:fill="0063A6"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2" w:space="0" w:color="FFFFFF"/>
              <w:left w:val="single" w:sz="12" w:space="0" w:color="FFFFFF"/>
              <w:right w:val="single" w:sz="12" w:space="0" w:color="FFFFFF"/>
            </w:tcBorders>
            <w:shd w:fill="0063A6" w:val="clear"/>
            <w:tcMar>
              <w:bottom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 of beneficial owner</w:t>
            </w:r>
          </w:p>
        </w:tc>
        <w:tc>
          <w:tcPr>
            <w:tcW w:w="1223"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Class A </w:t>
              <w:br/>
              <w:t>Common Stock</w:t>
            </w:r>
          </w:p>
        </w:tc>
        <w:tc>
          <w:tcPr>
            <w:tcW w:w="730"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w:t>
            </w:r>
          </w:p>
        </w:tc>
        <w:tc>
          <w:tcPr>
            <w:tcW w:w="1298"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Class B </w:t>
            </w:r>
          </w:p>
          <w:p>
            <w:pPr>
              <w:pStyle w:val="TableContents"/>
              <w:bidi w:val="0"/>
              <w:spacing w:lineRule="auto" w:line="276" w:before="0" w:after="0"/>
              <w:jc w:val="center"/>
              <w:rPr/>
            </w:pPr>
            <w:r>
              <w:rPr>
                <w:rFonts w:ascii="Arial;sans-serif" w:hAnsi="Arial;sans-serif"/>
                <w:b/>
                <w:color w:val="FFFFFF"/>
                <w:sz w:val="16"/>
              </w:rPr>
              <w:t>Common Stock</w:t>
            </w:r>
            <w:r>
              <w:rPr>
                <w:color w:val="FFFFFF"/>
              </w:rPr>
              <w:t>†</w:t>
            </w:r>
          </w:p>
        </w:tc>
        <w:tc>
          <w:tcPr>
            <w:tcW w:w="769" w:type="dxa"/>
            <w:gridSpan w:val="3"/>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w:t>
            </w:r>
          </w:p>
        </w:tc>
        <w:tc>
          <w:tcPr>
            <w:tcW w:w="1042"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5143"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76" w:before="95" w:after="95"/>
              <w:jc w:val="left"/>
              <w:rPr>
                <w:rFonts w:ascii="Arial;sans-serif" w:hAnsi="Arial;sans-serif"/>
                <w:b/>
                <w:color w:val="000000"/>
                <w:sz w:val="18"/>
              </w:rPr>
            </w:pPr>
            <w:r>
              <w:rPr>
                <w:rFonts w:ascii="Arial;sans-serif" w:hAnsi="Arial;sans-serif"/>
                <w:b/>
                <w:color w:val="000000"/>
                <w:sz w:val="18"/>
              </w:rPr>
              <w:t>Named executive officers and directors:</w:t>
            </w:r>
          </w:p>
        </w:tc>
        <w:tc>
          <w:tcPr>
            <w:tcW w:w="1223"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6" w:before="95" w:after="95"/>
              <w:jc w:val="left"/>
              <w:rPr/>
            </w:pPr>
            <w:r>
              <w:rPr>
                <w:rFonts w:ascii="Arial;sans-serif" w:hAnsi="Arial;sans-serif"/>
                <w:b w:val="false"/>
                <w:color w:val="000000"/>
                <w:sz w:val="18"/>
                <w:shd w:fill="FFFFFF" w:val="clear"/>
              </w:rPr>
              <w:t>Andrew W. Houston</w:t>
            </w:r>
            <w:r>
              <w:rPr>
                <w:rFonts w:ascii="Arial;sans-serif" w:hAnsi="Arial;sans-serif"/>
                <w:b w:val="false"/>
                <w:color w:val="000000"/>
                <w:sz w:val="12"/>
                <w:shd w:fill="FFFFFF" w:val="clear"/>
              </w:rPr>
              <w:t>(1)</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9,427,838</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4.47</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75,987,893</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98.78</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78.48</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Timothy Regan</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102,295</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Bart E. Volkmer</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97,324</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63,120</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Eric Cox</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49,755</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Donald W. Blair</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100,637</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Lisa Campbell</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5,538</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Paul E. Jacobs</w:t>
            </w:r>
            <w:r>
              <w:rPr>
                <w:rFonts w:ascii="Arial;sans-serif" w:hAnsi="Arial;sans-serif"/>
                <w:b w:val="false"/>
                <w:color w:val="000000"/>
                <w:sz w:val="12"/>
              </w:rPr>
              <w:t>(2)</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302,981</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Sara Mathew</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12,297</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Andrew Moore</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3,627</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Abhay Parasnis</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25,165</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Karen Peacock</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13,374</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Michael Seibel</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12,297</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Warren Jenson</w:t>
            </w:r>
          </w:p>
        </w:tc>
        <w:tc>
          <w:tcPr>
            <w:tcW w:w="1223"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3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98"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769"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042"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5143" w:type="dxa"/>
            <w:gridSpan w:val="3"/>
            <w:tcBorders/>
            <w:shd w:fill="F2F2F2"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All current directors, named executive officers and executive officers as a group (16 persons)</w:t>
            </w:r>
          </w:p>
        </w:tc>
        <w:tc>
          <w:tcPr>
            <w:tcW w:w="1223"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10,165,192</w:t>
            </w:r>
          </w:p>
        </w:tc>
        <w:tc>
          <w:tcPr>
            <w:tcW w:w="730"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4.47</w:t>
            </w:r>
          </w:p>
        </w:tc>
        <w:tc>
          <w:tcPr>
            <w:tcW w:w="129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76,051,013</w:t>
            </w:r>
          </w:p>
        </w:tc>
        <w:tc>
          <w:tcPr>
            <w:tcW w:w="76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98.87</w:t>
            </w:r>
          </w:p>
        </w:tc>
        <w:tc>
          <w:tcPr>
            <w:tcW w:w="104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78.62</w:t>
            </w:r>
          </w:p>
        </w:tc>
      </w:tr>
      <w:tr>
        <w:trPr/>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36575"/>
                <wp:effectExtent l="0" t="0" r="0" b="0"/>
                <wp:wrapNone/>
                <wp:docPr id="116" name="Frame7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64</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SECURITY OWNERSHIP OF CERTAIN BENEFICIAL OWNERS AND MANAGEMENT (continued)</w:t>
      </w:r>
    </w:p>
    <w:p>
      <w:pPr>
        <w:pStyle w:val="TextBody"/>
        <w:bidi w:val="0"/>
        <w:spacing w:lineRule="auto" w:line="276"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641"/>
        <w:gridCol w:w="1427"/>
        <w:gridCol w:w="1431"/>
        <w:gridCol w:w="445"/>
        <w:gridCol w:w="439"/>
        <w:gridCol w:w="434"/>
        <w:gridCol w:w="296"/>
        <w:gridCol w:w="289"/>
        <w:gridCol w:w="286"/>
        <w:gridCol w:w="475"/>
        <w:gridCol w:w="475"/>
        <w:gridCol w:w="472"/>
        <w:gridCol w:w="287"/>
        <w:gridCol w:w="286"/>
        <w:gridCol w:w="286"/>
        <w:gridCol w:w="358"/>
        <w:gridCol w:w="358"/>
        <w:gridCol w:w="520"/>
      </w:tblGrid>
      <w:tr>
        <w:trPr/>
        <w:tc>
          <w:tcPr>
            <w:tcW w:w="164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12"/>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Amount and nature of beneficial ownership</w:t>
            </w:r>
          </w:p>
        </w:tc>
        <w:tc>
          <w:tcPr>
            <w:tcW w:w="1236" w:type="dxa"/>
            <w:gridSpan w:val="3"/>
            <w:vMerge w:val="restart"/>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 of total </w:t>
            </w:r>
          </w:p>
          <w:p>
            <w:pPr>
              <w:pStyle w:val="TableContents"/>
              <w:bidi w:val="0"/>
              <w:spacing w:lineRule="auto" w:line="276" w:before="0" w:after="0"/>
              <w:jc w:val="center"/>
              <w:rPr/>
            </w:pPr>
            <w:r>
              <w:rPr>
                <w:rFonts w:ascii="Arial;sans-serif" w:hAnsi="Arial;sans-serif"/>
                <w:b/>
                <w:color w:val="FFFFFF"/>
                <w:sz w:val="16"/>
              </w:rPr>
              <w:t>voting power</w:t>
            </w:r>
            <w:r>
              <w:rPr>
                <w:rFonts w:ascii="Arial;sans-serif" w:hAnsi="Arial;sans-serif"/>
                <w:b/>
                <w:color w:val="FFFFFF"/>
                <w:sz w:val="10"/>
              </w:rPr>
              <w:t>#</w:t>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right w:val="single" w:sz="12" w:space="0" w:color="FFFFFF"/>
            </w:tcBorders>
            <w:shd w:fill="0063A6"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12" w:space="0" w:color="FFFFFF"/>
              <w:left w:val="single" w:sz="12" w:space="0" w:color="FFFFFF"/>
              <w:right w:val="single" w:sz="12" w:space="0" w:color="FFFFFF"/>
            </w:tcBorders>
            <w:shd w:fill="0063A6" w:val="clear"/>
            <w:tcMar>
              <w:bottom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FFFFFF"/>
                <w:sz w:val="16"/>
              </w:rPr>
            </w:pPr>
            <w:r>
              <w:rPr>
                <w:rFonts w:ascii="Arial;sans-serif" w:hAnsi="Arial;sans-serif"/>
                <w:b/>
                <w:color w:val="FFFFFF"/>
                <w:sz w:val="16"/>
              </w:rPr>
              <w:t>Name of beneficial owner</w:t>
            </w:r>
          </w:p>
        </w:tc>
        <w:tc>
          <w:tcPr>
            <w:tcW w:w="1318"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 xml:space="preserve">Class A </w:t>
              <w:br/>
              <w:t>Common Stock</w:t>
            </w:r>
          </w:p>
        </w:tc>
        <w:tc>
          <w:tcPr>
            <w:tcW w:w="871"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w:t>
            </w:r>
          </w:p>
        </w:tc>
        <w:tc>
          <w:tcPr>
            <w:tcW w:w="1422"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 xml:space="preserve">Class B </w:t>
            </w:r>
          </w:p>
          <w:p>
            <w:pPr>
              <w:pStyle w:val="TableContents"/>
              <w:bidi w:val="0"/>
              <w:spacing w:lineRule="auto" w:line="276" w:before="0" w:after="0"/>
              <w:jc w:val="center"/>
              <w:rPr/>
            </w:pPr>
            <w:r>
              <w:rPr>
                <w:rFonts w:ascii="Arial;sans-serif" w:hAnsi="Arial;sans-serif"/>
                <w:b/>
                <w:color w:val="FFFFFF"/>
                <w:sz w:val="16"/>
              </w:rPr>
              <w:t>Common Stock</w:t>
            </w:r>
            <w:r>
              <w:rPr>
                <w:color w:val="FFFFFF"/>
              </w:rPr>
              <w:t>†</w:t>
            </w:r>
          </w:p>
        </w:tc>
        <w:tc>
          <w:tcPr>
            <w:tcW w:w="859" w:type="dxa"/>
            <w:gridSpan w:val="3"/>
            <w:tcBorders>
              <w:left w:val="single" w:sz="12" w:space="0" w:color="FFFFFF"/>
              <w:right w:val="single" w:sz="12" w:space="0" w:color="FFFFFF"/>
            </w:tcBorders>
            <w:shd w:fill="0063A6" w:val="clear"/>
            <w:tcMar>
              <w:top w:w="0" w:type="dxa"/>
              <w:bottom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w:t>
            </w:r>
          </w:p>
        </w:tc>
        <w:tc>
          <w:tcPr>
            <w:tcW w:w="1236" w:type="dxa"/>
            <w:gridSpan w:val="3"/>
            <w:vMerge w:val="continue"/>
            <w:tcBorders>
              <w:left w:val="single" w:sz="12" w:space="0" w:color="FFFFFF"/>
            </w:tcBorders>
            <w:shd w:fill="0063A6" w:val="clear"/>
            <w:tcMar>
              <w:top w:w="0" w:type="dxa"/>
              <w:bottom w:w="0" w:type="dxa"/>
              <w:right w:w="0" w:type="dxa"/>
            </w:tcMar>
            <w:vAlign w:val="center"/>
          </w:tcPr>
          <w:p>
            <w:pPr>
              <w:pStyle w:val="Normal"/>
              <w:bidi w:val="0"/>
              <w:jc w:val="left"/>
              <w:rPr/>
            </w:pPr>
            <w:r>
              <w:rPr/>
            </w:r>
          </w:p>
        </w:tc>
      </w:tr>
      <w:tr>
        <w:trPr/>
        <w:tc>
          <w:tcPr>
            <w:tcW w:w="449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2F2F2"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Greater than 5% stockholders</w:t>
            </w:r>
          </w:p>
        </w:tc>
        <w:tc>
          <w:tcPr>
            <w:tcW w:w="1318"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left w:val="single" w:sz="12" w:space="0" w:color="FFFFFF"/>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76" w:before="95" w:after="95"/>
              <w:jc w:val="left"/>
              <w:rPr/>
            </w:pPr>
            <w:r>
              <w:rPr>
                <w:rFonts w:ascii="Arial;sans-serif" w:hAnsi="Arial;sans-serif"/>
                <w:b w:val="false"/>
                <w:color w:val="000000"/>
                <w:sz w:val="18"/>
              </w:rPr>
              <w:t>Entities affiliated with The Vanguard Group</w:t>
            </w:r>
            <w:r>
              <w:rPr>
                <w:rFonts w:ascii="Arial;sans-serif" w:hAnsi="Arial;sans-serif"/>
                <w:b w:val="false"/>
                <w:color w:val="000000"/>
                <w:sz w:val="12"/>
              </w:rPr>
              <w:t>(3)</w:t>
            </w:r>
          </w:p>
        </w:tc>
        <w:tc>
          <w:tcPr>
            <w:tcW w:w="1318"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27,494,824</w:t>
            </w:r>
          </w:p>
        </w:tc>
        <w:tc>
          <w:tcPr>
            <w:tcW w:w="87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13.03</w:t>
            </w:r>
          </w:p>
        </w:tc>
        <w:tc>
          <w:tcPr>
            <w:tcW w:w="1422"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3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2.80</w:t>
            </w:r>
          </w:p>
        </w:tc>
      </w:tr>
      <w:tr>
        <w:trPr/>
        <w:tc>
          <w:tcPr>
            <w:tcW w:w="4499" w:type="dxa"/>
            <w:gridSpan w:val="3"/>
            <w:tcBorders/>
            <w:shd w:fill="F2F2F2" w:val="clear"/>
            <w:tcMar>
              <w:top w:w="0" w:type="dxa"/>
              <w:left w:w="0" w:type="dxa"/>
              <w:bottom w:w="0" w:type="dxa"/>
              <w:right w:w="0" w:type="dxa"/>
            </w:tcMar>
            <w:vAlign w:val="center"/>
          </w:tcPr>
          <w:p>
            <w:pPr>
              <w:pStyle w:val="TableContents"/>
              <w:bidi w:val="0"/>
              <w:spacing w:lineRule="auto" w:line="276" w:before="95" w:after="95"/>
              <w:jc w:val="left"/>
              <w:rPr/>
            </w:pPr>
            <w:r>
              <w:rPr>
                <w:rFonts w:ascii="Arial;sans-serif" w:hAnsi="Arial;sans-serif"/>
                <w:b w:val="false"/>
                <w:color w:val="000000"/>
                <w:sz w:val="18"/>
              </w:rPr>
              <w:t>Entities affiliated with BlackRock, Inc.</w:t>
            </w:r>
            <w:r>
              <w:rPr>
                <w:rFonts w:ascii="Arial;sans-serif" w:hAnsi="Arial;sans-serif"/>
                <w:b w:val="false"/>
                <w:color w:val="000000"/>
                <w:sz w:val="12"/>
              </w:rPr>
              <w:t>(4)</w:t>
            </w:r>
          </w:p>
        </w:tc>
        <w:tc>
          <w:tcPr>
            <w:tcW w:w="131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28,179,062</w:t>
            </w:r>
          </w:p>
        </w:tc>
        <w:tc>
          <w:tcPr>
            <w:tcW w:w="87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13.36</w:t>
            </w:r>
          </w:p>
        </w:tc>
        <w:tc>
          <w:tcPr>
            <w:tcW w:w="142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3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2.87</w:t>
            </w:r>
          </w:p>
        </w:tc>
      </w:tr>
      <w:tr>
        <w:trPr/>
        <w:tc>
          <w:tcPr>
            <w:tcW w:w="4499" w:type="dxa"/>
            <w:gridSpan w:val="3"/>
            <w:tcBorders/>
            <w:tcMar>
              <w:top w:w="0" w:type="dxa"/>
              <w:left w:w="0" w:type="dxa"/>
              <w:bottom w:w="0" w:type="dxa"/>
              <w:right w:w="0" w:type="dxa"/>
            </w:tcMar>
            <w:vAlign w:val="center"/>
          </w:tcPr>
          <w:p>
            <w:pPr>
              <w:pStyle w:val="TableContents"/>
              <w:bidi w:val="0"/>
              <w:spacing w:lineRule="auto" w:line="276" w:before="95" w:after="95"/>
              <w:jc w:val="left"/>
              <w:rPr/>
            </w:pPr>
            <w:r>
              <w:rPr>
                <w:rFonts w:ascii="Arial;sans-serif" w:hAnsi="Arial;sans-serif"/>
                <w:b w:val="false"/>
                <w:color w:val="000000"/>
                <w:sz w:val="18"/>
              </w:rPr>
              <w:t>Ameriprise Financial, Inc.</w:t>
            </w:r>
            <w:r>
              <w:rPr>
                <w:rFonts w:ascii="Arial;sans-serif" w:hAnsi="Arial;sans-serif"/>
                <w:b w:val="false"/>
                <w:color w:val="000000"/>
                <w:sz w:val="12"/>
              </w:rPr>
              <w:t>(5)</w:t>
            </w:r>
          </w:p>
        </w:tc>
        <w:tc>
          <w:tcPr>
            <w:tcW w:w="1318"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20,321,709</w:t>
            </w:r>
          </w:p>
        </w:tc>
        <w:tc>
          <w:tcPr>
            <w:tcW w:w="871"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9.63</w:t>
            </w:r>
          </w:p>
        </w:tc>
        <w:tc>
          <w:tcPr>
            <w:tcW w:w="1422"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3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2.07</w:t>
            </w:r>
          </w:p>
        </w:tc>
      </w:tr>
      <w:tr>
        <w:trPr/>
        <w:tc>
          <w:tcPr>
            <w:tcW w:w="4499" w:type="dxa"/>
            <w:gridSpan w:val="3"/>
            <w:tcBorders/>
            <w:shd w:fill="F2F2F2" w:val="clear"/>
            <w:tcMar>
              <w:top w:w="0" w:type="dxa"/>
              <w:left w:w="0" w:type="dxa"/>
              <w:bottom w:w="0" w:type="dxa"/>
              <w:right w:w="0" w:type="dxa"/>
            </w:tcMar>
            <w:vAlign w:val="center"/>
          </w:tcPr>
          <w:p>
            <w:pPr>
              <w:pStyle w:val="TableContents"/>
              <w:bidi w:val="0"/>
              <w:spacing w:lineRule="auto" w:line="276" w:before="95" w:after="60"/>
              <w:jc w:val="left"/>
              <w:rPr/>
            </w:pPr>
            <w:r>
              <w:rPr>
                <w:rFonts w:ascii="Arial;sans-serif" w:hAnsi="Arial;sans-serif"/>
                <w:b w:val="false"/>
                <w:color w:val="000000"/>
                <w:sz w:val="18"/>
              </w:rPr>
              <w:t>Columbia Management Investment Advisers, LLC</w:t>
            </w:r>
            <w:r>
              <w:rPr>
                <w:rFonts w:ascii="Arial;sans-serif" w:hAnsi="Arial;sans-serif"/>
                <w:b w:val="false"/>
                <w:color w:val="000000"/>
                <w:sz w:val="12"/>
              </w:rPr>
              <w:t>(6)</w:t>
            </w:r>
          </w:p>
        </w:tc>
        <w:tc>
          <w:tcPr>
            <w:tcW w:w="131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19,429,581</w:t>
            </w:r>
          </w:p>
        </w:tc>
        <w:tc>
          <w:tcPr>
            <w:tcW w:w="871"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9.21</w:t>
            </w:r>
          </w:p>
        </w:tc>
        <w:tc>
          <w:tcPr>
            <w:tcW w:w="1422"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59"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36"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1.98</w:t>
            </w:r>
          </w:p>
        </w:tc>
      </w:tr>
      <w:tr>
        <w:trPr/>
        <w:tc>
          <w:tcPr>
            <w:tcW w:w="449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Columbia Seligman Technology and Information Fund</w:t>
            </w:r>
            <w:r>
              <w:rPr>
                <w:rFonts w:ascii="Arial;sans-serif" w:hAnsi="Arial;sans-serif"/>
                <w:b w:val="false"/>
                <w:color w:val="000000"/>
                <w:sz w:val="12"/>
              </w:rPr>
              <w:t>(7)</w:t>
            </w:r>
          </w:p>
        </w:tc>
        <w:tc>
          <w:tcPr>
            <w:tcW w:w="13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11,656,509</w:t>
            </w:r>
          </w:p>
        </w:tc>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5.52</w:t>
            </w:r>
          </w:p>
        </w:tc>
        <w:tc>
          <w:tcPr>
            <w:tcW w:w="1422"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859"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1236" w:type="dxa"/>
            <w:gridSpan w:val="3"/>
            <w:tcBorders>
              <w:left w:val="single" w:sz="12" w:space="0" w:color="FFFFFF"/>
            </w:tcBorders>
            <w:tcMar>
              <w:top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1.19</w:t>
            </w:r>
          </w:p>
        </w:tc>
      </w:tr>
    </w:tbl>
    <w:p>
      <w:pPr>
        <w:pStyle w:val="TextBody"/>
        <w:bidi w:val="0"/>
        <w:spacing w:lineRule="auto" w:line="276" w:before="20" w:after="283"/>
        <w:ind w:left="0" w:right="0" w:hanging="360"/>
        <w:jc w:val="left"/>
        <w:rPr/>
      </w:pPr>
      <w:r>
        <w:rPr>
          <w:color w:val="000000"/>
        </w:rPr>
        <w:t>†</w:t>
      </w:r>
      <w:r>
        <w:rPr>
          <w:rFonts w:ascii="Arial;sans-serif" w:hAnsi="Arial;sans-serif"/>
          <w:b w:val="false"/>
          <w:color w:val="000000"/>
          <w:sz w:val="16"/>
        </w:rPr>
        <w:t>The Class B common stock is convertible at any time by the holder into shares of Class A common stock on a share-for-share basis, such that each holder of Class B common stock beneficially owns an equivalent number of Class A common stock.</w:t>
      </w:r>
    </w:p>
    <w:p>
      <w:pPr>
        <w:pStyle w:val="TextBody"/>
        <w:bidi w:val="0"/>
        <w:spacing w:lineRule="auto" w:line="276" w:before="20" w:after="283"/>
        <w:ind w:left="0" w:right="0" w:hanging="360"/>
        <w:jc w:val="left"/>
        <w:rPr>
          <w:rFonts w:ascii="Arial;sans-serif" w:hAnsi="Arial;sans-serif"/>
          <w:b w:val="false"/>
          <w:color w:val="000000"/>
          <w:sz w:val="16"/>
        </w:rPr>
      </w:pPr>
      <w:r>
        <w:rPr>
          <w:rFonts w:ascii="Arial;sans-serif" w:hAnsi="Arial;sans-serif"/>
          <w:b w:val="false"/>
          <w:color w:val="000000"/>
          <w:sz w:val="16"/>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pStyle w:val="TextBody"/>
        <w:bidi w:val="0"/>
        <w:spacing w:lineRule="auto" w:line="276" w:before="20" w:after="283"/>
        <w:ind w:left="0" w:right="0" w:hanging="360"/>
        <w:jc w:val="left"/>
        <w:rPr>
          <w:rFonts w:ascii="Arial;sans-serif" w:hAnsi="Arial;sans-serif"/>
          <w:b w:val="false"/>
          <w:color w:val="000000"/>
          <w:sz w:val="16"/>
        </w:rPr>
      </w:pPr>
      <w:r>
        <w:rPr>
          <w:rFonts w:ascii="Arial;sans-serif" w:hAnsi="Arial;sans-serif"/>
          <w:b w:val="false"/>
          <w:color w:val="000000"/>
          <w:sz w:val="16"/>
        </w:rPr>
        <w:t>*Represents beneficial ownership of less than one percent (1%) of the outstanding shares of our common stock.</w:t>
      </w:r>
    </w:p>
    <w:p>
      <w:pPr>
        <w:pStyle w:val="TextBody"/>
        <w:bidi w:val="0"/>
        <w:spacing w:lineRule="auto" w:line="276" w:before="2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Consists of (i) 716,728 shares of Class A Common Stock and 7,743,764 shares of Class B Common Stock held by the Houston Remainder Trust u/a/ 12/30/2010, for which Mr. Houston serves as trustee, (ii) 67,743,629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pStyle w:val="TextBody"/>
        <w:bidi w:val="0"/>
        <w:spacing w:lineRule="auto" w:line="276" w:before="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Consists of (i) 178,058 shares of Class A common stock held by the Paul E. Jacobs Trust dated November 7, 2014, for which Mr. Jacobs serves as trustee, and (ii) 124,923 shares of Class A common stock held by Mr. Jacobs.</w:t>
      </w:r>
    </w:p>
    <w:p>
      <w:pPr>
        <w:pStyle w:val="TextBody"/>
        <w:bidi w:val="0"/>
        <w:spacing w:lineRule="auto" w:line="276" w:before="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Consists of shares of Class A common stock beneficially owned as of December 31, 2024 according to a Schedule 13G/A filed with the SEC by The Vanguard Group, Inc. (“</w:t>
      </w:r>
      <w:r>
        <w:rPr>
          <w:rFonts w:ascii="Arial;sans-serif" w:hAnsi="Arial;sans-serif"/>
          <w:b/>
          <w:i/>
          <w:color w:val="000000"/>
          <w:sz w:val="16"/>
        </w:rPr>
        <w:t>Vanguard</w:t>
      </w:r>
      <w:r>
        <w:rPr>
          <w:color w:val="000000"/>
        </w:rPr>
        <w:t>”</w:t>
      </w:r>
      <w:r>
        <w:rPr>
          <w:rFonts w:ascii="Arial;sans-serif" w:hAnsi="Arial;sans-serif"/>
          <w:b w:val="false"/>
          <w:color w:val="000000"/>
          <w:sz w:val="16"/>
        </w:rPr>
        <w:t>) on January 30, 2025. Vanguard has beneficial ownership of 27,494,824 shares of Class A common stock. The Schedule 13G/A reports that Vanguard has shared voting power with respect to 120,622 shares of Class A common stock, sole dispositive power with respect to 27,094,978 shares of Class A common stock and shared dispositive power over 399,846 shares of Class A common stock. The address for Vanguard is 100 Vanguard Blvd., Malvern, PA 19355.</w:t>
      </w:r>
    </w:p>
    <w:p>
      <w:pPr>
        <w:pStyle w:val="TextBody"/>
        <w:bidi w:val="0"/>
        <w:spacing w:lineRule="auto" w:line="276" w:before="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Consists of shares of Class A common stock beneficially owned as of September 30, 2024 according to a Schedule 13G/A filed with the SEC by BlackRock, Inc. (“</w:t>
      </w:r>
      <w:r>
        <w:rPr>
          <w:rFonts w:ascii="Arial;sans-serif" w:hAnsi="Arial;sans-serif"/>
          <w:b/>
          <w:i/>
          <w:color w:val="000000"/>
          <w:sz w:val="16"/>
        </w:rPr>
        <w:t>BlackRock</w:t>
      </w:r>
      <w:r>
        <w:rPr>
          <w:color w:val="000000"/>
        </w:rPr>
        <w:t>”</w:t>
      </w:r>
      <w:r>
        <w:rPr>
          <w:rFonts w:ascii="Arial;sans-serif" w:hAnsi="Arial;sans-serif"/>
          <w:b w:val="false"/>
          <w:color w:val="000000"/>
          <w:sz w:val="16"/>
        </w:rPr>
        <w:t>) on November 8, 2024. BlackRock has beneficial ownership of 28,179,062 shares of Class A common stock. The address for BlackRock is 50 Hudson Yards, New York, New York 10001.</w:t>
      </w:r>
    </w:p>
    <w:p>
      <w:pPr>
        <w:pStyle w:val="TextBody"/>
        <w:bidi w:val="0"/>
        <w:spacing w:lineRule="auto" w:line="276" w:before="20" w:after="283"/>
        <w:ind w:left="0" w:right="0" w:hanging="360"/>
        <w:jc w:val="left"/>
        <w:rPr/>
      </w:pPr>
      <w:r>
        <w:rPr>
          <w:rFonts w:ascii="Arial;sans-serif" w:hAnsi="Arial;sans-serif"/>
          <w:b w:val="false"/>
          <w:color w:val="000000"/>
          <w:sz w:val="10"/>
        </w:rPr>
        <w:t>(5)</w:t>
      </w:r>
      <w:r>
        <w:rPr>
          <w:rFonts w:ascii="Arial;sans-serif" w:hAnsi="Arial;sans-serif"/>
          <w:b w:val="false"/>
          <w:color w:val="000000"/>
          <w:sz w:val="16"/>
        </w:rPr>
        <w:t>Consists of shares of Class A common stock beneficially owned as of December 31, 2024 according to a Schedule 13G filed with the SEC by Ameriprise Financial, Inc. (“</w:t>
      </w:r>
      <w:r>
        <w:rPr>
          <w:rFonts w:ascii="Arial;sans-serif" w:hAnsi="Arial;sans-serif"/>
          <w:b/>
          <w:i/>
          <w:color w:val="000000"/>
          <w:sz w:val="16"/>
        </w:rPr>
        <w:t>Ameriprise</w:t>
      </w:r>
      <w:r>
        <w:rPr>
          <w:color w:val="000000"/>
        </w:rPr>
        <w:t>”</w:t>
      </w:r>
      <w:r>
        <w:rPr>
          <w:rFonts w:ascii="Arial;sans-serif" w:hAnsi="Arial;sans-serif"/>
          <w:b w:val="false"/>
          <w:color w:val="000000"/>
          <w:sz w:val="16"/>
        </w:rPr>
        <w:t>) on February 14, 2025. Ameriprise has beneficial ownership of 20,321,709 shares of Class A common stock. The address for Ameriprise is 145 Ameriprise Financial Center, Minneapolis, MN 55474.</w:t>
      </w:r>
    </w:p>
    <w:p>
      <w:pPr>
        <w:pStyle w:val="TextBody"/>
        <w:bidi w:val="0"/>
        <w:spacing w:lineRule="auto" w:line="276" w:before="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Consists of shares of Class A common stock beneficially owned as of December 31, 2024 according to a Schedule 13G filed with the SEC by Columbia Management Investment Advisers, LLC (“</w:t>
      </w:r>
      <w:r>
        <w:rPr>
          <w:rFonts w:ascii="Arial;sans-serif" w:hAnsi="Arial;sans-serif"/>
          <w:b/>
          <w:i/>
          <w:color w:val="000000"/>
          <w:sz w:val="16"/>
        </w:rPr>
        <w:t>Columbia</w:t>
      </w:r>
      <w:r>
        <w:rPr>
          <w:color w:val="000000"/>
        </w:rPr>
        <w:t>”</w:t>
      </w:r>
      <w:r>
        <w:rPr>
          <w:rFonts w:ascii="Arial;sans-serif" w:hAnsi="Arial;sans-serif"/>
          <w:b w:val="false"/>
          <w:color w:val="000000"/>
          <w:sz w:val="16"/>
        </w:rPr>
        <w:t>) on February 14, 2025. Columbia has beneficial ownership of 19,429,581 shares of Class A common stock. The address for Columbia is 290 Congress Street, Boston, MA 02210.</w:t>
      </w:r>
    </w:p>
    <w:p>
      <w:pPr>
        <w:pStyle w:val="TextBody"/>
        <w:bidi w:val="0"/>
        <w:spacing w:lineRule="auto" w:line="276" w:before="20" w:after="283"/>
        <w:ind w:left="0" w:right="0" w:hanging="360"/>
        <w:jc w:val="left"/>
        <w:rPr/>
      </w:pPr>
      <w:r>
        <w:rPr>
          <w:rFonts w:ascii="Arial;sans-serif" w:hAnsi="Arial;sans-serif"/>
          <w:b w:val="false"/>
          <w:color w:val="000000"/>
          <w:sz w:val="10"/>
        </w:rPr>
        <w:t>(7)</w:t>
      </w:r>
      <w:r>
        <w:rPr>
          <w:rFonts w:ascii="Arial;sans-serif" w:hAnsi="Arial;sans-serif"/>
          <w:b w:val="false"/>
          <w:color w:val="000000"/>
          <w:sz w:val="16"/>
        </w:rPr>
        <w:t>Consists of shares of Class A common stock beneficially owned as of December 31, 2024, according to a Schedule 13G filed with the SEC by Columbia Seligman Technology and Information Fund ("</w:t>
      </w:r>
      <w:r>
        <w:rPr>
          <w:rFonts w:ascii="Arial;sans-serif" w:hAnsi="Arial;sans-serif"/>
          <w:b/>
          <w:i/>
          <w:color w:val="000000"/>
          <w:sz w:val="16"/>
        </w:rPr>
        <w:t>Columbia Seligman</w:t>
      </w:r>
      <w:r>
        <w:rPr>
          <w:rFonts w:ascii="Arial;sans-serif" w:hAnsi="Arial;sans-serif"/>
          <w:b w:val="false"/>
          <w:color w:val="000000"/>
          <w:sz w:val="16"/>
        </w:rPr>
        <w:t>") on February 14, 2025. Columbia Seligman has beneficial ownership of 11,656,509 shares of Class A common stock. The address for Columbia Seligman is 290 Congress Street, Boston, MA 02210.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36575"/>
                <wp:effectExtent l="0" t="0" r="0" b="0"/>
                <wp:wrapNone/>
                <wp:docPr id="117" name="Frame7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CERTAIN RELATIONSHIPS, RELATED PARTY AND OTHER TRANSACTIONS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Since the beginning of our last fiscal year we have not engaged in any transactions that would require disclosure under Item 404(a) of Regulation S-K, and are not aware of any such transactions currently proposed.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Policies and Procedures for Related Person Transactions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 (v) any transaction available to all U.S. employees generally, and (vi) transactions where a related person’s interest arises solely from the ownership of our common stock and all holders of our common stock received the same benefit on a pro rata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36575"/>
                <wp:effectExtent l="0" t="0" r="0" b="0"/>
                <wp:wrapNone/>
                <wp:docPr id="118" name="Frame7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124"/>
                        <w:gridCol w:w="109"/>
                        <w:gridCol w:w="109"/>
                        <w:gridCol w:w="1821"/>
                        <w:gridCol w:w="1821"/>
                        <w:gridCol w:w="25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66</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OTHER MATTERS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Delinquent Section 16(a) Reports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2024, all executive officers, directors and greater than 10% stockholders complied with all applicable SEC filing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440" w:after="283"/>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Fiscal Year 2024 Annual Report and SEC Filings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Our financial statements for our fiscal year ended December 31, 2024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pStyle w:val="TextBody"/>
        <w:bidi w:val="0"/>
        <w:spacing w:lineRule="auto" w:line="276" w:before="240" w:after="283"/>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 *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lineRule="auto" w:line="276" w:before="240" w:after="283"/>
        <w:jc w:val="left"/>
        <w:rPr>
          <w:rFonts w:ascii="Arial;sans-serif" w:hAnsi="Arial;sans-serif"/>
          <w:b/>
          <w:color w:val="000000"/>
          <w:sz w:val="18"/>
          <w:shd w:fill="FFFFFF" w:val="clear"/>
        </w:rPr>
      </w:pPr>
      <w:r>
        <w:rPr>
          <w:rFonts w:ascii="Arial;sans-serif" w:hAnsi="Arial;sans-serif"/>
          <w:b/>
          <w:color w:val="000000"/>
          <w:sz w:val="18"/>
          <w:shd w:fill="FFFFFF" w:val="clear"/>
        </w:rPr>
        <w:t>THE BOARD OF DIRECTORS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San Francisco, California</w:t>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April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36575"/>
                <wp:effectExtent l="0" t="0" r="0" b="0"/>
                <wp:wrapNone/>
                <wp:docPr id="119" name="Frame7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6567" w:type="dxa"/>
                        <w:jc w:val="left"/>
                        <w:tblInd w:w="0" w:type="dxa"/>
                        <w:tblLayout w:type="fixed"/>
                        <w:tblCellMar>
                          <w:top w:w="28" w:type="dxa"/>
                          <w:left w:w="28" w:type="dxa"/>
                          <w:bottom w:w="28" w:type="dxa"/>
                          <w:right w:w="28" w:type="dxa"/>
                        </w:tblCellMar>
                      </w:tblPr>
                      <w:tblGrid>
                        <w:gridCol w:w="2241"/>
                        <w:gridCol w:w="1971"/>
                        <w:gridCol w:w="1983"/>
                        <w:gridCol w:w="109"/>
                        <w:gridCol w:w="109"/>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color w:val="0063A6"/>
                                <w:sz w:val="16"/>
                              </w:rPr>
                              <w:t xml:space="preserve">Dropbox, Inc. </w:t>
                            </w:r>
                            <w:r>
                              <w:rPr>
                                <w:rFonts w:ascii="Arial;sans-serif" w:hAnsi="Arial;sans-serif"/>
                                <w:b w:val="false"/>
                                <w:color w:val="0063A6"/>
                                <w:sz w:val="16"/>
                              </w:rPr>
                              <w:t>Proxy Statement and Notice of 2025 Annual Meeting of Stockholders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left"/>
        <w:rPr/>
      </w:pPr>
      <w:hyperlink w:anchor="i1b7a119905614a2091d17006ba7e84c3_10">
        <w:r>
          <w:rPr>
            <w:rStyle w:val="InternetLink"/>
            <w:rFonts w:ascii="Times New Roman;sans-serif" w:hAnsi="Times New Roman;sans-serif"/>
            <w:b/>
            <w:color w:val="0000FF"/>
            <w:sz w:val="16"/>
            <w:u w:val="single"/>
          </w:rPr>
          <w:t>TABLE OF CONTENTS</w:t>
        </w:r>
      </w:hyperlink>
    </w:p>
    <w:p>
      <w:pPr>
        <w:pStyle w:val="TextBody"/>
        <w:bidi w:val="0"/>
        <w:spacing w:lineRule="auto" w:line="276" w:before="240" w:after="283"/>
        <w:jc w:val="left"/>
        <w:rPr>
          <w:rFonts w:ascii="Arial;sans-serif" w:hAnsi="Arial;sans-serif"/>
          <w:b w:val="false"/>
          <w:color w:val="0063A6"/>
          <w:sz w:val="36"/>
          <w:shd w:fill="FFFFFF" w:val="clear"/>
        </w:rPr>
      </w:pPr>
      <w:r>
        <w:rPr>
          <w:rFonts w:ascii="Arial;sans-serif" w:hAnsi="Arial;sans-serif"/>
          <w:b w:val="false"/>
          <w:color w:val="0063A6"/>
          <w:sz w:val="36"/>
          <w:shd w:fill="FFFFFF" w:val="clear"/>
        </w:rPr>
        <w:t>APPENDIX A</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val="false"/>
          <w:color w:val="0063A6"/>
          <w:sz w:val="29"/>
          <w:shd w:fill="FFFFFF" w:val="clear"/>
        </w:rPr>
      </w:pPr>
      <w:r>
        <w:rPr>
          <w:rFonts w:ascii="Arial;sans-serif" w:hAnsi="Arial;sans-serif"/>
          <w:b w:val="false"/>
          <w:color w:val="0063A6"/>
          <w:sz w:val="29"/>
          <w:shd w:fill="FFFFFF" w:val="clear"/>
        </w:rPr>
        <w:t>Reconciliation of GAAP financial measures to non-GAAP financial measures</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loss (gain) on real estate assets, and expenses related to our reduction in workforce. Free cash flow differs from GAAP net cash provided by operating activities in that it treats capital expenditures as a reduction to net cash provided by operating activities. </w:t>
      </w:r>
    </w:p>
    <w:p>
      <w:pPr>
        <w:pStyle w:val="TextBody"/>
        <w:bidi w:val="0"/>
        <w:spacing w:lineRule="auto" w:line="276" w:before="180" w:after="283"/>
        <w:jc w:val="left"/>
        <w:rPr/>
      </w:pPr>
      <w:r>
        <w:rPr>
          <w:rFonts w:ascii="Arial;sans-serif" w:hAnsi="Arial;sans-serif"/>
          <w:b w:val="false"/>
          <w:color w:val="000000"/>
          <w:sz w:val="18"/>
          <w:shd w:fill="FFFFFF" w:val="clear"/>
        </w:rPr>
        <w:t>We believe that these non-GAAP financial measures are appropriate to enhance an overall understanding of our fiscal 2024 performance in relation to the principal elements of Dropbox’s annual executive compensation program considered by the talent and compensation committee, as described in the “</w:t>
      </w:r>
      <w:r>
        <w:rPr>
          <w:rFonts w:ascii="Arial;sans-serif" w:hAnsi="Arial;sans-serif"/>
          <w:b w:val="false"/>
          <w:i/>
          <w:color w:val="000000"/>
          <w:sz w:val="18"/>
          <w:shd w:fill="FFFFFF" w:val="clear"/>
        </w:rPr>
        <w:t>Compensation Discussion and Analysis</w:t>
      </w:r>
      <w:r>
        <w:rPr>
          <w:color w:val="000000"/>
          <w:shd w:fill="FFFFFF" w:val="clear"/>
        </w:rPr>
        <w:t xml:space="preserve">” </w:t>
      </w:r>
      <w:r>
        <w:rPr>
          <w:rFonts w:ascii="Arial;sans-serif" w:hAnsi="Arial;sans-serif"/>
          <w:b w:val="false"/>
          <w:color w:val="000000"/>
          <w:sz w:val="18"/>
          <w:shd w:fill="FFFFFF" w:val="clear"/>
        </w:rPr>
        <w:t>section of this proxy statement.</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 </w:t>
      </w:r>
    </w:p>
    <w:p>
      <w:pPr>
        <w:pStyle w:val="TextBody"/>
        <w:bidi w:val="0"/>
        <w:spacing w:lineRule="auto" w:line="276"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pStyle w:val="TextBody"/>
        <w:bidi w:val="0"/>
        <w:spacing w:lineRule="auto" w:line="276" w:before="440" w:after="283"/>
        <w:jc w:val="left"/>
        <w:rPr>
          <w:rFonts w:ascii="Arial;sans-serif" w:hAnsi="Arial;sans-serif"/>
          <w:b/>
          <w:color w:val="0063A6"/>
          <w:sz w:val="18"/>
          <w:shd w:fill="FFFFFF" w:val="clear"/>
        </w:rPr>
      </w:pPr>
      <w:r>
        <w:rPr>
          <w:rFonts w:ascii="Arial;sans-serif" w:hAnsi="Arial;sans-serif"/>
          <w:b/>
          <w:color w:val="0063A6"/>
          <w:sz w:val="18"/>
          <w:shd w:fill="FFFFFF" w:val="clear"/>
        </w:rPr>
        <w:t>Non-GAAP operating margin</w:t>
      </w:r>
    </w:p>
    <w:tbl>
      <w:tblPr>
        <w:tblW w:w="6536" w:type="dxa"/>
        <w:jc w:val="left"/>
        <w:tblInd w:w="0" w:type="dxa"/>
        <w:tblLayout w:type="fixed"/>
        <w:tblCellMar>
          <w:top w:w="28" w:type="dxa"/>
          <w:left w:w="28" w:type="dxa"/>
          <w:bottom w:w="28" w:type="dxa"/>
          <w:right w:w="28" w:type="dxa"/>
        </w:tblCellMar>
      </w:tblPr>
      <w:tblGrid>
        <w:gridCol w:w="1276"/>
        <w:gridCol w:w="1121"/>
        <w:gridCol w:w="1127"/>
        <w:gridCol w:w="468"/>
        <w:gridCol w:w="468"/>
        <w:gridCol w:w="468"/>
        <w:gridCol w:w="468"/>
        <w:gridCol w:w="468"/>
        <w:gridCol w:w="672"/>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Twelve Months Ended December 31,</w:t>
            </w:r>
          </w:p>
        </w:tc>
      </w:tr>
      <w:tr>
        <w:trPr/>
        <w:tc>
          <w:tcPr>
            <w:tcW w:w="3524"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2" w:space="0" w:color="FFFFFF"/>
            </w:tcBorders>
            <w:shd w:fill="E5EFF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2" w:space="0" w:color="FFFFFF"/>
              <w:left w:val="single" w:sz="12" w:space="0" w:color="FFFFFF"/>
            </w:tcBorders>
            <w:shd w:fill="E5EFFD"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12" w:space="0" w:color="FFFFFF"/>
            </w:tcBorders>
            <w:shd w:fill="E5EFF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E5EFFD" w:val="clear"/>
            <w:tcMar>
              <w:top w:w="0" w:type="dxa"/>
              <w:bottom w:w="0" w:type="dxa"/>
              <w:right w:w="0" w:type="dxa"/>
            </w:tcMar>
            <w:vAlign w:val="center"/>
          </w:tcPr>
          <w:p>
            <w:pPr>
              <w:pStyle w:val="TableContents"/>
              <w:bidi w:val="0"/>
              <w:spacing w:lineRule="auto" w:line="273" w:before="0" w:after="0"/>
              <w:jc w:val="center"/>
              <w:rPr>
                <w:rFonts w:ascii="Arial;sans-serif" w:hAnsi="Arial;sans-serif"/>
                <w:b/>
                <w:color w:val="0063A6"/>
                <w:sz w:val="16"/>
              </w:rPr>
            </w:pPr>
            <w:r>
              <w:rPr>
                <w:rFonts w:ascii="Arial;sans-serif" w:hAnsi="Arial;sans-serif"/>
                <w:b/>
                <w:color w:val="0063A6"/>
                <w:sz w:val="16"/>
              </w:rPr>
              <w:t>2024</w:t>
            </w:r>
          </w:p>
        </w:tc>
        <w:tc>
          <w:tcPr>
            <w:tcW w:w="1608" w:type="dxa"/>
            <w:gridSpan w:val="3"/>
            <w:tcBorders>
              <w:left w:val="single" w:sz="12" w:space="0" w:color="FFFFFF"/>
              <w:right w:val="single" w:sz="12" w:space="0" w:color="FFFFFF"/>
            </w:tcBorders>
            <w:shd w:fill="E5EFFD" w:val="clear"/>
            <w:tcMar>
              <w:top w:w="0" w:type="dxa"/>
              <w:bottom w:w="0" w:type="dxa"/>
            </w:tcMar>
            <w:vAlign w:val="center"/>
          </w:tcPr>
          <w:p>
            <w:pPr>
              <w:pStyle w:val="TableContents"/>
              <w:bidi w:val="0"/>
              <w:spacing w:lineRule="auto" w:line="273" w:before="0" w:after="283"/>
              <w:jc w:val="center"/>
              <w:rPr>
                <w:rFonts w:ascii="Arial;sans-serif" w:hAnsi="Arial;sans-serif"/>
                <w:b/>
                <w:color w:val="0063A6"/>
                <w:sz w:val="16"/>
              </w:rPr>
            </w:pPr>
            <w:r>
              <w:rPr>
                <w:rFonts w:ascii="Arial;sans-serif" w:hAnsi="Arial;sans-serif"/>
                <w:b/>
                <w:color w:val="0063A6"/>
                <w:sz w:val="16"/>
              </w:rPr>
              <w:t>2023</w:t>
            </w:r>
          </w:p>
        </w:tc>
      </w:tr>
      <w:tr>
        <w:trPr/>
        <w:tc>
          <w:tcPr>
            <w:tcW w:w="3524" w:type="dxa"/>
            <w:gridSpan w:val="3"/>
            <w:tcBorders/>
            <w:shd w:fill="E5EF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E5EFF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left w:val="single" w:sz="12" w:space="0" w:color="FFFFFF"/>
            </w:tcBorders>
            <w:shd w:fill="E5EFF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GAAP income from operations</w:t>
            </w:r>
          </w:p>
        </w:tc>
        <w:tc>
          <w:tcPr>
            <w:tcW w:w="14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$486.2</w:t>
            </w:r>
          </w:p>
        </w:tc>
        <w:tc>
          <w:tcPr>
            <w:tcW w:w="1608" w:type="dxa"/>
            <w:gridSpan w:val="3"/>
            <w:tcBorders>
              <w:top w:val="single" w:sz="12" w:space="0" w:color="FFFFFF"/>
              <w:left w:val="single" w:sz="12" w:space="0" w:color="FFFFFF"/>
              <w:right w:val="single" w:sz="12" w:space="0" w:color="FFFFFF"/>
            </w:tcBorders>
            <w:shd w:fill="F2F2F2"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$538.7</w:t>
            </w:r>
          </w:p>
        </w:tc>
      </w:tr>
      <w:tr>
        <w:trPr/>
        <w:tc>
          <w:tcPr>
            <w:tcW w:w="3524" w:type="dxa"/>
            <w:gridSpan w:val="3"/>
            <w:tcBorders>
              <w:top w:val="single" w:sz="12" w:space="0" w:color="FFFFFF"/>
              <w:left w:val="single" w:sz="12" w:space="0" w:color="FFFFFF"/>
            </w:tcBorders>
            <w:tcMar>
              <w:top w:w="30" w:type="dxa"/>
              <w:left w:w="297"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8"/>
              </w:rPr>
            </w:pPr>
            <w:r>
              <w:rPr>
                <w:rFonts w:ascii="Arial;sans-serif" w:hAnsi="Arial;sans-serif"/>
                <w:b w:val="false"/>
                <w:i/>
                <w:color w:val="000000"/>
                <w:sz w:val="18"/>
              </w:rPr>
              <w:t>GAAP operating margin</w:t>
            </w:r>
          </w:p>
        </w:tc>
        <w:tc>
          <w:tcPr>
            <w:tcW w:w="1404"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19.1%</w:t>
            </w:r>
          </w:p>
        </w:tc>
        <w:tc>
          <w:tcPr>
            <w:tcW w:w="1608" w:type="dxa"/>
            <w:gridSpan w:val="3"/>
            <w:tcBorders>
              <w:top w:val="single" w:sz="12" w:space="0" w:color="FFFFFF"/>
              <w:left w:val="single" w:sz="12" w:space="0" w:color="FFFFFF"/>
              <w:right w:val="single" w:sz="12" w:space="0" w:color="FFFFFF"/>
            </w:tcBorders>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21.5%</w:t>
            </w:r>
          </w:p>
        </w:tc>
      </w:tr>
      <w:tr>
        <w:trPr/>
        <w:tc>
          <w:tcPr>
            <w:tcW w:w="352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6" w:before="95" w:after="95"/>
              <w:jc w:val="left"/>
              <w:rPr>
                <w:rFonts w:ascii="Arial;sans-serif" w:hAnsi="Arial;sans-serif"/>
                <w:b w:val="false"/>
                <w:color w:val="000000"/>
                <w:sz w:val="18"/>
              </w:rPr>
            </w:pPr>
            <w:r>
              <w:rPr>
                <w:rFonts w:ascii="Arial;sans-serif" w:hAnsi="Arial;sans-serif"/>
                <w:b w:val="false"/>
                <w:color w:val="000000"/>
                <w:sz w:val="18"/>
              </w:rPr>
              <w:t>Plus:</w:t>
            </w:r>
          </w:p>
        </w:tc>
        <w:tc>
          <w:tcPr>
            <w:tcW w:w="1404" w:type="dxa"/>
            <w:gridSpan w:val="3"/>
            <w:tcBorders>
              <w:top w:val="single" w:sz="12" w:space="0" w:color="FFFFFF"/>
              <w:left w:val="single" w:sz="12"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12" w:space="0" w:color="FFFFFF"/>
              <w:left w:val="single" w:sz="12" w:space="0" w:color="FFFFFF"/>
              <w:right w:val="single" w:sz="12"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2" w:space="0" w:color="FFFFFF"/>
              <w:left w:val="single" w:sz="12" w:space="0" w:color="FFFFFF"/>
            </w:tcBorders>
            <w:tcMar>
              <w:top w:w="30" w:type="dxa"/>
              <w:left w:w="29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404"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346.5</w:t>
            </w:r>
          </w:p>
        </w:tc>
        <w:tc>
          <w:tcPr>
            <w:tcW w:w="1608" w:type="dxa"/>
            <w:gridSpan w:val="3"/>
            <w:tcBorders>
              <w:top w:val="single" w:sz="12" w:space="0" w:color="FFFFFF"/>
              <w:left w:val="single" w:sz="12" w:space="0" w:color="FFFFFF"/>
              <w:right w:val="single" w:sz="12" w:space="0" w:color="FFFFFF"/>
            </w:tcBorders>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338.0</w:t>
            </w:r>
          </w:p>
        </w:tc>
      </w:tr>
      <w:tr>
        <w:trPr/>
        <w:tc>
          <w:tcPr>
            <w:tcW w:w="3524" w:type="dxa"/>
            <w:gridSpan w:val="3"/>
            <w:tcBorders>
              <w:top w:val="single" w:sz="12" w:space="0" w:color="FFFFFF"/>
              <w:left w:val="single" w:sz="12" w:space="0" w:color="FFFFFF"/>
            </w:tcBorders>
            <w:shd w:fill="F2F2F2" w:val="clear"/>
            <w:tcMar>
              <w:top w:w="30" w:type="dxa"/>
              <w:left w:w="29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Acquisition-related and other expenses</w:t>
            </w:r>
          </w:p>
        </w:tc>
        <w:tc>
          <w:tcPr>
            <w:tcW w:w="14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21.7</w:t>
            </w:r>
          </w:p>
        </w:tc>
        <w:tc>
          <w:tcPr>
            <w:tcW w:w="1608" w:type="dxa"/>
            <w:gridSpan w:val="3"/>
            <w:tcBorders>
              <w:top w:val="single" w:sz="12" w:space="0" w:color="FFFFFF"/>
              <w:left w:val="single" w:sz="12" w:space="0" w:color="FFFFFF"/>
              <w:right w:val="single" w:sz="12" w:space="0" w:color="FFFFFF"/>
            </w:tcBorders>
            <w:shd w:fill="F2F2F2"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30.9</w:t>
            </w:r>
          </w:p>
        </w:tc>
      </w:tr>
      <w:tr>
        <w:trPr/>
        <w:tc>
          <w:tcPr>
            <w:tcW w:w="3524" w:type="dxa"/>
            <w:gridSpan w:val="3"/>
            <w:tcBorders>
              <w:top w:val="single" w:sz="12" w:space="0" w:color="FFFFFF"/>
              <w:left w:val="single" w:sz="12" w:space="0" w:color="FFFFFF"/>
            </w:tcBorders>
            <w:tcMar>
              <w:top w:w="30" w:type="dxa"/>
              <w:left w:w="29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404"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25.8</w:t>
            </w:r>
          </w:p>
        </w:tc>
        <w:tc>
          <w:tcPr>
            <w:tcW w:w="1608" w:type="dxa"/>
            <w:gridSpan w:val="3"/>
            <w:tcBorders>
              <w:top w:val="single" w:sz="12" w:space="0" w:color="FFFFFF"/>
              <w:left w:val="single" w:sz="12" w:space="0" w:color="FFFFFF"/>
              <w:right w:val="single" w:sz="12" w:space="0" w:color="FFFFFF"/>
            </w:tcBorders>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28.2</w:t>
            </w:r>
          </w:p>
        </w:tc>
      </w:tr>
      <w:tr>
        <w:trPr/>
        <w:tc>
          <w:tcPr>
            <w:tcW w:w="352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Net loss (gain) on real estate assets</w:t>
            </w:r>
          </w:p>
        </w:tc>
        <w:tc>
          <w:tcPr>
            <w:tcW w:w="14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0.1</w:t>
            </w:r>
          </w:p>
        </w:tc>
        <w:tc>
          <w:tcPr>
            <w:tcW w:w="1608" w:type="dxa"/>
            <w:gridSpan w:val="3"/>
            <w:tcBorders>
              <w:top w:val="single" w:sz="12" w:space="0" w:color="FFFFFF"/>
              <w:left w:val="single" w:sz="12" w:space="0" w:color="FFFFFF"/>
              <w:right w:val="single" w:sz="12" w:space="0" w:color="FFFFFF"/>
            </w:tcBorders>
            <w:shd w:fill="F2F2F2"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(155.2)</w:t>
            </w:r>
          </w:p>
        </w:tc>
      </w:tr>
      <w:tr>
        <w:trPr/>
        <w:tc>
          <w:tcPr>
            <w:tcW w:w="3524" w:type="dxa"/>
            <w:gridSpan w:val="3"/>
            <w:tcBorders>
              <w:top w:val="single" w:sz="12" w:space="0" w:color="FFFFFF"/>
              <w:left w:val="single" w:sz="12" w:space="0" w:color="FFFFFF"/>
            </w:tcBorders>
            <w:tcMar>
              <w:top w:w="30" w:type="dxa"/>
              <w:left w:w="297"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Reduction workforce expense</w:t>
            </w:r>
          </w:p>
        </w:tc>
        <w:tc>
          <w:tcPr>
            <w:tcW w:w="1404" w:type="dxa"/>
            <w:gridSpan w:val="3"/>
            <w:tcBorders>
              <w:top w:val="single" w:sz="12" w:space="0" w:color="FFFFFF"/>
              <w:left w:val="single" w:sz="12" w:space="0" w:color="FFFFFF"/>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47.2</w:t>
            </w:r>
          </w:p>
        </w:tc>
        <w:tc>
          <w:tcPr>
            <w:tcW w:w="1608" w:type="dxa"/>
            <w:gridSpan w:val="3"/>
            <w:tcBorders>
              <w:top w:val="single" w:sz="12" w:space="0" w:color="FFFFFF"/>
              <w:left w:val="single" w:sz="12" w:space="0" w:color="FFFFFF"/>
              <w:right w:val="single" w:sz="12" w:space="0" w:color="FFFFFF"/>
            </w:tcBorders>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39.3</w:t>
            </w:r>
          </w:p>
        </w:tc>
      </w:tr>
      <w:tr>
        <w:trPr/>
        <w:tc>
          <w:tcPr>
            <w:tcW w:w="352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Non-GAAP income from operations</w:t>
            </w:r>
          </w:p>
        </w:tc>
        <w:tc>
          <w:tcPr>
            <w:tcW w:w="1404"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927.5</w:t>
            </w:r>
          </w:p>
        </w:tc>
        <w:tc>
          <w:tcPr>
            <w:tcW w:w="1608"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819.9</w:t>
            </w:r>
          </w:p>
        </w:tc>
      </w:tr>
      <w:tr>
        <w:trPr/>
        <w:tc>
          <w:tcPr>
            <w:tcW w:w="3524" w:type="dxa"/>
            <w:gridSpan w:val="3"/>
            <w:tcBorders>
              <w:top w:val="single" w:sz="12" w:space="0" w:color="FFFFFF"/>
              <w:left w:val="single" w:sz="12" w:space="0" w:color="FFFFFF"/>
              <w:bottom w:val="single" w:sz="12" w:space="0" w:color="FFFFFF"/>
            </w:tcBorders>
            <w:shd w:fill="F2F2F2" w:val="clear"/>
            <w:tcMar>
              <w:top w:w="30" w:type="dxa"/>
              <w:left w:w="297"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Non-GAAP operating margin</w:t>
            </w:r>
          </w:p>
        </w:tc>
        <w:tc>
          <w:tcPr>
            <w:tcW w:w="1404" w:type="dxa"/>
            <w:gridSpan w:val="3"/>
            <w:tcBorders>
              <w:top w:val="single" w:sz="12" w:space="0" w:color="FFFFFF"/>
              <w:left w:val="single" w:sz="12" w:space="0" w:color="FFFFFF"/>
              <w:bottom w:val="single" w:sz="12" w:space="0" w:color="FFFFFF"/>
            </w:tcBorders>
            <w:shd w:fill="F2F2F2" w:val="clear"/>
            <w:tcMar>
              <w:top w:w="3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36.4%</w:t>
            </w:r>
          </w:p>
        </w:tc>
        <w:tc>
          <w:tcPr>
            <w:tcW w:w="1608" w:type="dxa"/>
            <w:gridSpan w:val="3"/>
            <w:tcBorders>
              <w:top w:val="single" w:sz="12" w:space="0" w:color="FFFFFF"/>
              <w:left w:val="single" w:sz="12" w:space="0" w:color="FFFFFF"/>
              <w:bottom w:val="single" w:sz="12" w:space="0" w:color="FFFFFF"/>
              <w:right w:val="single" w:sz="12" w:space="0" w:color="FFFFFF"/>
            </w:tcBorders>
            <w:shd w:fill="F2F2F2" w:val="clear"/>
            <w:tcMar>
              <w:top w:w="30" w:type="dxa"/>
              <w:bottom w:w="3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32.8%</w:t>
            </w:r>
          </w:p>
        </w:tc>
      </w:tr>
    </w:tbl>
    <w:p>
      <w:pPr>
        <w:pStyle w:val="TextBody"/>
        <w:bidi w:val="0"/>
        <w:spacing w:lineRule="auto" w:line="276" w:before="340" w:after="283"/>
        <w:jc w:val="left"/>
        <w:rPr>
          <w:rFonts w:ascii="Arial;sans-serif" w:hAnsi="Arial;sans-serif"/>
          <w:b/>
          <w:color w:val="0063A6"/>
          <w:sz w:val="18"/>
          <w:shd w:fill="FFFFFF" w:val="clear"/>
        </w:rPr>
      </w:pPr>
      <w:r>
        <w:rPr>
          <w:rFonts w:ascii="Arial;sans-serif" w:hAnsi="Arial;sans-serif"/>
          <w:b/>
          <w:color w:val="0063A6"/>
          <w:sz w:val="18"/>
          <w:shd w:fill="FFFFFF" w:val="clear"/>
        </w:rPr>
        <w:t>Free cash flow</w:t>
      </w:r>
    </w:p>
    <w:tbl>
      <w:tblPr>
        <w:tblW w:w="6431" w:type="dxa"/>
        <w:jc w:val="left"/>
        <w:tblInd w:w="0" w:type="dxa"/>
        <w:tblLayout w:type="fixed"/>
        <w:tblCellMar>
          <w:top w:w="28" w:type="dxa"/>
          <w:left w:w="28" w:type="dxa"/>
          <w:bottom w:w="28" w:type="dxa"/>
          <w:right w:w="28" w:type="dxa"/>
        </w:tblCellMar>
      </w:tblPr>
      <w:tblGrid>
        <w:gridCol w:w="1237"/>
        <w:gridCol w:w="1089"/>
        <w:gridCol w:w="1093"/>
        <w:gridCol w:w="468"/>
        <w:gridCol w:w="468"/>
        <w:gridCol w:w="468"/>
        <w:gridCol w:w="468"/>
        <w:gridCol w:w="468"/>
        <w:gridCol w:w="672"/>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Twelve Months Ended December 31,</w:t>
            </w:r>
          </w:p>
        </w:tc>
      </w:tr>
      <w:tr>
        <w:trPr/>
        <w:tc>
          <w:tcPr>
            <w:tcW w:w="341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12" w:space="0" w:color="FFFFFF"/>
            </w:tcBorders>
            <w:shd w:fill="0063A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12" w:space="0" w:color="FFFFFF"/>
              <w:left w:val="single" w:sz="12" w:space="0" w:color="FFFFFF"/>
            </w:tcBorders>
            <w:shd w:fill="0063A6"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2024</w:t>
            </w:r>
          </w:p>
        </w:tc>
        <w:tc>
          <w:tcPr>
            <w:tcW w:w="1608" w:type="dxa"/>
            <w:gridSpan w:val="3"/>
            <w:tcBorders>
              <w:left w:val="single" w:sz="12" w:space="0" w:color="FFFFFF"/>
            </w:tcBorders>
            <w:shd w:fill="0063A6" w:val="clear"/>
            <w:tcMar>
              <w:top w:w="0" w:type="dxa"/>
              <w:bottom w:w="0" w:type="dxa"/>
              <w:right w:w="0" w:type="dxa"/>
            </w:tcMar>
            <w:vAlign w:val="center"/>
          </w:tcPr>
          <w:p>
            <w:pPr>
              <w:pStyle w:val="TableContents"/>
              <w:bidi w:val="0"/>
              <w:spacing w:lineRule="auto" w:line="273" w:before="0" w:after="283"/>
              <w:jc w:val="center"/>
              <w:rPr>
                <w:rFonts w:ascii="Arial;sans-serif" w:hAnsi="Arial;sans-serif"/>
                <w:b/>
                <w:color w:val="FFFFFF"/>
                <w:sz w:val="16"/>
              </w:rPr>
            </w:pPr>
            <w:r>
              <w:rPr>
                <w:rFonts w:ascii="Arial;sans-serif" w:hAnsi="Arial;sans-serif"/>
                <w:b/>
                <w:color w:val="FFFFFF"/>
                <w:sz w:val="16"/>
              </w:rPr>
              <w:t>2023</w:t>
            </w:r>
          </w:p>
        </w:tc>
      </w:tr>
      <w:tr>
        <w:trPr/>
        <w:tc>
          <w:tcPr>
            <w:tcW w:w="3419" w:type="dxa"/>
            <w:gridSpan w:val="3"/>
            <w:tcBorders/>
            <w:shd w:fill="0063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left w:val="single" w:sz="12" w:space="0" w:color="FFFFFF"/>
            </w:tcBorders>
            <w:shd w:fill="0063A6"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12"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404"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$894.1</w:t>
            </w:r>
          </w:p>
        </w:tc>
        <w:tc>
          <w:tcPr>
            <w:tcW w:w="1608" w:type="dxa"/>
            <w:gridSpan w:val="3"/>
            <w:tcBorders>
              <w:top w:val="single" w:sz="12" w:space="0" w:color="FFFFFF"/>
              <w:left w:val="single" w:sz="12" w:space="0" w:color="FFFFFF"/>
            </w:tcBorders>
            <w:shd w:fill="F2F2F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$783.7</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404"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left w:val="single" w:sz="12"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404"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(22.5)</w:t>
            </w:r>
          </w:p>
        </w:tc>
        <w:tc>
          <w:tcPr>
            <w:tcW w:w="1608" w:type="dxa"/>
            <w:gridSpan w:val="3"/>
            <w:tcBorders>
              <w:left w:val="single" w:sz="12" w:space="0" w:color="FFFFFF"/>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(24.3)</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1404" w:type="dxa"/>
            <w:gridSpan w:val="3"/>
            <w:tcBorders>
              <w:left w:val="single" w:sz="12" w:space="0" w:color="FFFFFF"/>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871.6</w:t>
            </w:r>
          </w:p>
        </w:tc>
        <w:tc>
          <w:tcPr>
            <w:tcW w:w="1608" w:type="dxa"/>
            <w:gridSpan w:val="3"/>
            <w:tcBorders>
              <w:left w:val="single" w:sz="12" w:space="0" w:color="FFFFFF"/>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0"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right"/>
                              <w:rPr>
                                <w:rFonts w:ascii="Arial;sans-serif" w:hAnsi="Arial;sans-serif"/>
                                <w:b/>
                                <w:color w:val="000000"/>
                                <w:sz w:val="16"/>
                              </w:rPr>
                            </w:pPr>
                            <w:r>
                              <w:rPr>
                                <w:rFonts w:ascii="Arial;sans-serif" w:hAnsi="Arial;sans-serif"/>
                                <w:b/>
                                <w:color w:val="000000"/>
                                <w:sz w:val="16"/>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Arial;sans-serif" w:hAnsi="Arial;sans-serif"/>
                          <w:b/>
                          <w:color w:val="000000"/>
                          <w:sz w:val="16"/>
                        </w:rPr>
                      </w:pPr>
                      <w:r>
                        <w:rPr>
                          <w:rFonts w:ascii="Arial;sans-serif" w:hAnsi="Arial;sans-serif"/>
                          <w:b/>
                          <w:color w:val="000000"/>
                          <w:sz w:val="16"/>
                        </w:rPr>
                        <w:t>A-1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286500" cy="8124825"/>
            <wp:effectExtent l="0" t="0" r="0" b="0"/>
            <wp:docPr id="12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7" descr=""/>
                    <pic:cNvPicPr>
                      <a:picLocks noChangeAspect="1" noChangeArrowheads="1"/>
                    </pic:cNvPicPr>
                  </pic:nvPicPr>
                  <pic:blipFill>
                    <a:blip r:embed="rId48"/>
                    <a:stretch>
                      <a:fillRect/>
                    </a:stretch>
                  </pic:blipFill>
                  <pic:spPr bwMode="auto">
                    <a:xfrm>
                      <a:off x="0" y="0"/>
                      <a:ext cx="6286500" cy="81248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286500" cy="8124825"/>
            <wp:effectExtent l="0" t="0" r="0" b="0"/>
            <wp:docPr id="12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8" descr=""/>
                    <pic:cNvPicPr>
                      <a:picLocks noChangeAspect="1" noChangeArrowheads="1"/>
                    </pic:cNvPicPr>
                  </pic:nvPicPr>
                  <pic:blipFill>
                    <a:blip r:embed="rId49"/>
                    <a:stretch>
                      <a:fillRect/>
                    </a:stretch>
                  </pic:blipFill>
                  <pic:spPr bwMode="auto">
                    <a:xfrm>
                      <a:off x="0" y="0"/>
                      <a:ext cx="6286500" cy="81248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7.jpeg"/><Relationship Id="rId20" Type="http://schemas.openxmlformats.org/officeDocument/2006/relationships/image" Target="media/image15.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7.jpeg"/><Relationship Id="rId24" Type="http://schemas.openxmlformats.org/officeDocument/2006/relationships/image" Target="media/image16.jpeg"/><Relationship Id="rId25" Type="http://schemas.openxmlformats.org/officeDocument/2006/relationships/image" Target="media/image15.jpeg"/><Relationship Id="rId26" Type="http://schemas.openxmlformats.org/officeDocument/2006/relationships/image" Target="media/image17.jpeg"/><Relationship Id="rId27" Type="http://schemas.openxmlformats.org/officeDocument/2006/relationships/image" Target="media/image17.jpeg"/><Relationship Id="rId28" Type="http://schemas.openxmlformats.org/officeDocument/2006/relationships/image" Target="media/image17.jpeg"/><Relationship Id="rId29" Type="http://schemas.openxmlformats.org/officeDocument/2006/relationships/image" Target="media/image17.jpeg"/><Relationship Id="rId30" Type="http://schemas.openxmlformats.org/officeDocument/2006/relationships/image" Target="media/image17.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36332</Words>
  <Characters>201768</Characters>
  <CharactersWithSpaces>236343</CharactersWithSpaces>
  <Paragraphs>2505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