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26210C104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40"/>
        <w:spacing w:after="0"/>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2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18,001,603.00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20,321,709.00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20,321,709.00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8.8 %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0"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0"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MINNESOTA</w:t>
      </w:r>
    </w:p>
    <w:p>
      <w:pPr>
        <w:ind w:left="40"/>
        <w:spacing w:after="0" w:line="237" w:lineRule="auto"/>
        <w:rPr>
          <w:sz w:val="20"/>
          <w:szCs w:val="20"/>
          <w:color w:val="auto"/>
        </w:rPr>
      </w:pPr>
      <w:r>
        <w:rPr>
          <w:rFonts w:ascii="Times New Roman" w:cs="Times New Roman" w:eastAsia="Times New Roman" w:hAnsi="Times New Roman"/>
          <w:sz w:val="43"/>
          <w:szCs w:val="43"/>
          <w:color w:val="auto"/>
          <w:vertAlign w:val="subscript"/>
        </w:rPr>
        <w:t>5</w:t>
      </w:r>
      <w:r>
        <w:rPr>
          <w:rFonts w:ascii="Times New Roman" w:cs="Times New Roman" w:eastAsia="Times New Roman" w:hAnsi="Times New Roman"/>
          <w:sz w:val="22"/>
          <w:szCs w:val="22"/>
          <w:color w:val="auto"/>
        </w:rPr>
        <w:t xml:space="preserve"> Sole Voting Power</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18,001,603.00</w:t>
      </w:r>
    </w:p>
    <w:p>
      <w:pPr>
        <w:ind w:left="40"/>
        <w:spacing w:after="0" w:line="205" w:lineRule="auto"/>
        <w:rPr>
          <w:sz w:val="20"/>
          <w:szCs w:val="20"/>
          <w:color w:val="auto"/>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19,429,581.00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19,429,581.00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8.4 %</w:t>
      </w:r>
    </w:p>
    <w:p>
      <w:pPr>
        <w:sectPr>
          <w:pgSz w:w="11900" w:h="16838" w:orient="portrait"/>
          <w:cols w:equalWidth="0" w:num="2">
            <w:col w:w="1060" w:space="60"/>
            <w:col w:w="8979"/>
          </w:cols>
          <w:pgMar w:left="360" w:top="0"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26210C104</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Columbia Seligman Technology and Information Fund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1080"/>
          </w:cols>
          <w:pgMar w:left="360" w:top="111" w:right="459"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8120"/>
        <w:spacing w:after="0"/>
        <w:rPr>
          <w:sz w:val="20"/>
          <w:szCs w:val="20"/>
          <w:color w:val="auto"/>
        </w:rPr>
      </w:pPr>
      <w:r>
        <w:rPr>
          <w:rFonts w:ascii="Times New Roman" w:cs="Times New Roman" w:eastAsia="Times New Roman" w:hAnsi="Times New Roman"/>
          <w:sz w:val="21"/>
          <w:szCs w:val="21"/>
          <w:color w:val="auto"/>
        </w:rPr>
        <w:t>MASSACHUSETTS</w:t>
      </w:r>
    </w:p>
    <w:p>
      <w:pPr>
        <w:spacing w:after="0" w:line="96" w:lineRule="exact"/>
        <w:rPr>
          <w:sz w:val="20"/>
          <w:szCs w:val="20"/>
          <w:color w:val="auto"/>
        </w:rPr>
      </w:pPr>
    </w:p>
    <w:p>
      <w:pPr>
        <w:jc w:val="right"/>
        <w:ind w:right="806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11,656,509.00</w:t>
      </w:r>
    </w:p>
    <w:p>
      <w:pPr>
        <w:ind w:left="280" w:hanging="231"/>
        <w:spacing w:after="0" w:line="180" w:lineRule="auto"/>
        <w:tabs>
          <w:tab w:leader="none" w:pos="28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Shared Voting Power</w:t>
      </w:r>
    </w:p>
    <w:p>
      <w:pPr>
        <w:spacing w:after="0" w:line="122" w:lineRule="exact"/>
        <w:rPr>
          <w:rFonts w:ascii="Times New Roman" w:cs="Times New Roman" w:eastAsia="Times New Roman" w:hAnsi="Times New Roman"/>
          <w:sz w:val="35"/>
          <w:szCs w:val="35"/>
          <w:color w:val="auto"/>
          <w:vertAlign w:val="subscript"/>
        </w:rPr>
      </w:pPr>
    </w:p>
    <w:p>
      <w:pPr>
        <w:ind w:left="40"/>
        <w:spacing w:after="0"/>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43"/>
          <w:szCs w:val="43"/>
          <w:color w:val="auto"/>
          <w:vertAlign w:val="subscript"/>
        </w:rPr>
        <w:t>7</w:t>
      </w:r>
      <w:r>
        <w:rPr>
          <w:rFonts w:ascii="Times New Roman" w:cs="Times New Roman" w:eastAsia="Times New Roman" w:hAnsi="Times New Roman"/>
          <w:sz w:val="22"/>
          <w:szCs w:val="22"/>
          <w:color w:val="auto"/>
        </w:rPr>
        <w:t xml:space="preserve"> Sole Dispositive Power</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11,656,509.00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11,656,509.00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w:t>
      </w:r>
    </w:p>
    <w:p>
      <w:pPr>
        <w:spacing w:after="0" w:line="200" w:lineRule="exact"/>
        <w:rPr>
          <w:sz w:val="20"/>
          <w:szCs w:val="20"/>
          <w:color w:val="auto"/>
        </w:rPr>
      </w:pPr>
    </w:p>
    <w:p>
      <w:pPr>
        <w:sectPr>
          <w:pgSz w:w="11900" w:h="16838" w:orient="portrait"/>
          <w:cols w:equalWidth="0" w:num="2">
            <w:col w:w="1060" w:space="60"/>
            <w:col w:w="9960"/>
          </w:cols>
          <w:pgMar w:left="360" w:top="111" w:right="459"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13G</w:t>
      </w:r>
    </w:p>
    <w:p>
      <w:pPr>
        <w:sectPr>
          <w:pgSz w:w="11900" w:h="16838" w:orient="portrait"/>
          <w:cols w:equalWidth="0" w:num="1">
            <w:col w:w="11080"/>
          </w:cols>
          <w:pgMar w:left="360" w:top="111" w:right="459" w:bottom="0" w:gutter="0" w:footer="0" w:header="0"/>
          <w:type w:val="continuous"/>
        </w:sect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1800 Owens Street San Francisco, California 94158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Ameriprise Financial, Inc. ("AFI") Columbia Management Investment Advisers, LLC ("CMIA") Columbia Seligman Technology and Information Fund ("Fund")</w:t>
      </w:r>
    </w:p>
    <w:p>
      <w:pPr>
        <w:sectPr>
          <w:pgSz w:w="11900" w:h="16838" w:orient="portrait"/>
          <w:cols w:equalWidth="0" w:num="2">
            <w:col w:w="620" w:space="300"/>
            <w:col w:w="10160"/>
          </w:cols>
          <w:pgMar w:left="360" w:top="111" w:right="459" w:bottom="0" w:gutter="0" w:footer="0" w:header="0"/>
          <w:type w:val="continuous"/>
        </w:sectPr>
      </w:pPr>
    </w:p>
    <w:bookmarkStart w:id="3" w:name="page4"/>
    <w:bookmarkEnd w:id="3"/>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rFonts w:ascii="Times New Roman" w:cs="Times New Roman" w:eastAsia="Times New Roman" w:hAnsi="Times New Roman"/>
          <w:sz w:val="22"/>
          <w:szCs w:val="22"/>
          <w:color w:val="auto"/>
        </w:rPr>
      </w:pPr>
    </w:p>
    <w:p>
      <w:pPr>
        <w:ind w:left="920" w:right="340"/>
        <w:spacing w:after="0" w:line="256"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(a)145 Ameriprise Financial Center, Minneapolis, MN 55474 (b) 290 Congress Street, Boston, MA 02210 (c) 290 Congress Street, Boston, MA 02210</w:t>
      </w: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6540" w:firstLine="6"/>
        <w:spacing w:after="0" w:line="256" w:lineRule="auto"/>
        <w:tabs>
          <w:tab w:leader="none" w:pos="1214"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Delaware (b) Minnesota (c) Minnesota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Class A 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26210C104</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7"/>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140"/>
        <w:spacing w:after="0" w:line="253" w:lineRule="auto"/>
        <w:rPr>
          <w:sz w:val="20"/>
          <w:szCs w:val="20"/>
          <w:color w:val="auto"/>
        </w:rPr>
      </w:pPr>
      <w:r>
        <w:rPr>
          <w:rFonts w:ascii="Times New Roman" w:cs="Times New Roman" w:eastAsia="Times New Roman" w:hAnsi="Times New Roman"/>
          <w:sz w:val="21"/>
          <w:szCs w:val="21"/>
          <w:color w:val="auto"/>
        </w:rPr>
        <w:t>Incorporated by reference to Items (5)-(9) and (11) of the cover page pertaining to each reporting person. CMIA and AFI do not directly own any shares of Common Stock of the issuer. As the investment adviser to the Fund and</w:t>
      </w:r>
    </w:p>
    <w:p>
      <w:pPr>
        <w:spacing w:after="0" w:line="1" w:lineRule="exact"/>
        <w:rPr>
          <w:sz w:val="20"/>
          <w:szCs w:val="20"/>
          <w:color w:val="auto"/>
        </w:rPr>
      </w:pPr>
    </w:p>
    <w:p>
      <w:pPr>
        <w:ind w:left="920" w:hanging="912"/>
        <w:spacing w:after="0" w:line="201" w:lineRule="auto"/>
        <w:tabs>
          <w:tab w:leader="none" w:pos="920" w:val="left"/>
        </w:tabs>
        <w:numPr>
          <w:ilvl w:val="0"/>
          <w:numId w:val="9"/>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various other unregistered and registered investment companies and other managed accounts, CMIA may be deemed to beneficially own the shares reported herein by the Fund. Accordingly, the shares reported herein by CMIA include those shares separately reported herein by the Fund. As the parent holding company of CMIA, AFI may be deemed to beneficially own the shares reported herein by CMIA. Accordingly, the shares reported herein by AFI include those shares separately reported herein by CMIA. Each of AFI and CMIA, and the subsidiaries identified on the attached Exhibit I, disclaims beneficial ownership of any shares reported on this Schedule.</w:t>
      </w:r>
    </w:p>
    <w:p>
      <w:pPr>
        <w:spacing w:after="0" w:line="14" w:lineRule="exact"/>
        <w:rPr>
          <w:rFonts w:ascii="Times New Roman" w:cs="Times New Roman" w:eastAsia="Times New Roman" w:hAnsi="Times New Roman"/>
          <w:sz w:val="43"/>
          <w:szCs w:val="43"/>
          <w:color w:val="auto"/>
          <w:vertAlign w:val="subscript"/>
        </w:rPr>
      </w:pPr>
    </w:p>
    <w:p>
      <w:pPr>
        <w:ind w:left="920"/>
        <w:spacing w:after="0"/>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43"/>
          <w:szCs w:val="43"/>
          <w:color w:val="auto"/>
          <w:vertAlign w:val="subscript"/>
        </w:rPr>
      </w:pPr>
    </w:p>
    <w:p>
      <w:pPr>
        <w:ind w:left="920" w:right="520" w:hanging="912"/>
        <w:spacing w:after="0" w:line="185" w:lineRule="auto"/>
        <w:tabs>
          <w:tab w:leader="none" w:pos="920" w:val="left"/>
        </w:tabs>
        <w:numPr>
          <w:ilvl w:val="0"/>
          <w:numId w:val="9"/>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4(b) is set forth in Rows (5)-(9) and (11) of the cover page for each Reporting Person hereto and is incorporated herein by reference for each Reporting Person. %</w:t>
      </w:r>
    </w:p>
    <w:p>
      <w:pPr>
        <w:spacing w:after="0" w:line="17" w:lineRule="exact"/>
        <w:rPr>
          <w:rFonts w:ascii="Times New Roman" w:cs="Times New Roman" w:eastAsia="Times New Roman" w:hAnsi="Times New Roman"/>
          <w:sz w:val="39"/>
          <w:szCs w:val="39"/>
          <w:color w:val="auto"/>
          <w:vertAlign w:val="superscript"/>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5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ectPr>
          <w:pgSz w:w="11900" w:h="16838" w:orient="portrait"/>
          <w:cols w:equalWidth="0" w:num="1">
            <w:col w:w="11120"/>
          </w:cols>
          <w:pgMar w:left="360" w:top="112" w:right="41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ind w:right="560"/>
        <w:spacing w:after="0" w:line="259" w:lineRule="auto"/>
        <w:rPr>
          <w:sz w:val="20"/>
          <w:szCs w:val="20"/>
          <w:color w:val="auto"/>
        </w:rPr>
      </w:pPr>
      <w:r>
        <w:rPr>
          <w:rFonts w:ascii="Times New Roman" w:cs="Times New Roman" w:eastAsia="Times New Roman" w:hAnsi="Times New Roman"/>
          <w:sz w:val="22"/>
          <w:szCs w:val="22"/>
          <w:color w:val="auto"/>
        </w:rPr>
        <w:t>The information required by Item 4(c) is set forth in Rows (5)-(9) and (11) of the cover page for each Reporting Person hereto and is incorporated herein by reference for each Reporting Person.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4" w:lineRule="auto"/>
        <w:rPr>
          <w:sz w:val="20"/>
          <w:szCs w:val="20"/>
          <w:color w:val="auto"/>
        </w:rPr>
      </w:pPr>
      <w:r>
        <w:rPr>
          <w:rFonts w:ascii="Times New Roman" w:cs="Times New Roman" w:eastAsia="Times New Roman" w:hAnsi="Times New Roman"/>
          <w:sz w:val="22"/>
          <w:szCs w:val="22"/>
          <w:color w:val="auto"/>
        </w:rPr>
        <w:t>To the knowledge of AFI, CMIA and the Fund, no other persons besides AFI, CMIA and the Fund and those persons for whose shares of common stock CMIA and AFI report beneficial ownership have the right to receive or the power to direct the receipt of dividends from or the proceeds from the sale of the securities of the issuer reported herein. As of December 31, 2024, only the Fund owned more than 5% of the class of securities reported herein. Any remaining shares reported herein by CMIA are held by various other funds or accounts managed by CMIA which each have the right to receive any dividends paid by the issuer and could terminate their respective investment advisory relationship with CMIA and then subsequently direct the use of proceeds from the sale of the common stock owned by such fund or account. To CMIA's knowledge, none of these other funds or accounts own more than 5% of the outstanding shares of the issuer as December 31, 2024.</w:t>
      </w:r>
    </w:p>
    <w:p>
      <w:pPr>
        <w:spacing w:after="0" w:line="2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12"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AFI: See Exhibit I</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22"/>
          <w:szCs w:val="22"/>
          <w:color w:val="auto"/>
        </w:rPr>
        <w:t>Ameriprise Financial, Inc.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2"/>
          <w:szCs w:val="22"/>
          <w:color w:val="auto"/>
        </w:rPr>
        <w:t>Columbia Management Investment Advisers,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Michael G. Clarke Senior Vice President, North</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America Head of Operations &amp; Investor Services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152"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color w:val="auto"/>
        </w:rPr>
        <w:t>Columbia Seligman Technology and Information Fund</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Michael G. Clarke</w:t>
      </w:r>
    </w:p>
    <w:p>
      <w:pPr>
        <w:sectPr>
          <w:pgSz w:w="11900" w:h="16838" w:orient="portrait"/>
          <w:cols w:equalWidth="0" w:num="1">
            <w:col w:w="11140"/>
          </w:cols>
          <w:pgMar w:left="360" w:top="112" w:right="399" w:bottom="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Name/Title: Michael G. Clarke Senior Vice President &amp; Chief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Financial Officer</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02/12/2025</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Contact Information Charles Chiesa VP Fund Treasurer Global Operations and Investor</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Services Telephone: 617-385-9593</w:t>
      </w:r>
    </w:p>
    <w:p>
      <w:pPr>
        <w:spacing w:after="0" w:line="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right="480"/>
        <w:spacing w:after="0" w:line="258" w:lineRule="auto"/>
        <w:rPr>
          <w:sz w:val="20"/>
          <w:szCs w:val="20"/>
          <w:color w:val="auto"/>
        </w:rPr>
      </w:pPr>
      <w:r>
        <w:rPr>
          <w:rFonts w:ascii="Times New Roman" w:cs="Times New Roman" w:eastAsia="Times New Roman" w:hAnsi="Times New Roman"/>
          <w:sz w:val="22"/>
          <w:szCs w:val="22"/>
          <w:color w:val="auto"/>
        </w:rPr>
        <w:t>Exhibit I Identification and Classification of the Subsidiary which Acquired the Security Being Reported on by the Parent Holding Company. Exhibit II Joint Filing Agreement</w:t>
      </w:r>
    </w:p>
    <w:sectPr>
      <w:pgSz w:w="11900" w:h="16838" w:orient="portrait"/>
      <w:cols w:equalWidth="0" w:num="1">
        <w:col w:w="11060"/>
      </w:cols>
      <w:pgMar w:left="320" w:top="111"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decimal"/>
      <w:start w:val="12"/>
    </w:lvl>
  </w:abstractNum>
  <w:abstractNum w:abstractNumId="3">
    <w:nsid w:val="2EB141F2"/>
    <w:multiLevelType w:val="hybridMultilevel"/>
    <w:lvl w:ilvl="0">
      <w:lvlJc w:val="left"/>
      <w:lvlText w:val="6"/>
      <w:numFmt w:val="bullet"/>
      <w:start w:val="1"/>
    </w:lvl>
  </w:abstractNum>
  <w:abstractNum w:abstractNumId="4">
    <w:nsid w:val="41B71EFB"/>
    <w:multiLevelType w:val="hybridMultilevel"/>
    <w:lvl w:ilvl="0">
      <w:lvlJc w:val="left"/>
      <w:lvlText w:val="(%1)"/>
      <w:numFmt w:val="lowerLetter"/>
      <w:start w:val="2"/>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2025-02-14T09:04:12Z</dcterms:created>
  <dcterms:modified xsi:type="dcterms:W3CDTF">2025-02-14T09:04:12Z</dcterms:modified>
</cp:coreProperties>
</file>