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115570</wp:posOffset>
            </wp:positionV>
            <wp:extent cx="1750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2700020</wp:posOffset>
            </wp:positionH>
            <wp:positionV relativeFrom="paragraph">
              <wp:posOffset>132715</wp:posOffset>
            </wp:positionV>
            <wp:extent cx="1750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7" w:lineRule="exact"/>
        <w:rPr>
          <w:sz w:val="24"/>
          <w:szCs w:val="24"/>
          <w:color w:val="auto"/>
        </w:rPr>
      </w:pPr>
    </w:p>
    <w:p>
      <w:pPr>
        <w:ind w:left="3980" w:right="2140" w:hanging="3975"/>
        <w:spacing w:after="0" w:line="279" w:lineRule="auto"/>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w:t>
      </w:r>
      <w:r>
        <w:rPr>
          <w:rFonts w:ascii="Times New Roman" w:cs="Times New Roman" w:eastAsia="Times New Roman" w:hAnsi="Times New Roman"/>
          <w:sz w:val="17"/>
          <w:szCs w:val="17"/>
          <w:color w:val="auto"/>
        </w:rPr>
        <w:t>For the quarterly period ended March 31, 2024</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9" w:lineRule="exact"/>
        <w:rPr>
          <w:sz w:val="24"/>
          <w:szCs w:val="24"/>
          <w:color w:val="auto"/>
        </w:rPr>
      </w:pPr>
    </w:p>
    <w:p>
      <w:pPr>
        <w:ind w:left="3720" w:right="2120" w:hanging="3715"/>
        <w:spacing w:after="0" w:line="279" w:lineRule="auto"/>
        <w:tabs>
          <w:tab w:leader="none" w:pos="20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from________to________</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71120</wp:posOffset>
            </wp:positionV>
            <wp:extent cx="2962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117475</wp:posOffset>
            </wp:positionV>
            <wp:extent cx="296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71" w:lineRule="exact"/>
        <w:rPr>
          <w:sz w:val="24"/>
          <w:szCs w:val="24"/>
          <w:color w:val="auto"/>
        </w:rPr>
      </w:pPr>
    </w:p>
    <w:p>
      <w:pPr>
        <w:ind w:left="2040"/>
        <w:spacing w:after="0"/>
        <w:tabs>
          <w:tab w:leader="none" w:pos="926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26-0138832</w:t>
      </w:r>
    </w:p>
    <w:p>
      <w:pPr>
        <w:spacing w:after="0" w:line="35" w:lineRule="exact"/>
        <w:rPr>
          <w:sz w:val="24"/>
          <w:szCs w:val="24"/>
          <w:color w:val="auto"/>
        </w:rPr>
      </w:pPr>
    </w:p>
    <w:p>
      <w:pPr>
        <w:ind w:left="52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137160</wp:posOffset>
            </wp:positionV>
            <wp:extent cx="296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1800 Owens Street</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San Francisco, California 94158</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(415) 930-7766</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116840</wp:posOffset>
            </wp:positionV>
            <wp:extent cx="296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227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36830</wp:posOffset>
            </wp:positionV>
            <wp:extent cx="6257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7290" cy="8255"/>
                    </a:xfrm>
                    <a:prstGeom prst="rect">
                      <a:avLst/>
                    </a:prstGeom>
                    <a:noFill/>
                  </pic:spPr>
                </pic:pic>
              </a:graphicData>
            </a:graphic>
          </wp:anchor>
        </w:drawing>
      </w:r>
    </w:p>
    <w:p>
      <w:pPr>
        <w:spacing w:after="0" w:line="73"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6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080" w:type="dxa"/>
            <w:vAlign w:val="bottom"/>
            <w:gridSpan w:val="2"/>
          </w:tcPr>
          <w:p>
            <w:pPr>
              <w:jc w:val="center"/>
              <w:ind w:left="730"/>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r>
      <w:tr>
        <w:trPr>
          <w:trHeight w:val="20"/>
        </w:trPr>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05"/>
        </w:trPr>
        <w:tc>
          <w:tcPr>
            <w:tcW w:w="3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w w:val="99"/>
              </w:rPr>
              <w:t>Class A Common Stock, par value $0.00001 per share</w:t>
            </w:r>
          </w:p>
        </w:tc>
        <w:tc>
          <w:tcPr>
            <w:tcW w:w="620" w:type="dxa"/>
            <w:vAlign w:val="bottom"/>
          </w:tcPr>
          <w:p>
            <w:pPr>
              <w:spacing w:after="0"/>
              <w:rPr>
                <w:sz w:val="17"/>
                <w:szCs w:val="17"/>
                <w:color w:val="auto"/>
              </w:rPr>
            </w:pPr>
          </w:p>
        </w:tc>
        <w:tc>
          <w:tcPr>
            <w:tcW w:w="18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DBX</w:t>
            </w: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19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bl>
    <w:p>
      <w:pPr>
        <w:spacing w:after="0" w:line="367" w:lineRule="exact"/>
        <w:rPr>
          <w:sz w:val="24"/>
          <w:szCs w:val="24"/>
          <w:color w:val="auto"/>
        </w:rPr>
      </w:pPr>
    </w:p>
    <w:p>
      <w:pPr>
        <w:ind w:right="22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100" w:firstLine="314"/>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9" w:right="379" w:bottom="1440" w:gutter="0" w:footer="0" w:header="0"/>
        </w:sectPr>
      </w:pPr>
    </w:p>
    <w:p>
      <w:pPr>
        <w:spacing w:after="0" w:line="189" w:lineRule="exact"/>
        <w:rPr>
          <w:sz w:val="24"/>
          <w:szCs w:val="24"/>
          <w:color w:val="auto"/>
        </w:rPr>
      </w:pPr>
    </w:p>
    <w:p>
      <w:pPr>
        <w:ind w:firstLine="314"/>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1"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53"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158"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9" w:lineRule="exact"/>
        <w:rPr>
          <w:sz w:val="24"/>
          <w:szCs w:val="24"/>
          <w:color w:val="auto"/>
        </w:rPr>
      </w:pPr>
    </w:p>
    <w:p>
      <w:pPr>
        <w:sectPr>
          <w:pgSz w:w="11900" w:h="16838" w:orient="portrait"/>
          <w:cols w:equalWidth="0" w:num="2">
            <w:col w:w="10760" w:space="300"/>
            <w:col w:w="140"/>
          </w:cols>
          <w:pgMar w:left="320" w:top="969" w:right="379" w:bottom="1440" w:gutter="0" w:footer="0" w:header="0"/>
          <w:type w:val="continuous"/>
        </w:sectPr>
      </w:pPr>
    </w:p>
    <w:p>
      <w:pPr>
        <w:spacing w:after="0" w:line="136" w:lineRule="exact"/>
        <w:rPr>
          <w:sz w:val="24"/>
          <w:szCs w:val="24"/>
          <w:color w:val="auto"/>
        </w:rPr>
      </w:pPr>
    </w:p>
    <w:p>
      <w:pPr>
        <w:ind w:right="320"/>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75" w:lineRule="exact"/>
        <w:rPr>
          <w:sz w:val="24"/>
          <w:szCs w:val="24"/>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As of May 6, 2024, there were 250,339,500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428,155 shares of Class A common stock subject to restricted stock awards that were granted to other Dropbox executives and vest upon the satisfaction of a service condition and as applicable, achievement of certain stock price goals), 79,852,707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824865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42"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99" w:lineRule="exact"/>
        <w:rPr>
          <w:sz w:val="20"/>
          <w:szCs w:val="20"/>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paying users;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users or convert registered users to paying users;</w:t>
      </w:r>
    </w:p>
    <w:p>
      <w:pPr>
        <w:spacing w:after="0" w:line="248" w:lineRule="exact"/>
        <w:rPr>
          <w:rFonts w:ascii="Times New Roman" w:cs="Times New Roman" w:eastAsia="Times New Roman" w:hAnsi="Times New Roman"/>
          <w:sz w:val="17"/>
          <w:szCs w:val="17"/>
          <w:color w:val="auto"/>
        </w:rPr>
      </w:pPr>
    </w:p>
    <w:p>
      <w:pPr>
        <w:ind w:left="720" w:right="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59"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general economic, political, and market trends and their respective impacts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in competitive markets;</w:t>
      </w:r>
    </w:p>
    <w:p>
      <w:pPr>
        <w:spacing w:after="0" w:line="235" w:lineRule="exact"/>
        <w:rPr>
          <w:rFonts w:ascii="Times New Roman" w:cs="Times New Roman" w:eastAsia="Times New Roman" w:hAnsi="Times New Roman"/>
          <w:sz w:val="17"/>
          <w:szCs w:val="17"/>
          <w:color w:val="auto"/>
        </w:rPr>
      </w:pPr>
    </w:p>
    <w:p>
      <w:pPr>
        <w:ind w:left="720" w:right="14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impacts of a more permanent global shift to remote or distributed work, on our business, the business of our customers, suppliers and partners, and the economy;</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platform or for content collaboration solutions in general;</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integrate our platform with others;</w:t>
      </w:r>
    </w:p>
    <w:p>
      <w:pPr>
        <w:spacing w:after="0" w:line="235" w:lineRule="exact"/>
        <w:rPr>
          <w:rFonts w:ascii="Times New Roman" w:cs="Times New Roman" w:eastAsia="Times New Roman" w:hAnsi="Times New Roman"/>
          <w:sz w:val="17"/>
          <w:szCs w:val="17"/>
          <w:color w:val="auto"/>
        </w:rPr>
      </w:pPr>
    </w:p>
    <w:p>
      <w:pPr>
        <w:ind w:left="720" w:right="180" w:hanging="323"/>
        <w:spacing w:after="0" w:line="279"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85"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or maintain profitability;</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around future growth;</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introduce new products and features;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invest in the development of new products and technologies;</w:t>
      </w:r>
    </w:p>
    <w:p>
      <w:pPr>
        <w:spacing w:after="0" w:line="248" w:lineRule="exact"/>
        <w:rPr>
          <w:rFonts w:ascii="Times New Roman" w:cs="Times New Roman" w:eastAsia="Times New Roman" w:hAnsi="Times New Roman"/>
          <w:sz w:val="17"/>
          <w:szCs w:val="17"/>
          <w:color w:val="auto"/>
        </w:rPr>
      </w:pPr>
    </w:p>
    <w:p>
      <w:pPr>
        <w:ind w:left="720" w:right="32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integrate, and manage key and other highly qualified personnel, including in light of our workforce reduction in April 2023 and as a result of our Virtual First model with an increasingly distributed workforce;</w:t>
      </w:r>
    </w:p>
    <w:p>
      <w:pPr>
        <w:spacing w:after="0" w:line="172" w:lineRule="exact"/>
        <w:rPr>
          <w:rFonts w:ascii="Times New Roman" w:cs="Times New Roman" w:eastAsia="Times New Roman" w:hAnsi="Times New Roman"/>
          <w:sz w:val="17"/>
          <w:szCs w:val="17"/>
          <w:color w:val="auto"/>
        </w:rPr>
      </w:pPr>
    </w:p>
    <w:p>
      <w:pPr>
        <w:ind w:left="720" w:right="16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security breaches and our liability or other potential legal, regulatory, or reputational consequences of any unauthorized access to our data or our customer data;</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allocation plans, including expected allocations of cash and timing for our share repurchases and other investments;</w:t>
      </w:r>
    </w:p>
    <w:p>
      <w:pPr>
        <w:spacing w:after="0" w:line="248" w:lineRule="exact"/>
        <w:rPr>
          <w:rFonts w:ascii="Times New Roman" w:cs="Times New Roman" w:eastAsia="Times New Roman" w:hAnsi="Times New Roman"/>
          <w:sz w:val="17"/>
          <w:szCs w:val="17"/>
          <w:color w:val="auto"/>
        </w:rPr>
      </w:pPr>
    </w:p>
    <w:p>
      <w:pPr>
        <w:ind w:left="720" w:right="420" w:hanging="323"/>
        <w:spacing w:after="0" w:line="295" w:lineRule="auto"/>
        <w:tabs>
          <w:tab w:leader="none" w:pos="7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new or modified laws, policies, taxes, and regulations on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and cash equivalents to meet our liquidity needs; and</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of companies and assets.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caution you that the foregoing list may not contain all of the forward-looking statements made in this Quarterly Report on Form 10-Q.</w:t>
      </w:r>
    </w:p>
    <w:p>
      <w:pPr>
        <w:spacing w:after="0" w:line="223" w:lineRule="exact"/>
        <w:rPr>
          <w:sz w:val="20"/>
          <w:szCs w:val="20"/>
          <w:color w:val="auto"/>
        </w:rPr>
      </w:pPr>
    </w:p>
    <w:p>
      <w:pPr>
        <w:ind w:right="80" w:firstLine="431"/>
        <w:spacing w:after="0" w:line="262"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5" w:lineRule="exact"/>
        <w:rPr>
          <w:sz w:val="20"/>
          <w:szCs w:val="20"/>
          <w:color w:val="auto"/>
        </w:rPr>
      </w:pPr>
    </w:p>
    <w:p>
      <w:pPr>
        <w:ind w:firstLine="431"/>
        <w:spacing w:after="0" w:line="265"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51"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197" w:lineRule="exact"/>
        <w:rPr>
          <w:sz w:val="20"/>
          <w:szCs w:val="20"/>
          <w:color w:val="auto"/>
        </w:rPr>
      </w:pPr>
    </w:p>
    <w:p>
      <w:pPr>
        <w:ind w:left="720" w:right="2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retain and upgrade paying users, and any decline in renewals or upgrades could adversely affect our future results of operations.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growth could be harmed if we fail to attract new users or convert registered users to paying users.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 the past and may continue to experience privacy and data security breaches or incidents.</w:t>
      </w:r>
    </w:p>
    <w:p>
      <w:pPr>
        <w:spacing w:after="0" w:line="248" w:lineRule="exact"/>
        <w:rPr>
          <w:rFonts w:ascii="Times New Roman" w:cs="Times New Roman" w:eastAsia="Times New Roman" w:hAnsi="Times New Roman"/>
          <w:sz w:val="17"/>
          <w:szCs w:val="17"/>
          <w:color w:val="auto"/>
        </w:rPr>
      </w:pPr>
    </w:p>
    <w:p>
      <w:pPr>
        <w:ind w:left="72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growth has declined in past periods. If we do not successfully execute our plan for future growth, our growth rate may continue to decline in the future.</w:t>
      </w:r>
    </w:p>
    <w:p>
      <w:pPr>
        <w:spacing w:after="0" w:line="172" w:lineRule="exact"/>
        <w:rPr>
          <w:rFonts w:ascii="Times New Roman" w:cs="Times New Roman" w:eastAsia="Times New Roman" w:hAnsi="Times New Roman"/>
          <w:sz w:val="17"/>
          <w:szCs w:val="17"/>
          <w:color w:val="auto"/>
        </w:rPr>
      </w:pPr>
    </w:p>
    <w:p>
      <w:pPr>
        <w:ind w:left="720" w:right="4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significantly impacted by a change in general economic, political, and market conditions, including any resulting effect on consumer or business spending.</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competitive markets, and we must continue to compete effectively.</w:t>
      </w:r>
    </w:p>
    <w:p>
      <w:pPr>
        <w:spacing w:after="0" w:line="248" w:lineRule="exact"/>
        <w:rPr>
          <w:rFonts w:ascii="Times New Roman" w:cs="Times New Roman" w:eastAsia="Times New Roman" w:hAnsi="Times New Roman"/>
          <w:sz w:val="17"/>
          <w:szCs w:val="17"/>
          <w:color w:val="auto"/>
        </w:rPr>
      </w:pPr>
    </w:p>
    <w:p>
      <w:pPr>
        <w:ind w:left="720" w:right="6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respond to rapid technological changes, extend our platform, or develop new features or products may harm our ability to compete effectively, which would adversely affect our business.</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upon the interoperability of our platform across devices, operating systems, and third-party applications that we do not control.</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harmed by any significant disruption of service on our platform or loss of content.</w:t>
      </w:r>
    </w:p>
    <w:p>
      <w:pPr>
        <w:spacing w:after="0" w:line="248" w:lineRule="exact"/>
        <w:rPr>
          <w:rFonts w:ascii="Times New Roman" w:cs="Times New Roman" w:eastAsia="Times New Roman" w:hAnsi="Times New Roman"/>
          <w:sz w:val="17"/>
          <w:szCs w:val="17"/>
          <w:color w:val="auto"/>
        </w:rPr>
      </w:pPr>
    </w:p>
    <w:p>
      <w:pPr>
        <w:ind w:left="720" w:right="2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 revenue from sales of subscriptions to our platform, and declines in demand for our platform, or for content collaboration solutions in general, could negatively impact our business.</w:t>
      </w:r>
    </w:p>
    <w:p>
      <w:pPr>
        <w:spacing w:after="0" w:line="172" w:lineRule="exact"/>
        <w:rPr>
          <w:rFonts w:ascii="Times New Roman" w:cs="Times New Roman" w:eastAsia="Times New Roman" w:hAnsi="Times New Roman"/>
          <w:sz w:val="17"/>
          <w:szCs w:val="17"/>
          <w:color w:val="auto"/>
        </w:rPr>
      </w:pPr>
    </w:p>
    <w:p>
      <w:pPr>
        <w:ind w:left="720" w:right="16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72" w:lineRule="exact"/>
        <w:rPr>
          <w:rFonts w:ascii="Times New Roman" w:cs="Times New Roman" w:eastAsia="Times New Roman" w:hAnsi="Times New Roman"/>
          <w:sz w:val="17"/>
          <w:szCs w:val="17"/>
          <w:color w:val="auto"/>
        </w:rPr>
      </w:pPr>
    </w:p>
    <w:p>
      <w:pPr>
        <w:ind w:left="720" w:right="48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history of operating with a Virtual First workforce and the long-term impact on our financial results and business operations remains uncertain.</w:t>
      </w:r>
    </w:p>
    <w:p>
      <w:pPr>
        <w:spacing w:after="0" w:line="172"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a significant outbound sales force may limit the potential growth of our business.</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rate has declined in recent periods and may continue to slow in the future.</w:t>
      </w:r>
    </w:p>
    <w:p>
      <w:pPr>
        <w:spacing w:after="0" w:line="248" w:lineRule="exact"/>
        <w:rPr>
          <w:rFonts w:ascii="Times New Roman" w:cs="Times New Roman" w:eastAsia="Times New Roman" w:hAnsi="Times New Roman"/>
          <w:sz w:val="17"/>
          <w:szCs w:val="17"/>
          <w:color w:val="auto"/>
        </w:rPr>
      </w:pPr>
    </w:p>
    <w:p>
      <w:pPr>
        <w:ind w:left="700" w:hanging="30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net losses, we may increase expenses in the future, and we may not be able to achieve or maintain profitability.</w:t>
      </w:r>
    </w:p>
    <w:p>
      <w:pPr>
        <w:spacing w:after="0" w:line="248" w:lineRule="exact"/>
        <w:rPr>
          <w:rFonts w:ascii="Times New Roman" w:cs="Times New Roman" w:eastAsia="Times New Roman" w:hAnsi="Times New Roman"/>
          <w:sz w:val="17"/>
          <w:szCs w:val="17"/>
          <w:color w:val="auto"/>
        </w:rPr>
      </w:pPr>
    </w:p>
    <w:p>
      <w:pPr>
        <w:ind w:left="720" w:right="100" w:hanging="323"/>
        <w:spacing w:after="0" w:line="295" w:lineRule="auto"/>
        <w:tabs>
          <w:tab w:leader="none" w:pos="7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2026 Notes and 2028 Notes (as defined below)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189"/>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2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6"/>
                <w:szCs w:val="16"/>
                <w:color w:val="0000FF"/>
                <w:w w:val="96"/>
              </w:rPr>
              <w:t>PART I. FINANCIAL INFORMATION</w:t>
            </w:r>
          </w:p>
        </w:tc>
        <w:tc>
          <w:tcPr>
            <w:tcW w:w="408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99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Financial Statements (Unaudited)</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16"/>
                <w:szCs w:val="16"/>
                <w:color w:val="auto"/>
              </w:rPr>
            </w:pPr>
          </w:p>
        </w:tc>
        <w:tc>
          <w:tcPr>
            <w:tcW w:w="99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March 31, 2024 and December 31, 2023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16"/>
                <w:szCs w:val="16"/>
                <w:color w:val="auto"/>
              </w:rPr>
            </w:pPr>
          </w:p>
        </w:tc>
        <w:tc>
          <w:tcPr>
            <w:tcW w:w="6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Operations for the Three Months Ended March 31, 2024 and 2023</w:t>
            </w:r>
          </w:p>
        </w:tc>
        <w:tc>
          <w:tcPr>
            <w:tcW w:w="3280" w:type="dxa"/>
            <w:vAlign w:val="bottom"/>
            <w:gridSpan w:val="4"/>
          </w:tcPr>
          <w:p>
            <w:pPr>
              <w:spacing w:after="0"/>
              <w:rPr>
                <w:sz w:val="16"/>
                <w:szCs w:val="16"/>
                <w:color w:val="auto"/>
              </w:rPr>
            </w:pPr>
          </w:p>
        </w:tc>
        <w:tc>
          <w:tcPr>
            <w:tcW w:w="24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r>
      <w:tr>
        <w:trPr>
          <w:trHeight w:val="189"/>
        </w:trPr>
        <w:tc>
          <w:tcPr>
            <w:tcW w:w="920" w:type="dxa"/>
            <w:vAlign w:val="bottom"/>
          </w:tcPr>
          <w:p>
            <w:pPr>
              <w:spacing w:after="0"/>
              <w:rPr>
                <w:sz w:val="16"/>
                <w:szCs w:val="16"/>
                <w:color w:val="auto"/>
              </w:rPr>
            </w:pPr>
          </w:p>
        </w:tc>
        <w:tc>
          <w:tcPr>
            <w:tcW w:w="99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for the Three Months Ended March 31, 2024 and 2023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8</w:t>
            </w:r>
          </w:p>
        </w:tc>
      </w:tr>
      <w:tr>
        <w:trPr>
          <w:trHeight w:val="189"/>
        </w:trPr>
        <w:tc>
          <w:tcPr>
            <w:tcW w:w="920" w:type="dxa"/>
            <w:vAlign w:val="bottom"/>
          </w:tcPr>
          <w:p>
            <w:pPr>
              <w:spacing w:after="0"/>
              <w:rPr>
                <w:sz w:val="16"/>
                <w:szCs w:val="16"/>
                <w:color w:val="auto"/>
              </w:rPr>
            </w:pPr>
          </w:p>
        </w:tc>
        <w:tc>
          <w:tcPr>
            <w:tcW w:w="7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9"/>
              </w:rPr>
              <w:t>Condensed Consolidated Statements of Stockholders' Deficit for the Three Months Ended March 31, 2024 and 2023</w:t>
            </w:r>
          </w:p>
        </w:tc>
        <w:tc>
          <w:tcPr>
            <w:tcW w:w="2480" w:type="dxa"/>
            <w:vAlign w:val="bottom"/>
          </w:tcPr>
          <w:p>
            <w:pPr>
              <w:spacing w:after="0"/>
              <w:rPr>
                <w:sz w:val="16"/>
                <w:szCs w:val="16"/>
                <w:color w:val="auto"/>
              </w:rPr>
            </w:pPr>
          </w:p>
        </w:tc>
        <w:tc>
          <w:tcPr>
            <w:tcW w:w="240" w:type="dxa"/>
            <w:vAlign w:val="bottom"/>
            <w:gridSpan w:val="3"/>
          </w:tcPr>
          <w:p>
            <w:pPr>
              <w:spacing w:after="0"/>
              <w:rPr>
                <w:sz w:val="16"/>
                <w:szCs w:val="16"/>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9</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16"/>
                <w:szCs w:val="16"/>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Three Months Ended March 31, 2024 and 2023</w:t>
            </w:r>
          </w:p>
        </w:tc>
        <w:tc>
          <w:tcPr>
            <w:tcW w:w="2660" w:type="dxa"/>
            <w:vAlign w:val="bottom"/>
            <w:gridSpan w:val="2"/>
          </w:tcPr>
          <w:p>
            <w:pPr>
              <w:spacing w:after="0"/>
              <w:rPr>
                <w:sz w:val="16"/>
                <w:szCs w:val="16"/>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w:t>
            </w:r>
          </w:p>
        </w:tc>
      </w:tr>
      <w:tr>
        <w:trPr>
          <w:trHeight w:val="189"/>
        </w:trPr>
        <w:tc>
          <w:tcPr>
            <w:tcW w:w="920" w:type="dxa"/>
            <w:vAlign w:val="bottom"/>
          </w:tcPr>
          <w:p>
            <w:pPr>
              <w:spacing w:after="0"/>
              <w:rPr>
                <w:sz w:val="16"/>
                <w:szCs w:val="16"/>
                <w:color w:val="auto"/>
              </w:rPr>
            </w:pPr>
          </w:p>
        </w:tc>
        <w:tc>
          <w:tcPr>
            <w:tcW w:w="34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Notes to Condensed Consolidated Financial Statements</w:t>
            </w:r>
          </w:p>
        </w:tc>
        <w:tc>
          <w:tcPr>
            <w:tcW w:w="3220" w:type="dxa"/>
            <w:vAlign w:val="bottom"/>
            <w:tcBorders>
              <w:top w:val="single" w:sz="8" w:color="0000FF"/>
            </w:tcBorders>
            <w:gridSpan w:val="9"/>
          </w:tcPr>
          <w:p>
            <w:pPr>
              <w:spacing w:after="0"/>
              <w:rPr>
                <w:sz w:val="16"/>
                <w:szCs w:val="16"/>
                <w:color w:val="auto"/>
              </w:rPr>
            </w:pPr>
          </w:p>
        </w:tc>
        <w:tc>
          <w:tcPr>
            <w:tcW w:w="324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11</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9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8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1800" w:type="dxa"/>
            <w:vAlign w:val="bottom"/>
            <w:tcBorders>
              <w:top w:val="single" w:sz="8" w:color="0000FF"/>
            </w:tcBorders>
            <w:gridSpan w:val="2"/>
          </w:tcPr>
          <w:p>
            <w:pPr>
              <w:spacing w:after="0"/>
              <w:rPr>
                <w:sz w:val="16"/>
                <w:szCs w:val="16"/>
                <w:color w:val="auto"/>
              </w:rPr>
            </w:pPr>
          </w:p>
        </w:tc>
        <w:tc>
          <w:tcPr>
            <w:tcW w:w="4340" w:type="dxa"/>
            <w:vAlign w:val="bottom"/>
            <w:gridSpan w:val="7"/>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54</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99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55</w:t>
            </w:r>
          </w:p>
        </w:tc>
      </w:tr>
      <w:tr>
        <w:trPr>
          <w:trHeight w:val="437"/>
        </w:trPr>
        <w:tc>
          <w:tcPr>
            <w:tcW w:w="9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6"/>
              </w:rPr>
              <w:t>PART II. OTHER INFORMATION</w:t>
            </w:r>
          </w:p>
        </w:tc>
        <w:tc>
          <w:tcPr>
            <w:tcW w:w="422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878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56</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99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57</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9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88</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37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61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88</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3"/>
              </w:rPr>
              <w:t>Exhibits</w:t>
            </w:r>
          </w:p>
        </w:tc>
        <w:tc>
          <w:tcPr>
            <w:tcW w:w="620" w:type="dxa"/>
            <w:vAlign w:val="bottom"/>
            <w:tcBorders>
              <w:top w:val="single" w:sz="8" w:color="0000FF"/>
            </w:tcBorders>
            <w:gridSpan w:val="4"/>
          </w:tcPr>
          <w:p>
            <w:pPr>
              <w:spacing w:after="0"/>
              <w:rPr>
                <w:sz w:val="16"/>
                <w:szCs w:val="16"/>
                <w:color w:val="auto"/>
              </w:rPr>
            </w:pPr>
          </w:p>
        </w:tc>
        <w:tc>
          <w:tcPr>
            <w:tcW w:w="8800" w:type="dxa"/>
            <w:vAlign w:val="bottom"/>
            <w:gridSpan w:val="16"/>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88</w:t>
            </w:r>
          </w:p>
        </w:tc>
      </w:tr>
      <w:tr>
        <w:trPr>
          <w:trHeight w:val="189"/>
        </w:trPr>
        <w:tc>
          <w:tcPr>
            <w:tcW w:w="92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5"/>
              </w:rPr>
              <w:t>Exhibit Index</w:t>
            </w:r>
          </w:p>
        </w:tc>
        <w:tc>
          <w:tcPr>
            <w:tcW w:w="9080" w:type="dxa"/>
            <w:vAlign w:val="bottom"/>
            <w:gridSpan w:val="17"/>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89</w:t>
            </w:r>
          </w:p>
        </w:tc>
      </w:tr>
      <w:tr>
        <w:trPr>
          <w:trHeight w:val="189"/>
        </w:trPr>
        <w:tc>
          <w:tcPr>
            <w:tcW w:w="920" w:type="dxa"/>
            <w:vAlign w:val="bottom"/>
          </w:tcPr>
          <w:p>
            <w:pPr>
              <w:spacing w:after="0"/>
              <w:rPr>
                <w:sz w:val="16"/>
                <w:szCs w:val="16"/>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4"/>
              </w:rPr>
              <w:t>Signatures</w:t>
            </w:r>
          </w:p>
        </w:tc>
        <w:tc>
          <w:tcPr>
            <w:tcW w:w="9280" w:type="dxa"/>
            <w:vAlign w:val="bottom"/>
            <w:gridSpan w:val="19"/>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90</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2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r>
      <w:tr>
        <w:trPr>
          <w:trHeight w:val="215"/>
        </w:trPr>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741.1</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and other receivables, net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1,516.6</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309.2</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460.4</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2,983.5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8"/>
        </w:trPr>
        <w:tc>
          <w:tcPr>
            <w:tcW w:w="6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 obligation</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22"/>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w:t>
            </w: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 non-current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 net, non-current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1,377.8</w:t>
            </w: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3,149.3</w:t>
            </w: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2,598.0</w:t>
            </w:r>
          </w:p>
        </w:tc>
      </w:tr>
      <w:tr>
        <w:trPr>
          <w:trHeight w:val="22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(2,742.3)</w:t>
            </w:r>
          </w:p>
        </w:tc>
      </w:tr>
      <w:tr>
        <w:trPr>
          <w:trHeight w:val="22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1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(165.8)</w:t>
            </w:r>
          </w:p>
        </w:tc>
      </w:tr>
      <w:tr>
        <w:trPr>
          <w:trHeight w:val="24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5"/>
        </w:trPr>
        <w:tc>
          <w:tcPr>
            <w:tcW w:w="1320" w:type="dxa"/>
            <w:vAlign w:val="bottom"/>
            <w:tcBorders>
              <w:top w:val="single" w:sz="8" w:color="0000FF"/>
            </w:tcBorders>
          </w:tcPr>
          <w:p>
            <w:pPr>
              <w:spacing w:after="0"/>
              <w:rPr>
                <w:sz w:val="24"/>
                <w:szCs w:val="24"/>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7480" w:type="dxa"/>
            <w:vAlign w:val="bottom"/>
            <w:gridSpan w:val="2"/>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(In millions, except per share data)</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4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3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0" w:type="dxa"/>
            <w:vAlign w:val="bottom"/>
          </w:tcPr>
          <w:p>
            <w:pPr>
              <w:spacing w:after="0"/>
              <w:rPr>
                <w:sz w:val="1"/>
                <w:szCs w:val="1"/>
                <w:color w:val="auto"/>
              </w:rPr>
            </w:pPr>
          </w:p>
        </w:tc>
      </w:tr>
      <w:tr>
        <w:trPr>
          <w:trHeight w:val="222"/>
        </w:trPr>
        <w:tc>
          <w:tcPr>
            <w:tcW w:w="7620" w:type="dxa"/>
            <w:vAlign w:val="bottom"/>
            <w:tcBorders>
              <w:bottom w:val="single" w:sz="8" w:color="CCEEFF"/>
            </w:tcBorders>
            <w:gridSpan w:val="2"/>
          </w:tcPr>
          <w:p>
            <w:pPr>
              <w:ind w:left="26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income, net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income per share-basic and diluted:</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 attributable to common stockholders,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62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347.1</w:t>
            </w:r>
          </w:p>
        </w:tc>
        <w:tc>
          <w:tcPr>
            <w:tcW w:w="0" w:type="dxa"/>
            <w:vAlign w:val="bottom"/>
          </w:tcPr>
          <w:p>
            <w:pPr>
              <w:spacing w:after="0"/>
              <w:rPr>
                <w:sz w:val="1"/>
                <w:szCs w:val="1"/>
                <w:color w:val="auto"/>
              </w:rPr>
            </w:pPr>
          </w:p>
        </w:tc>
      </w:tr>
      <w:tr>
        <w:trPr>
          <w:trHeight w:val="209"/>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6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Weighted-average shares used in computing net income per share attributable to common stockholders,</w:t>
            </w: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7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762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(2)</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r>
      <w:tr>
        <w:trPr>
          <w:trHeight w:val="222"/>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22"/>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20" w:firstLine="5"/>
        <w:spacing w:after="0" w:line="306" w:lineRule="auto"/>
        <w:tabs>
          <w:tab w:leader="none" w:pos="144"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the Company's President resigned, resulting in the reversal of $6.7 million in stock-based compensation expense. Of the total amount reversed, $4.4 million related to expense recognized prior to January 1,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8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705"/>
        </w:trPr>
        <w:tc>
          <w:tcPr>
            <w:tcW w:w="1320" w:type="dxa"/>
            <w:vAlign w:val="bottom"/>
            <w:tcBorders>
              <w:top w:val="single" w:sz="8" w:color="0000FF"/>
            </w:tcBorders>
          </w:tcPr>
          <w:p>
            <w:pPr>
              <w:spacing w:after="0"/>
              <w:rPr>
                <w:sz w:val="24"/>
                <w:szCs w:val="24"/>
                <w:color w:val="auto"/>
              </w:rPr>
            </w:pPr>
          </w:p>
        </w:tc>
        <w:tc>
          <w:tcPr>
            <w:tcW w:w="6820" w:type="dxa"/>
            <w:vAlign w:val="bottom"/>
          </w:tcPr>
          <w:p>
            <w:pPr>
              <w:jc w:val="center"/>
              <w:ind w:left="169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9"/>
        </w:trPr>
        <w:tc>
          <w:tcPr>
            <w:tcW w:w="1320" w:type="dxa"/>
            <w:vAlign w:val="bottom"/>
          </w:tcPr>
          <w:p>
            <w:pPr>
              <w:spacing w:after="0"/>
              <w:rPr>
                <w:sz w:val="18"/>
                <w:szCs w:val="18"/>
                <w:color w:val="auto"/>
              </w:rPr>
            </w:pPr>
          </w:p>
        </w:tc>
        <w:tc>
          <w:tcPr>
            <w:tcW w:w="782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6820" w:type="dxa"/>
            <w:vAlign w:val="bottom"/>
          </w:tcPr>
          <w:p>
            <w:pPr>
              <w:jc w:val="center"/>
              <w:ind w:left="17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9"/>
        </w:trPr>
        <w:tc>
          <w:tcPr>
            <w:tcW w:w="1320" w:type="dxa"/>
            <w:vAlign w:val="bottom"/>
          </w:tcPr>
          <w:p>
            <w:pPr>
              <w:spacing w:after="0"/>
              <w:rPr>
                <w:sz w:val="19"/>
                <w:szCs w:val="19"/>
                <w:color w:val="auto"/>
              </w:rPr>
            </w:pPr>
          </w:p>
        </w:tc>
        <w:tc>
          <w:tcPr>
            <w:tcW w:w="6820" w:type="dxa"/>
            <w:vAlign w:val="bottom"/>
          </w:tcPr>
          <w:p>
            <w:pPr>
              <w:jc w:val="center"/>
              <w:ind w:left="1693"/>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88"/>
        </w:trPr>
        <w:tc>
          <w:tcPr>
            <w:tcW w:w="13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640" w:type="dxa"/>
            <w:vAlign w:val="bottom"/>
            <w:gridSpan w:val="4"/>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60" w:type="dxa"/>
            <w:vAlign w:val="bottom"/>
          </w:tcPr>
          <w:p>
            <w:pPr>
              <w:spacing w:after="0"/>
              <w:rPr>
                <w:sz w:val="24"/>
                <w:szCs w:val="24"/>
                <w:color w:val="auto"/>
              </w:rPr>
            </w:pPr>
          </w:p>
        </w:tc>
      </w:tr>
      <w:tr>
        <w:trPr>
          <w:trHeight w:val="232"/>
        </w:trPr>
        <w:tc>
          <w:tcPr>
            <w:tcW w:w="13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60" w:type="dxa"/>
            <w:vAlign w:val="bottom"/>
            <w:tcBorders>
              <w:bottom w:val="single" w:sz="8" w:color="auto"/>
            </w:tcBorders>
          </w:tcPr>
          <w:p>
            <w:pPr>
              <w:spacing w:after="0"/>
              <w:rPr>
                <w:sz w:val="20"/>
                <w:szCs w:val="20"/>
                <w:color w:val="auto"/>
              </w:rPr>
            </w:pPr>
          </w:p>
        </w:tc>
      </w:tr>
      <w:tr>
        <w:trPr>
          <w:trHeight w:val="218"/>
        </w:trPr>
        <w:tc>
          <w:tcPr>
            <w:tcW w:w="132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1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2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2"/>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foreign currency translation adjustments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2"/>
        </w:trPr>
        <w:tc>
          <w:tcPr>
            <w:tcW w:w="81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Change in net unrealized gains and losses on short-term investments</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5"/>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w:t>
            </w:r>
          </w:p>
        </w:tc>
      </w:tr>
      <w:tr>
        <w:trPr>
          <w:trHeight w:val="20"/>
        </w:trPr>
        <w:tc>
          <w:tcPr>
            <w:tcW w:w="13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272" w:lineRule="exact"/>
        <w:rPr>
          <w:sz w:val="20"/>
          <w:szCs w:val="20"/>
          <w:color w:val="auto"/>
        </w:rPr>
      </w:pPr>
    </w:p>
    <w:tbl>
      <w:tblPr>
        <w:tblLayout w:type="fixed"/>
        <w:tblInd w:w="1000" w:type="dxa"/>
        <w:tblCellMar>
          <w:top w:w="0" w:type="dxa"/>
          <w:left w:w="0" w:type="dxa"/>
          <w:bottom w:w="0" w:type="dxa"/>
          <w:right w:w="0" w:type="dxa"/>
        </w:tblCellMar>
      </w:tblPr>
      <w:tr>
        <w:trPr>
          <w:trHeight w:val="209"/>
        </w:trPr>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Class B common</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160" w:type="dxa"/>
            <w:vAlign w:val="bottom"/>
            <w:vMerge w:val="continue"/>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0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60" w:type="dxa"/>
            <w:vAlign w:val="bottom"/>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102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7"/>
        </w:trPr>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Common Stock</w:t>
            </w: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5"/>
              </w:rPr>
              <w:t>stock</w:t>
            </w:r>
          </w:p>
        </w:tc>
        <w:tc>
          <w:tcPr>
            <w:tcW w:w="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160" w:type="dxa"/>
            <w:vAlign w:val="bottom"/>
            <w:tcBorders>
              <w:bottom w:val="single" w:sz="8" w:color="auto"/>
            </w:tcBorders>
          </w:tcPr>
          <w:p>
            <w:pPr>
              <w:spacing w:after="0"/>
              <w:rPr>
                <w:sz w:val="4"/>
                <w:szCs w:val="4"/>
                <w:color w:val="auto"/>
              </w:rPr>
            </w:pPr>
          </w:p>
        </w:tc>
        <w:tc>
          <w:tcPr>
            <w:tcW w:w="88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60" w:type="dxa"/>
            <w:vAlign w:val="bottom"/>
            <w:gridSpan w:val="2"/>
            <w:vMerge w:val="restart"/>
          </w:tcPr>
          <w:p>
            <w:pPr>
              <w:jc w:val="center"/>
              <w:ind w:right="4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160" w:type="dxa"/>
            <w:vAlign w:val="bottom"/>
            <w:tcBorders>
              <w:bottom w:val="single" w:sz="8" w:color="auto"/>
            </w:tcBorders>
          </w:tcPr>
          <w:p>
            <w:pPr>
              <w:spacing w:after="0"/>
              <w:rPr>
                <w:sz w:val="4"/>
                <w:szCs w:val="4"/>
                <w:color w:val="auto"/>
              </w:rPr>
            </w:pPr>
          </w:p>
        </w:tc>
        <w:tc>
          <w:tcPr>
            <w:tcW w:w="8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Shares  Amount</w:t>
            </w:r>
          </w:p>
        </w:tc>
        <w:tc>
          <w:tcPr>
            <w:tcW w:w="8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deficit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160" w:type="dxa"/>
            <w:vAlign w:val="bottom"/>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97725" cy="332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725" cy="33210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tbl>
      <w:tblPr>
        <w:tblLayout w:type="fixed"/>
        <w:tblInd w:w="20" w:type="dxa"/>
        <w:tblCellMar>
          <w:top w:w="0" w:type="dxa"/>
          <w:left w:w="0" w:type="dxa"/>
          <w:bottom w:w="0" w:type="dxa"/>
          <w:right w:w="0" w:type="dxa"/>
        </w:tblCellMar>
      </w:tblPr>
      <w:tr>
        <w:trPr>
          <w:trHeight w:val="140"/>
        </w:trPr>
        <w:tc>
          <w:tcPr>
            <w:tcW w:w="98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tcPr>
          <w:p>
            <w:pPr>
              <w:spacing w:after="0"/>
              <w:rPr>
                <w:sz w:val="13"/>
                <w:szCs w:val="13"/>
                <w:color w:val="auto"/>
              </w:rPr>
            </w:pPr>
          </w:p>
        </w:tc>
        <w:tc>
          <w:tcPr>
            <w:tcW w:w="22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2,598.0</w:t>
            </w:r>
          </w:p>
        </w:tc>
        <w:tc>
          <w:tcPr>
            <w:tcW w:w="80" w:type="dxa"/>
            <w:vAlign w:val="bottom"/>
          </w:tcPr>
          <w:p>
            <w:pPr>
              <w:spacing w:after="0"/>
              <w:rPr>
                <w:sz w:val="13"/>
                <w:szCs w:val="13"/>
                <w:color w:val="auto"/>
              </w:rPr>
            </w:pP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(2,742.3)</w:t>
            </w:r>
          </w:p>
        </w:tc>
        <w:tc>
          <w:tcPr>
            <w:tcW w:w="80" w:type="dxa"/>
            <w:vAlign w:val="bottom"/>
          </w:tcPr>
          <w:p>
            <w:pPr>
              <w:spacing w:after="0"/>
              <w:rPr>
                <w:sz w:val="13"/>
                <w:szCs w:val="13"/>
                <w:color w:val="auto"/>
              </w:rPr>
            </w:pPr>
          </w:p>
        </w:tc>
        <w:tc>
          <w:tcPr>
            <w:tcW w:w="3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of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stock options</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and awards</w:t>
            </w: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9"/>
              </w:rPr>
              <w:t>comprehensive</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327.7</w:t>
            </w:r>
          </w:p>
        </w:tc>
        <w:tc>
          <w:tcPr>
            <w:tcW w:w="80" w:type="dxa"/>
            <w:vAlign w:val="bottom"/>
          </w:tcPr>
          <w:p>
            <w:pPr>
              <w:spacing w:after="0"/>
              <w:rPr>
                <w:sz w:val="12"/>
                <w:szCs w:val="12"/>
                <w:color w:val="auto"/>
              </w:rPr>
            </w:pPr>
          </w:p>
        </w:tc>
        <w:tc>
          <w:tcPr>
            <w:tcW w:w="22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2,554.8</w:t>
            </w:r>
          </w:p>
        </w:tc>
        <w:tc>
          <w:tcPr>
            <w:tcW w:w="8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(2,811.6)</w:t>
            </w:r>
          </w:p>
        </w:tc>
        <w:tc>
          <w:tcPr>
            <w:tcW w:w="80" w:type="dxa"/>
            <w:vAlign w:val="bottom"/>
          </w:tcPr>
          <w:p>
            <w:pPr>
              <w:spacing w:after="0"/>
              <w:rPr>
                <w:sz w:val="12"/>
                <w:szCs w:val="12"/>
                <w:color w:val="auto"/>
              </w:rPr>
            </w:pPr>
          </w:p>
        </w:tc>
        <w:tc>
          <w:tcPr>
            <w:tcW w:w="3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tabs>
          <w:tab w:leader="none" w:pos="620" w:val="left"/>
          <w:tab w:leader="none" w:pos="1120" w:val="left"/>
          <w:tab w:leader="none" w:pos="1480" w:val="left"/>
          <w:tab w:leader="none" w:pos="1800" w:val="left"/>
          <w:tab w:leader="none" w:pos="2000" w:val="left"/>
          <w:tab w:leader="none" w:pos="2620" w:val="left"/>
          <w:tab w:leader="none" w:pos="2940" w:val="left"/>
          <w:tab w:leader="none" w:pos="4260" w:val="left"/>
          <w:tab w:leader="none" w:pos="5180" w:val="left"/>
        </w:tabs>
        <w:rPr>
          <w:sz w:val="20"/>
          <w:szCs w:val="20"/>
          <w:color w:val="auto"/>
        </w:rPr>
      </w:pPr>
      <w:r>
        <w:rPr>
          <w:rFonts w:ascii="Times New Roman" w:cs="Times New Roman" w:eastAsia="Times New Roman" w:hAnsi="Times New Roman"/>
          <w:sz w:val="16"/>
          <w:szCs w:val="16"/>
          <w:color w:val="auto"/>
        </w:rPr>
        <w:t>(165.8)</w:t>
        <w:tab/>
        <w:t>349.4</w:t>
        <w:tab/>
        <w:t>$</w:t>
      </w:r>
      <w:r>
        <w:rPr>
          <w:sz w:val="20"/>
          <w:szCs w:val="20"/>
          <w:color w:val="auto"/>
        </w:rPr>
        <w:tab/>
      </w:r>
      <w:r>
        <w:rPr>
          <w:rFonts w:ascii="Times New Roman" w:cs="Times New Roman" w:eastAsia="Times New Roman" w:hAnsi="Times New Roman"/>
          <w:sz w:val="16"/>
          <w:szCs w:val="16"/>
          <w:color w:val="auto"/>
        </w:rPr>
        <w:t>—</w:t>
        <w:tab/>
        <w:t>$</w:t>
        <w:tab/>
        <w:t>2,511.6</w:t>
        <w:tab/>
        <w:t>$</w:t>
        <w:tab/>
        <w:t>(2,772.1)  $</w:t>
      </w:r>
      <w:r>
        <w:rPr>
          <w:sz w:val="20"/>
          <w:szCs w:val="20"/>
          <w:color w:val="auto"/>
        </w:rPr>
        <w:tab/>
      </w:r>
      <w:r>
        <w:rPr>
          <w:rFonts w:ascii="Times New Roman" w:cs="Times New Roman" w:eastAsia="Times New Roman" w:hAnsi="Times New Roman"/>
          <w:sz w:val="16"/>
          <w:szCs w:val="16"/>
          <w:color w:val="auto"/>
        </w:rPr>
        <w:t>(48.9)  $</w:t>
      </w:r>
      <w:r>
        <w:rPr>
          <w:sz w:val="20"/>
          <w:szCs w:val="20"/>
          <w:color w:val="auto"/>
        </w:rPr>
        <w:tab/>
      </w:r>
      <w:r>
        <w:rPr>
          <w:rFonts w:ascii="Times New Roman" w:cs="Times New Roman" w:eastAsia="Times New Roman" w:hAnsi="Times New Roman"/>
          <w:sz w:val="15"/>
          <w:szCs w:val="15"/>
          <w:color w:val="auto"/>
        </w:rPr>
        <w:t>(309.4)</w:t>
      </w:r>
    </w:p>
    <w:p>
      <w:pPr>
        <w:spacing w:after="0" w:line="200" w:lineRule="exact"/>
        <w:rPr>
          <w:sz w:val="20"/>
          <w:szCs w:val="20"/>
          <w:color w:val="auto"/>
        </w:rPr>
      </w:pPr>
    </w:p>
    <w:p>
      <w:pPr>
        <w:spacing w:after="0" w:line="296" w:lineRule="exact"/>
        <w:rPr>
          <w:sz w:val="20"/>
          <w:szCs w:val="20"/>
          <w:color w:val="auto"/>
        </w:rPr>
      </w:pPr>
    </w:p>
    <w:p>
      <w:pPr>
        <w:ind w:left="260"/>
        <w:spacing w:after="0"/>
        <w:tabs>
          <w:tab w:leader="none" w:pos="760" w:val="left"/>
          <w:tab w:leader="none" w:pos="1480" w:val="left"/>
          <w:tab w:leader="none" w:pos="2300" w:val="left"/>
          <w:tab w:leader="none" w:pos="3320" w:val="left"/>
          <w:tab w:leader="none" w:pos="4440" w:val="left"/>
          <w:tab w:leader="none" w:pos="5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3.7</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16510</wp:posOffset>
            </wp:positionV>
            <wp:extent cx="7197725" cy="829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725" cy="82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523"/>
        </w:trPr>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89"/>
              </w:rPr>
              <w:t>(281.6)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r>
      <w:tr>
        <w:trPr>
          <w:trHeight w:val="523"/>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66"/>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78.0</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523"/>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132.3</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320"/>
        </w:trPr>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89"/>
              </w:rPr>
              <w:t>(277.2)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8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  2,501.6</w:t>
            </w:r>
          </w:p>
        </w:tc>
        <w:tc>
          <w:tcPr>
            <w:tcW w:w="6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(2,827.5)</w:t>
            </w:r>
          </w:p>
        </w:tc>
        <w:tc>
          <w:tcPr>
            <w:tcW w:w="80" w:type="dxa"/>
            <w:vAlign w:val="bottom"/>
          </w:tcPr>
          <w:p>
            <w:pPr>
              <w:spacing w:after="0"/>
              <w:rPr>
                <w:sz w:val="24"/>
                <w:szCs w:val="24"/>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r>
      <w:tr>
        <w:trPr>
          <w:trHeight w:val="22"/>
        </w:trPr>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-1277620</wp:posOffset>
            </wp:positionV>
            <wp:extent cx="7197725" cy="332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725" cy="33210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-713105</wp:posOffset>
            </wp:positionV>
            <wp:extent cx="7197725" cy="332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725" cy="33210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-248285</wp:posOffset>
            </wp:positionV>
            <wp:extent cx="719772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725"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680"/>
          </w:cols>
          <w:pgMar w:left="320" w:top="119" w:right="239" w:bottom="1440" w:gutter="0" w:footer="0" w:header="0"/>
          <w:type w:val="continuous"/>
        </w:sectPr>
      </w:pPr>
    </w:p>
    <w:p>
      <w:pPr>
        <w:spacing w:after="0" w:line="3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21"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w:t>
            </w:r>
          </w:p>
        </w:tc>
      </w:tr>
      <w:tr>
        <w:trPr>
          <w:trHeight w:val="19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6"/>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r>
      <w:tr>
        <w:trPr>
          <w:trHeight w:val="19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w:t>
            </w: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19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548.9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
        </w:trPr>
        <w:tc>
          <w:tcPr>
            <w:tcW w:w="80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26"/>
        </w:trPr>
        <w:tc>
          <w:tcPr>
            <w:tcW w:w="8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the Business and Summary of Significant Accounting Policies</w:t>
      </w: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122"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122"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95"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The condensed consolidated balance sheet as of December 31, 2023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2024 or any future period.</w:t>
      </w:r>
    </w:p>
    <w:p>
      <w:pPr>
        <w:spacing w:after="0" w:line="195" w:lineRule="exact"/>
        <w:rPr>
          <w:sz w:val="20"/>
          <w:szCs w:val="20"/>
          <w:color w:val="auto"/>
        </w:rPr>
      </w:pPr>
    </w:p>
    <w:p>
      <w:pPr>
        <w:jc w:val="both"/>
        <w:ind w:firstLine="392"/>
        <w:spacing w:after="0" w:line="295" w:lineRule="auto"/>
        <w:rPr>
          <w:sz w:val="20"/>
          <w:szCs w:val="20"/>
          <w:color w:val="auto"/>
        </w:rPr>
      </w:pPr>
      <w:r>
        <w:rPr>
          <w:rFonts w:ascii="Times New Roman" w:cs="Times New Roman" w:eastAsia="Times New Roman" w:hAnsi="Times New Roman"/>
          <w:sz w:val="17"/>
          <w:szCs w:val="17"/>
          <w:color w:val="auto"/>
        </w:rPr>
        <w:t>The unaudited condensed consolidated financial statements should be read in conjunction with the audited consolidated financial statements and the related notes thereto as of and for the year ended December 31, 2023, included in the Company's Annual Report on Form 10-K on file with the SEC ("Annual Report").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2"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most significant estimates and judgments are related to the valuation of right-of-use and related lease assets and income taxes.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reviews the useful lives of long-lived assets on an ongoing basis, and effective January 1, 2024, the Company changed the estimate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useful lives of certain infrastructure server and component assets, which are included in “Property and equipment, net” and are depreciated through cost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from four to five years. The Company has extended the economic life of these assets in light of recent technological advancements. The effect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estimate during the three months ended March 31, 2024 was a reduction in depreciation expense of $10.4 million and a benefit to net income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$8.1 million, or $0.03 per basic and diluted share. The Company estimates that this change in estimate will have a favorable impact to cost of revenue in fiscal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2024 of approximately $30.5 million. The impact from the change in the Company's estimate was calculated based on assets that existed as of the effective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the change and applying the revised estimated useful lives prospectively.</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Financial information about segments and geographic areas</w:t>
      </w:r>
    </w:p>
    <w:p>
      <w:pPr>
        <w:spacing w:after="0" w:line="122"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14 "Geographic Areas" to the Company's condensed consolidated financial statements included elsewhere in this Quarterly Report on Form 10-Q for information regarding the Company’s long-lived assets and revenue by geography.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p>
    <w:p>
      <w:pPr>
        <w:spacing w:after="0" w:line="122"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net of tax.</w:t>
      </w:r>
    </w:p>
    <w:p>
      <w:pPr>
        <w:spacing w:after="0" w:line="188"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Gains and losses realized from foreign currency transactions (those transactions denominated in currencies other than the foreign subsidiaries’ functional currency) are included in other income (loss), net. Monetary assets and liabilities are remeasured using foreign currency exchange rates at the end of the period, and non-monetary assets are remeasured based on historical exchange rates. Foreign currency transaction gains or losses were immaterial during the three months ended March 31, 2024 and 2023.</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57" w:lineRule="exact"/>
        <w:rPr>
          <w:sz w:val="20"/>
          <w:szCs w:val="20"/>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18"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4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w:t>
      </w:r>
    </w:p>
    <w:p>
      <w:pPr>
        <w:spacing w:after="0" w:line="197" w:lineRule="exact"/>
        <w:rPr>
          <w:sz w:val="20"/>
          <w:szCs w:val="20"/>
          <w:color w:val="auto"/>
        </w:rPr>
      </w:pPr>
    </w:p>
    <w:p>
      <w:pPr>
        <w:jc w:val="both"/>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spacing w:after="0" w:line="188"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3" w:lineRule="exact"/>
        <w:rPr>
          <w:sz w:val="20"/>
          <w:szCs w:val="20"/>
          <w:color w:val="auto"/>
        </w:rPr>
      </w:pPr>
    </w:p>
    <w:p>
      <w:pPr>
        <w:jc w:val="both"/>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8"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The Company recognized $346.5 million and $331.5 million of revenue during the three months ended March 31, 2024 and 2023, respectively, that was included in the deferred revenue balances at the beginning of their respective periods.</w:t>
      </w:r>
    </w:p>
    <w:p>
      <w:pPr>
        <w:spacing w:after="0" w:line="173" w:lineRule="exact"/>
        <w:rPr>
          <w:sz w:val="20"/>
          <w:szCs w:val="20"/>
          <w:color w:val="auto"/>
        </w:rPr>
      </w:pPr>
    </w:p>
    <w:p>
      <w:pPr>
        <w:ind w:right="18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2024, future estimated revenue related to performance obligations that were unsatisfied or partially unsatisfied was $813.0 million. The substantial majority of the unsatisfied performance obligations will be satisfied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2"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awards to its employees, with the exception of restricted stock awards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200"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173"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In December 2017, the Board of Directors approved the Company’s Co-Founder Grant, consisting of 10.3 million shares of Class A Common Stock in the form of restricted stock awards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11, "Stockholders' Deficit" to the Company's condensed consolidated financial statements included elsewhere in this Quarterly Report on Form 10-Q for further information.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2"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22"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8"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The Company monitors its credit risk by considering factors such as historical experience, credit ratings, current economic conditions, and reasonable and supportable forecasts.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122" w:lineRule="exact"/>
        <w:rPr>
          <w:sz w:val="20"/>
          <w:szCs w:val="20"/>
          <w:color w:val="auto"/>
        </w:rPr>
      </w:pPr>
    </w:p>
    <w:p>
      <w:pPr>
        <w:jc w:val="both"/>
        <w:ind w:right="120" w:firstLine="392"/>
        <w:spacing w:after="0" w:line="269" w:lineRule="auto"/>
        <w:rPr>
          <w:sz w:val="20"/>
          <w:szCs w:val="20"/>
          <w:color w:val="auto"/>
        </w:rPr>
      </w:pPr>
      <w:r>
        <w:rPr>
          <w:rFonts w:ascii="Times New Roman" w:cs="Times New Roman" w:eastAsia="Times New Roman" w:hAnsi="Times New Roman"/>
          <w:sz w:val="17"/>
          <w:szCs w:val="17"/>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188"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(loss),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months ended March 31, 2024. As of March 31, 2024 and December 31, 2023, no allowance for credit losses in short-term investments was recorded.</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2"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spacing w:after="0" w:line="195"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Trade accounts receivable are typically unsecured and are derived from revenue earned from customers located around the world. Two distribution partners accounted for 14% and 46% of total trade and other receivables, net as of March 31, 2024. Two distribution partners accounted for 11% and 43% of total trade and other receivables, net as of December 31, 2023. No customer accounted for more than 10% of the Company’s revenue in the periods presented.</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commissions, net</w:t>
      </w:r>
    </w:p>
    <w:p>
      <w:pPr>
        <w:spacing w:after="0" w:line="122"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$7.6 million and $6.1 million during the three months ended March 31, 2024 and 2023, respectively.</w:t>
      </w:r>
    </w:p>
    <w:p>
      <w:pPr>
        <w:spacing w:after="0" w:line="197" w:lineRule="exact"/>
        <w:rPr>
          <w:sz w:val="20"/>
          <w:szCs w:val="20"/>
          <w:color w:val="auto"/>
        </w:rPr>
      </w:pPr>
    </w:p>
    <w:p>
      <w:pPr>
        <w:jc w:val="both"/>
        <w:ind w:right="860" w:firstLine="392"/>
        <w:spacing w:after="0" w:line="276" w:lineRule="auto"/>
        <w:rPr>
          <w:sz w:val="20"/>
          <w:szCs w:val="20"/>
          <w:color w:val="auto"/>
        </w:rPr>
      </w:pPr>
      <w:r>
        <w:rPr>
          <w:rFonts w:ascii="Times New Roman" w:cs="Times New Roman" w:eastAsia="Times New Roman" w:hAnsi="Times New Roman"/>
          <w:sz w:val="17"/>
          <w:szCs w:val="17"/>
          <w:color w:val="auto"/>
        </w:rPr>
        <w:t>Deferred commissions, net included in prepaid and other current assets were $23.4 million as of both March 31, 2024 and December 31, 2023, respectively. Deferred commissions, net included in other assets were $22.1 million and $22.0 million as of March 31, 2024 and December 31, 2023, respectively.</w:t>
      </w:r>
    </w:p>
    <w:p>
      <w:pPr>
        <w:spacing w:after="0" w:line="188"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$7.5 million and $10.7 million for the three months ended March 31, 2024 and 2023, respectively. Amortization of deferred commissions costs are included in sales and marketing expense in the accompanying condensed consolidated statements of operations. There was no impairment loss in relation to the deferred costs for any period presented.</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2"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The following table presents the estimated useful lives of property and equipment:</w:t>
            </w:r>
          </w:p>
        </w:tc>
        <w:tc>
          <w:tcPr>
            <w:tcW w:w="4900" w:type="dxa"/>
            <w:vAlign w:val="bottom"/>
          </w:tcPr>
          <w:p>
            <w:pPr>
              <w:spacing w:after="0"/>
              <w:rPr>
                <w:sz w:val="19"/>
                <w:szCs w:val="19"/>
                <w:color w:val="auto"/>
              </w:rPr>
            </w:pPr>
          </w:p>
        </w:tc>
      </w:tr>
      <w:tr>
        <w:trPr>
          <w:trHeight w:val="484"/>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15"/>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20 to 30 years</w:t>
            </w:r>
          </w:p>
        </w:tc>
      </w:tr>
      <w:tr>
        <w:trPr>
          <w:trHeight w:val="222"/>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color w:val="auto"/>
              </w:rPr>
              <w:t>3 to 5 years</w:t>
            </w:r>
          </w:p>
        </w:tc>
      </w:tr>
      <w:tr>
        <w:trPr>
          <w:trHeight w:val="222"/>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 and other</w:t>
            </w:r>
          </w:p>
        </w:tc>
        <w:tc>
          <w:tcPr>
            <w:tcW w:w="4900" w:type="dxa"/>
            <w:vAlign w:val="bottom"/>
            <w:shd w:val="clear" w:color="auto" w:fill="CCEEFF"/>
          </w:tcPr>
          <w:p>
            <w:pPr>
              <w:jc w:val="center"/>
              <w:ind w:right="633"/>
              <w:spacing w:after="0"/>
              <w:rPr>
                <w:sz w:val="20"/>
                <w:szCs w:val="20"/>
                <w:color w:val="auto"/>
              </w:rPr>
            </w:pPr>
            <w:r>
              <w:rPr>
                <w:rFonts w:ascii="Times New Roman" w:cs="Times New Roman" w:eastAsia="Times New Roman" w:hAnsi="Times New Roman"/>
                <w:sz w:val="17"/>
                <w:szCs w:val="17"/>
                <w:color w:val="auto"/>
              </w:rPr>
              <w:t>3 to 7 years</w:t>
            </w:r>
          </w:p>
        </w:tc>
      </w:tr>
      <w:tr>
        <w:trPr>
          <w:trHeight w:val="227"/>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900" w:type="dxa"/>
            <w:vAlign w:val="bottom"/>
          </w:tcPr>
          <w:p>
            <w:pPr>
              <w:jc w:val="center"/>
              <w:ind w:right="633"/>
              <w:spacing w:after="0"/>
              <w:rPr>
                <w:sz w:val="20"/>
                <w:szCs w:val="20"/>
                <w:color w:val="auto"/>
              </w:rPr>
            </w:pPr>
            <w:r>
              <w:rPr>
                <w:rFonts w:ascii="Times New Roman" w:cs="Times New Roman" w:eastAsia="Times New Roman" w:hAnsi="Times New Roman"/>
                <w:sz w:val="17"/>
                <w:szCs w:val="17"/>
                <w:color w:val="auto"/>
              </w:rPr>
              <w:t>Lesser of estimated useful life or remaining lease term</w:t>
            </w:r>
          </w:p>
        </w:tc>
      </w:tr>
    </w:tbl>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 obligations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leases office space, datacenters, and equipment under non-cancelable finance and operating leases with various expiration dates through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2036. The Company determines if an arrangement contains a lease at inception.</w:t>
      </w:r>
    </w:p>
    <w:p>
      <w:pPr>
        <w:spacing w:after="0" w:line="231"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95"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97"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73" w:lineRule="exact"/>
        <w:rPr>
          <w:sz w:val="20"/>
          <w:szCs w:val="20"/>
          <w:color w:val="auto"/>
        </w:rPr>
      </w:pPr>
    </w:p>
    <w:p>
      <w:pPr>
        <w:jc w:val="both"/>
        <w:ind w:right="160" w:firstLine="392"/>
        <w:spacing w:after="0" w:line="269" w:lineRule="auto"/>
        <w:rPr>
          <w:sz w:val="20"/>
          <w:szCs w:val="20"/>
          <w:color w:val="auto"/>
        </w:rPr>
      </w:pPr>
      <w:r>
        <w:rPr>
          <w:rFonts w:ascii="Times New Roman" w:cs="Times New Roman" w:eastAsia="Times New Roman" w:hAnsi="Times New Roman"/>
          <w:sz w:val="17"/>
          <w:szCs w:val="17"/>
          <w:color w:val="auto"/>
        </w:rPr>
        <w:t>As part of the Company's Virtual First strategy, Dropbox has retained a portion of its office space for in-person collaboration while the remainder will be subleased. During the three months ended March 31, 2024 and 2023, the Company did not recognize any impairment charge related to right-of-use assets and other lease related property and equipment assets. See Note 8 "Leases" to our condensed consolidated financial statements included elsewhere in the Quarterly Report on Form 10-Q for further information.</w:t>
      </w:r>
    </w:p>
    <w:p>
      <w:pPr>
        <w:spacing w:after="0" w:line="195" w:lineRule="exact"/>
        <w:rPr>
          <w:sz w:val="20"/>
          <w:szCs w:val="20"/>
          <w:color w:val="auto"/>
        </w:rPr>
      </w:pPr>
    </w:p>
    <w:p>
      <w:pPr>
        <w:jc w:val="both"/>
        <w:ind w:firstLine="392"/>
        <w:spacing w:after="0" w:line="269" w:lineRule="auto"/>
        <w:rPr>
          <w:sz w:val="20"/>
          <w:szCs w:val="20"/>
          <w:color w:val="auto"/>
        </w:rPr>
      </w:pPr>
      <w:r>
        <w:rPr>
          <w:rFonts w:ascii="Times New Roman" w:cs="Times New Roman" w:eastAsia="Times New Roman" w:hAnsi="Times New Roman"/>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Initial asset values and finance lease obligations are based on the present value of future minimum lease payments.</w:t>
      </w:r>
    </w:p>
    <w:p>
      <w:pPr>
        <w:spacing w:after="0" w:line="195"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2"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whichever comes first, any subsequent adjustments are recorded to the Company’s condensed consolidated statements of operations.</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 including goodwill and other acquired intangible assets, net</w:t>
      </w:r>
    </w:p>
    <w:p>
      <w:pPr>
        <w:spacing w:after="0" w:line="122" w:lineRule="exact"/>
        <w:rPr>
          <w:sz w:val="20"/>
          <w:szCs w:val="20"/>
          <w:color w:val="auto"/>
        </w:rPr>
      </w:pPr>
    </w:p>
    <w:p>
      <w:pPr>
        <w:jc w:val="both"/>
        <w:ind w:right="220" w:firstLine="392"/>
        <w:spacing w:after="0" w:line="266" w:lineRule="auto"/>
        <w:rPr>
          <w:sz w:val="20"/>
          <w:szCs w:val="20"/>
          <w:color w:val="auto"/>
        </w:rPr>
      </w:pPr>
      <w:r>
        <w:rPr>
          <w:rFonts w:ascii="Times New Roman" w:cs="Times New Roman" w:eastAsia="Times New Roman" w:hAnsi="Times New Roman"/>
          <w:sz w:val="17"/>
          <w:szCs w:val="17"/>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97" w:lineRule="exact"/>
        <w:rPr>
          <w:sz w:val="20"/>
          <w:szCs w:val="20"/>
          <w:color w:val="auto"/>
        </w:rPr>
      </w:pPr>
    </w:p>
    <w:p>
      <w:pPr>
        <w:ind w:right="380" w:firstLine="392"/>
        <w:spacing w:after="0" w:line="295" w:lineRule="auto"/>
        <w:rPr>
          <w:sz w:val="20"/>
          <w:szCs w:val="20"/>
          <w:color w:val="auto"/>
        </w:rPr>
      </w:pPr>
      <w:r>
        <w:rPr>
          <w:rFonts w:ascii="Times New Roman" w:cs="Times New Roman" w:eastAsia="Times New Roman" w:hAnsi="Times New Roman"/>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3" w:lineRule="exact"/>
        <w:rPr>
          <w:sz w:val="20"/>
          <w:szCs w:val="20"/>
          <w:color w:val="auto"/>
        </w:rPr>
      </w:pPr>
    </w:p>
    <w:p>
      <w:pPr>
        <w:ind w:right="280" w:firstLine="392"/>
        <w:spacing w:after="0" w:line="295" w:lineRule="auto"/>
        <w:rPr>
          <w:sz w:val="20"/>
          <w:szCs w:val="20"/>
          <w:color w:val="auto"/>
        </w:rPr>
      </w:pPr>
      <w:r>
        <w:rPr>
          <w:rFonts w:ascii="Times New Roman" w:cs="Times New Roman" w:eastAsia="Times New Roman" w:hAnsi="Times New Roman"/>
          <w:sz w:val="17"/>
          <w:szCs w:val="17"/>
          <w:color w:val="auto"/>
        </w:rPr>
        <w:t>The Company has not recorded impairment charges on goodwill or intangible assets for the periods presented in these condensed consolidated financial statements.</w:t>
      </w:r>
    </w:p>
    <w:p>
      <w:pPr>
        <w:spacing w:after="0" w:line="173" w:lineRule="exact"/>
        <w:rPr>
          <w:sz w:val="20"/>
          <w:szCs w:val="20"/>
          <w:color w:val="auto"/>
        </w:rPr>
      </w:pPr>
    </w:p>
    <w:p>
      <w:pPr>
        <w:ind w:right="220" w:firstLine="392"/>
        <w:spacing w:after="0" w:line="267" w:lineRule="auto"/>
        <w:rPr>
          <w:sz w:val="20"/>
          <w:szCs w:val="20"/>
          <w:color w:val="auto"/>
        </w:rPr>
      </w:pPr>
      <w:r>
        <w:rPr>
          <w:rFonts w:ascii="Times New Roman" w:cs="Times New Roman" w:eastAsia="Times New Roman" w:hAnsi="Times New Roman"/>
          <w:sz w:val="17"/>
          <w:szCs w:val="17"/>
          <w:color w:val="auto"/>
        </w:rPr>
        <w:t>During the three months ended March 31, 2024 and 2023, the Company did not recognize any impairment charge related to right-of-use assets and other lease related property and equipment assets.</w:t>
      </w:r>
    </w:p>
    <w:p>
      <w:pPr>
        <w:spacing w:after="0" w:line="1" w:lineRule="exact"/>
        <w:rPr>
          <w:sz w:val="20"/>
          <w:szCs w:val="20"/>
          <w:color w:val="auto"/>
        </w:rPr>
      </w:pPr>
    </w:p>
    <w:p>
      <w:pPr>
        <w:ind w:right="140" w:firstLine="392"/>
        <w:spacing w:after="0" w:line="260" w:lineRule="auto"/>
        <w:rPr>
          <w:sz w:val="20"/>
          <w:szCs w:val="20"/>
          <w:color w:val="auto"/>
        </w:rPr>
      </w:pPr>
      <w:r>
        <w:rPr>
          <w:rFonts w:ascii="Times New Roman" w:cs="Times New Roman" w:eastAsia="Times New Roman" w:hAnsi="Times New Roman"/>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depreciation or amortization. If the Company revises the estimated useful life assumption for any asset, the remaining unamortized balance is amortized or depreciated over the revised estimated useful life on a prospective basis. In the first quarter of 2024, the Company changed the estimate of the useful lives of certain infrastructure server and component assets from four to five years. See "Use of estimates" within Note 1 above for further information.</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2"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8"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8"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95" w:lineRule="exact"/>
        <w:rPr>
          <w:sz w:val="20"/>
          <w:szCs w:val="20"/>
          <w:color w:val="auto"/>
        </w:rPr>
      </w:pPr>
    </w:p>
    <w:p>
      <w:pPr>
        <w:ind w:right="340" w:firstLine="392"/>
        <w:spacing w:after="0" w:line="269" w:lineRule="auto"/>
        <w:rPr>
          <w:sz w:val="20"/>
          <w:szCs w:val="20"/>
          <w:color w:val="auto"/>
        </w:rPr>
      </w:pPr>
      <w:r>
        <w:rPr>
          <w:rFonts w:ascii="Times New Roman" w:cs="Times New Roman" w:eastAsia="Times New Roman" w:hAnsi="Times New Roman"/>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95"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73" w:lineRule="exact"/>
        <w:rPr>
          <w:sz w:val="20"/>
          <w:szCs w:val="20"/>
          <w:color w:val="auto"/>
        </w:rPr>
      </w:pPr>
    </w:p>
    <w:p>
      <w:pPr>
        <w:ind w:right="20" w:firstLine="392"/>
        <w:spacing w:after="0" w:line="295" w:lineRule="auto"/>
        <w:rPr>
          <w:sz w:val="20"/>
          <w:szCs w:val="20"/>
          <w:color w:val="auto"/>
        </w:rPr>
      </w:pPr>
      <w:r>
        <w:rPr>
          <w:rFonts w:ascii="Times New Roman" w:cs="Times New Roman" w:eastAsia="Times New Roman" w:hAnsi="Times New Roman"/>
          <w:sz w:val="17"/>
          <w:szCs w:val="17"/>
          <w:color w:val="auto"/>
        </w:rPr>
        <w:t>The Tax Cuts and Jobs Act of 2017 ("TCJA") subjects a U.S. shareholder to current tax on global intangible low-taxed income ("GILTI") earned by foreign subsidiaries. The Company accounts for GILTI as a period cost as incurred.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22"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—Quoted prices in active markets for identical assets or liabilities.</w:t>
      </w:r>
    </w:p>
    <w:p>
      <w:pPr>
        <w:spacing w:after="0" w:line="118" w:lineRule="exact"/>
        <w:rPr>
          <w:sz w:val="20"/>
          <w:szCs w:val="20"/>
          <w:color w:val="auto"/>
        </w:rPr>
      </w:pPr>
    </w:p>
    <w:p>
      <w:pPr>
        <w:jc w:val="both"/>
        <w:ind w:left="480" w:right="260"/>
        <w:spacing w:after="0" w:line="277"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in inactive markets, or other inputs that are observable or can be corroborated by observable market data for substantially the full term of the assets or liabilities.</w:t>
      </w:r>
    </w:p>
    <w:p>
      <w:pPr>
        <w:spacing w:after="0" w:line="55" w:lineRule="exact"/>
        <w:rPr>
          <w:sz w:val="20"/>
          <w:szCs w:val="20"/>
          <w:color w:val="auto"/>
        </w:rPr>
      </w:pPr>
    </w:p>
    <w:p>
      <w:pPr>
        <w:ind w:left="480" w:right="40"/>
        <w:spacing w:after="0" w:line="298"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—Inputs that are generally unobservable and typically reflect management’s estimate of assumptions that market participants would use in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or liability.</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72" w:lineRule="exact"/>
        <w:rPr>
          <w:sz w:val="20"/>
          <w:szCs w:val="20"/>
          <w:color w:val="auto"/>
        </w:rPr>
      </w:pPr>
    </w:p>
    <w:p>
      <w:pPr>
        <w:ind w:right="20" w:firstLine="392"/>
        <w:spacing w:after="0" w:line="270"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which requires disclosure of incremental segment information on an annual and interim basis. The amendments are effective for fiscal years beginning after December 15, 2023 and interim periods within fiscal years beginning after December 15, 2024. This change requires application on a fully retrospective basis. Early adoption is permitted. The Company is currently evaluating the impact of this standard on the Company's consolidated financial statement disclosures.</w:t>
      </w:r>
    </w:p>
    <w:p>
      <w:pPr>
        <w:spacing w:after="0" w:line="192" w:lineRule="exact"/>
        <w:rPr>
          <w:sz w:val="20"/>
          <w:szCs w:val="20"/>
          <w:color w:val="auto"/>
        </w:rPr>
      </w:pPr>
    </w:p>
    <w:p>
      <w:pPr>
        <w:ind w:right="60" w:firstLine="392"/>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to enhance income tax disclosures primarily through changes in rate reconciliation and income taxes paid disclosures. The amendments in ASU 2023-09 are effective for annual periods beginning after December 15, 2024 on a prospective basis. Early adoption is permitted. The Company is currently evaluating the impact of this standard on the Company's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Cash, Cash Equivalents and Short-Term Investments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amortized cost, unrealized gains and losses and estimated fair value of the Company's cash, cash equivalents and short-term investments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2024 and December 31, 2023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7"/>
                <w:szCs w:val="17"/>
                <w:b w:val="1"/>
                <w:bCs w:val="1"/>
                <w:color w:val="auto"/>
              </w:rPr>
              <w:t>As of March 31, 2024</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548.9</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8"/>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328.1</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2"/>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2"/>
        </w:trPr>
        <w:tc>
          <w:tcPr>
            <w:tcW w:w="3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w:t>
            </w: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1,175.9</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4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741.1</w:t>
            </w:r>
          </w:p>
        </w:tc>
        <w:tc>
          <w:tcPr>
            <w:tcW w:w="0" w:type="dxa"/>
            <w:vAlign w:val="bottom"/>
          </w:tcPr>
          <w:p>
            <w:pPr>
              <w:spacing w:after="0"/>
              <w:rPr>
                <w:sz w:val="1"/>
                <w:szCs w:val="1"/>
                <w:color w:val="auto"/>
              </w:rPr>
            </w:pPr>
          </w:p>
        </w:tc>
      </w:tr>
      <w:tr>
        <w:trPr>
          <w:trHeight w:val="24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right="20" w:firstLine="392"/>
        <w:spacing w:after="0" w:line="295" w:lineRule="auto"/>
        <w:rPr>
          <w:sz w:val="20"/>
          <w:szCs w:val="20"/>
          <w:color w:val="auto"/>
        </w:rPr>
      </w:pPr>
      <w:r>
        <w:rPr>
          <w:rFonts w:ascii="Times New Roman" w:cs="Times New Roman" w:eastAsia="Times New Roman" w:hAnsi="Times New Roman"/>
          <w:sz w:val="17"/>
          <w:szCs w:val="17"/>
          <w:color w:val="auto"/>
        </w:rPr>
        <w:t>Included in cash and cash equivalents is cash in transit from payment processors for credit and debit card transactions of $22.1 million and $17.0 million as of March 31, 2024 and December 31, 2023, respectively.</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short-term investments were designated as available-for-sale securities as of March 31, 2024 and December 31, 2023.</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contractual maturities of the Company’s short-term investments as of March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4540" w:type="dxa"/>
            <w:vAlign w:val="bottom"/>
            <w:tcBorders>
              <w:bottom w:val="single" w:sz="8" w:color="auto"/>
            </w:tcBorders>
            <w:gridSpan w:val="5"/>
          </w:tcPr>
          <w:p>
            <w:pPr>
              <w:jc w:val="right"/>
              <w:ind w:right="1393"/>
              <w:spacing w:after="0"/>
              <w:rPr>
                <w:sz w:val="20"/>
                <w:szCs w:val="20"/>
                <w:color w:val="auto"/>
              </w:rPr>
            </w:pPr>
            <w:r>
              <w:rPr>
                <w:rFonts w:ascii="Times New Roman" w:cs="Times New Roman" w:eastAsia="Times New Roman" w:hAnsi="Times New Roman"/>
                <w:sz w:val="17"/>
                <w:szCs w:val="17"/>
                <w:b w:val="1"/>
                <w:bCs w:val="1"/>
                <w:color w:val="auto"/>
              </w:rPr>
              <w:t>As of March 31, 2024</w:t>
            </w:r>
          </w:p>
        </w:tc>
      </w:tr>
      <w:tr>
        <w:trPr>
          <w:trHeight w:val="215"/>
        </w:trPr>
        <w:tc>
          <w:tcPr>
            <w:tcW w:w="67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within one year</w:t>
            </w:r>
          </w:p>
        </w:tc>
        <w:tc>
          <w:tcPr>
            <w:tcW w:w="1720" w:type="dxa"/>
            <w:vAlign w:val="bottom"/>
            <w:shd w:val="clear" w:color="auto" w:fill="CCEEFF"/>
          </w:tcPr>
          <w:p>
            <w:pPr>
              <w:jc w:val="right"/>
              <w:ind w:right="15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w:t>
            </w: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between one to three years</w:t>
            </w: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400.2</w:t>
            </w: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three years</w:t>
            </w:r>
          </w:p>
        </w:tc>
        <w:tc>
          <w:tcPr>
            <w:tcW w:w="1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tcPr>
          <w:p>
            <w:pPr>
              <w:jc w:val="right"/>
              <w:ind w:right="153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627.0</w:t>
            </w:r>
          </w:p>
        </w:tc>
      </w:tr>
      <w:tr>
        <w:trPr>
          <w:trHeight w:val="20"/>
        </w:trPr>
        <w:tc>
          <w:tcPr>
            <w:tcW w:w="6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The Company had 384 short-term investments in unrealized loss positions as of March 31, 2024. There were no material gains or losses from short-term investments that were reclassified out of accumulated other comprehensive loss for the three months ended March 31, 2024 and 2023.</w:t>
      </w:r>
    </w:p>
    <w:p>
      <w:pPr>
        <w:spacing w:after="0" w:line="173" w:lineRule="exact"/>
        <w:rPr>
          <w:sz w:val="20"/>
          <w:szCs w:val="20"/>
          <w:color w:val="auto"/>
        </w:rPr>
      </w:pPr>
    </w:p>
    <w:p>
      <w:pPr>
        <w:jc w:val="both"/>
        <w:ind w:firstLine="392"/>
        <w:spacing w:after="0" w:line="273" w:lineRule="auto"/>
        <w:rPr>
          <w:sz w:val="20"/>
          <w:szCs w:val="20"/>
          <w:color w:val="auto"/>
        </w:rPr>
      </w:pPr>
      <w:r>
        <w:rPr>
          <w:rFonts w:ascii="Times New Roman" w:cs="Times New Roman" w:eastAsia="Times New Roman" w:hAnsi="Times New Roman"/>
          <w:sz w:val="17"/>
          <w:szCs w:val="17"/>
          <w:color w:val="auto"/>
        </w:rPr>
        <w:t>As of March 31, 2024, the Company’s short-term investments portfolio consisted of nine security types, seven of which were in an unrealized loss position. The Company’s short-term investments had unrealized losses of approximately $18.7 million as of March 31, 2024. The following tables present the breakdown of the short-term investments that have been in a continuous unrealized loss position aggregated by investment category, as of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As of March 31, 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4"/>
                <w:szCs w:val="14"/>
                <w:color w:val="auto"/>
              </w:rPr>
            </w:pPr>
          </w:p>
        </w:tc>
        <w:tc>
          <w:tcPr>
            <w:tcW w:w="108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4"/>
                <w:szCs w:val="14"/>
                <w:color w:val="auto"/>
              </w:rPr>
            </w:pPr>
          </w:p>
        </w:tc>
        <w:tc>
          <w:tcPr>
            <w:tcW w:w="108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2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534.8</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88"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Company recorded interest income from its cash, cash equivalents, and short-term investments of $11.9 million and $7.2 million during the three months ended March 31, 2024 and 2023,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Fair Value Measurements</w:t>
      </w:r>
    </w:p>
    <w:p>
      <w:pPr>
        <w:spacing w:after="0" w:line="251" w:lineRule="exact"/>
        <w:rPr>
          <w:sz w:val="20"/>
          <w:szCs w:val="20"/>
          <w:color w:val="auto"/>
        </w:rPr>
      </w:pPr>
    </w:p>
    <w:p>
      <w:pPr>
        <w:jc w:val="both"/>
        <w:ind w:right="20" w:firstLine="392"/>
        <w:spacing w:after="0" w:line="276" w:lineRule="auto"/>
        <w:rPr>
          <w:sz w:val="20"/>
          <w:szCs w:val="20"/>
          <w:color w:val="auto"/>
        </w:rPr>
      </w:pPr>
      <w:r>
        <w:rPr>
          <w:rFonts w:ascii="Times New Roman" w:cs="Times New Roman" w:eastAsia="Times New Roman" w:hAnsi="Times New Roman"/>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88"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instruments that are measured at fair value on a recurring basis using the input categories discussed in Note 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As of March 31, 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2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0" w:type="dxa"/>
            <w:vAlign w:val="bottom"/>
          </w:tcPr>
          <w:p>
            <w:pPr>
              <w:spacing w:after="0"/>
              <w:rPr>
                <w:sz w:val="1"/>
                <w:szCs w:val="1"/>
                <w:color w:val="auto"/>
              </w:rPr>
            </w:pPr>
          </w:p>
        </w:tc>
      </w:tr>
      <w:tr>
        <w:trPr>
          <w:trHeight w:val="24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2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627.0</w:t>
            </w:r>
          </w:p>
        </w:tc>
        <w:tc>
          <w:tcPr>
            <w:tcW w:w="1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627.0</w:t>
            </w:r>
          </w:p>
        </w:tc>
        <w:tc>
          <w:tcPr>
            <w:tcW w:w="0" w:type="dxa"/>
            <w:vAlign w:val="bottom"/>
          </w:tcPr>
          <w:p>
            <w:pPr>
              <w:spacing w:after="0"/>
              <w:rPr>
                <w:sz w:val="1"/>
                <w:szCs w:val="1"/>
                <w:color w:val="auto"/>
              </w:rPr>
            </w:pPr>
          </w:p>
        </w:tc>
      </w:tr>
      <w:tr>
        <w:trPr>
          <w:trHeight w:val="24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5"/>
        </w:trPr>
        <w:tc>
          <w:tcPr>
            <w:tcW w:w="3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2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tcPr>
          <w:p>
            <w:pPr>
              <w:spacing w:after="0"/>
              <w:rPr>
                <w:sz w:val="19"/>
                <w:szCs w:val="19"/>
                <w:color w:val="auto"/>
              </w:rPr>
            </w:pPr>
          </w:p>
        </w:tc>
        <w:tc>
          <w:tcPr>
            <w:tcW w:w="1320" w:type="dxa"/>
            <w:vAlign w:val="bottom"/>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8"/>
        </w:trPr>
        <w:tc>
          <w:tcPr>
            <w:tcW w:w="3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Short-term investments</w:t>
            </w: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2"/>
        </w:trPr>
        <w:tc>
          <w:tcPr>
            <w:tcW w:w="3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741.1</w:t>
            </w: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759.9</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1,274.7</w:t>
            </w:r>
          </w:p>
        </w:tc>
      </w:tr>
      <w:tr>
        <w:trPr>
          <w:trHeight w:val="20"/>
        </w:trPr>
        <w:tc>
          <w:tcPr>
            <w:tcW w:w="3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had no transfers between levels of the fair value hierarchy during the periods presented.</w:t>
      </w:r>
    </w:p>
    <w:p>
      <w:pPr>
        <w:spacing w:after="0" w:line="249"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73" w:lineRule="exact"/>
        <w:rPr>
          <w:sz w:val="20"/>
          <w:szCs w:val="20"/>
          <w:color w:val="auto"/>
        </w:rPr>
      </w:pPr>
    </w:p>
    <w:p>
      <w:pPr>
        <w:jc w:val="both"/>
        <w:ind w:right="380" w:firstLine="392"/>
        <w:spacing w:after="0" w:line="276" w:lineRule="auto"/>
        <w:rPr>
          <w:sz w:val="20"/>
          <w:szCs w:val="20"/>
          <w:color w:val="auto"/>
        </w:rPr>
      </w:pPr>
      <w:r>
        <w:rPr>
          <w:rFonts w:ascii="Times New Roman" w:cs="Times New Roman" w:eastAsia="Times New Roman" w:hAnsi="Times New Roman"/>
          <w:sz w:val="17"/>
          <w:szCs w:val="17"/>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March 31, 2024. Refer to Note 8 "Debt" for further details on the 2026 Notes and 2028 Notes.</w:t>
      </w:r>
    </w:p>
    <w:p>
      <w:pPr>
        <w:spacing w:after="0" w:line="188"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The estimated fair value of the 2026 Notes and the 2028 Notes, based on a market approach as of March 31, 2024 was approximately $674.9 million and $649.3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4. Property and Equipment, Net</w:t>
            </w: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4"/>
        </w:trPr>
        <w:tc>
          <w:tcPr>
            <w:tcW w:w="40" w:type="dxa"/>
            <w:vAlign w:val="bottom"/>
          </w:tcPr>
          <w:p>
            <w:pPr>
              <w:spacing w:after="0"/>
              <w:rPr>
                <w:sz w:val="24"/>
                <w:szCs w:val="24"/>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4"/>
        </w:trPr>
        <w:tc>
          <w:tcPr>
            <w:tcW w:w="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5"/>
        </w:trPr>
        <w:tc>
          <w:tcPr>
            <w:tcW w:w="4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w:t>
            </w:r>
          </w:p>
        </w:tc>
      </w:tr>
      <w:tr>
        <w:trPr>
          <w:trHeight w:val="222"/>
        </w:trPr>
        <w:tc>
          <w:tcPr>
            <w:tcW w:w="4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2"/>
        </w:trPr>
        <w:tc>
          <w:tcPr>
            <w:tcW w:w="4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5"/>
        </w:trPr>
        <w:tc>
          <w:tcPr>
            <w:tcW w:w="4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w:t>
            </w:r>
          </w:p>
        </w:tc>
      </w:tr>
      <w:tr>
        <w:trPr>
          <w:trHeight w:val="222"/>
        </w:trPr>
        <w:tc>
          <w:tcPr>
            <w:tcW w:w="40" w:type="dxa"/>
            <w:vAlign w:val="bottom"/>
          </w:tcPr>
          <w:p>
            <w:pPr>
              <w:spacing w:after="0"/>
              <w:rPr>
                <w:sz w:val="19"/>
                <w:szCs w:val="19"/>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(586.3)</w:t>
            </w:r>
          </w:p>
        </w:tc>
      </w:tr>
      <w:tr>
        <w:trPr>
          <w:trHeight w:val="240"/>
        </w:trPr>
        <w:tc>
          <w:tcPr>
            <w:tcW w:w="4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w:t>
            </w:r>
          </w:p>
        </w:tc>
      </w:tr>
      <w:tr>
        <w:trPr>
          <w:trHeight w:val="20"/>
        </w:trPr>
        <w:tc>
          <w:tcPr>
            <w:tcW w:w="4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7"/>
          <w:szCs w:val="17"/>
          <w:color w:val="auto"/>
        </w:rPr>
        <w:t>The Company leases certain infrastructure, computer equipment, and furniture from various third parties, through equipment finance leases. Infrastructure assets as of March 31, 2024 and December 31, 2023 included a total of $455.3 million and $457.4 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$230.9 million and $234.7 million as of March 31, 2024 and December 31, 2023, respectively.</w:t>
      </w:r>
    </w:p>
    <w:p>
      <w:pPr>
        <w:spacing w:after="0" w:line="197"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Depreciation expense related to property and equipment was $24.8 million and $35.0 million for the three months ended March 31, 2024 and 2023, respectively.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Intangible assets consisted of the following:</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useful life</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180" w:type="dxa"/>
            <w:vAlign w:val="bottom"/>
          </w:tcPr>
          <w:p>
            <w:pPr>
              <w:spacing w:after="0"/>
              <w:rPr>
                <w:sz w:val="14"/>
                <w:szCs w:val="14"/>
                <w:color w:val="auto"/>
              </w:rPr>
            </w:pPr>
          </w:p>
        </w:tc>
        <w:tc>
          <w:tcPr>
            <w:tcW w:w="178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0" w:type="dxa"/>
            <w:vAlign w:val="bottom"/>
          </w:tcPr>
          <w:p>
            <w:pPr>
              <w:spacing w:after="0"/>
              <w:rPr>
                <w:sz w:val="14"/>
                <w:szCs w:val="14"/>
                <w:color w:val="auto"/>
              </w:rPr>
            </w:pPr>
          </w:p>
        </w:tc>
        <w:tc>
          <w:tcPr>
            <w:tcW w:w="20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Software</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Licenses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Assembled workforce in asset acquisitions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1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intangibles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amortization</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Amortization expense was $6.7 million and $7.5 million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Expected future amortization expense for intangible assets as of March 31, 2024 is as follows: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84"/>
        </w:trPr>
        <w:tc>
          <w:tcPr>
            <w:tcW w:w="90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Intangible assets</w:t>
            </w: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2024</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5"/>
        </w:trPr>
        <w:tc>
          <w:tcPr>
            <w:tcW w:w="9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Goodwill</w:t>
      </w:r>
    </w:p>
    <w:p>
      <w:pPr>
        <w:spacing w:after="0" w:line="251" w:lineRule="exact"/>
        <w:rPr>
          <w:sz w:val="20"/>
          <w:szCs w:val="20"/>
          <w:color w:val="auto"/>
        </w:rPr>
      </w:pPr>
    </w:p>
    <w:p>
      <w:pPr>
        <w:ind w:right="480" w:firstLine="392"/>
        <w:spacing w:after="0" w:line="295"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w:t>
            </w:r>
          </w:p>
        </w:tc>
      </w:tr>
      <w:tr>
        <w:trPr>
          <w:trHeight w:val="222"/>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Effect of foreign currency translation</w:t>
            </w:r>
          </w:p>
        </w:tc>
        <w:tc>
          <w:tcPr>
            <w:tcW w:w="14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4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620" w:firstLine="392"/>
        <w:spacing w:after="0" w:line="295" w:lineRule="auto"/>
        <w:rPr>
          <w:sz w:val="20"/>
          <w:szCs w:val="20"/>
          <w:color w:val="auto"/>
        </w:rPr>
      </w:pPr>
      <w:r>
        <w:rPr>
          <w:rFonts w:ascii="Times New Roman" w:cs="Times New Roman" w:eastAsia="Times New Roman" w:hAnsi="Times New Roman"/>
          <w:sz w:val="17"/>
          <w:szCs w:val="17"/>
          <w:color w:val="auto"/>
        </w:rPr>
        <w:t>Goodwill amounts are not amortized, but tested for impairment on an annual basis. There was no impairment of goodwill during the periods ended March 31, 2024 and December 31, 2023.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Debt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53" w:lineRule="exact"/>
        <w:rPr>
          <w:sz w:val="20"/>
          <w:szCs w:val="20"/>
          <w:color w:val="auto"/>
        </w:rPr>
      </w:pPr>
    </w:p>
    <w:p>
      <w:pPr>
        <w:ind w:right="160" w:firstLine="392"/>
        <w:spacing w:after="0" w:line="262" w:lineRule="auto"/>
        <w:rPr>
          <w:sz w:val="20"/>
          <w:szCs w:val="20"/>
          <w:color w:val="auto"/>
        </w:rPr>
      </w:pPr>
      <w:r>
        <w:rPr>
          <w:rFonts w:ascii="Times New Roman" w:cs="Times New Roman" w:eastAsia="Times New Roman" w:hAnsi="Times New Roman"/>
          <w:sz w:val="17"/>
          <w:szCs w:val="17"/>
          <w:color w:val="auto"/>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the letter of credit sublimit from</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$187.5 million to $65.0 million and extended the term of the agreement through February 2026. The Company may from time-to-time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 In March 2023, the Company amended the revolving credit facility to update its borrowing benchmark from LIBOR to SOFR, with a fixed credit spread adjustment of 0.10%. In conjunction with the March 2023 amendment, the Company incurred upfront issuance fees of $0.1 million, which are being amortized over the remaining term of the agreement.</w:t>
      </w:r>
    </w:p>
    <w:p>
      <w:pPr>
        <w:spacing w:after="0" w:line="201"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option, at an annual rate based on credit spread adjusted SOFR plus a spread of 1.375% or at an alternative base rate plus a spread of 0.375%.</w:t>
      </w:r>
    </w:p>
    <w:p>
      <w:pPr>
        <w:spacing w:after="0" w:line="249"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March 31, 2024 and December 31, 2023, respectively.</w:t>
      </w:r>
    </w:p>
    <w:p>
      <w:pPr>
        <w:spacing w:after="0" w:line="197"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The Company had an aggregate of $31.2 million of letters of credit outstanding under the revolving credit facility as of March 31, 2024, and the Company’s total available borrowing capacity under the revolving credit facility was $468.8 million as of March 31, 2024. The Company’s letters of credit have final expiration dates through 2036.</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5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195" w:lineRule="exact"/>
        <w:rPr>
          <w:sz w:val="20"/>
          <w:szCs w:val="20"/>
          <w:color w:val="auto"/>
        </w:rPr>
      </w:pPr>
    </w:p>
    <w:p>
      <w:pPr>
        <w:ind w:right="100" w:firstLine="392"/>
        <w:spacing w:after="0" w:line="273" w:lineRule="auto"/>
        <w:rPr>
          <w:sz w:val="20"/>
          <w:szCs w:val="20"/>
          <w:color w:val="auto"/>
        </w:rPr>
      </w:pPr>
      <w:r>
        <w:rPr>
          <w:rFonts w:ascii="Times New Roman" w:cs="Times New Roman" w:eastAsia="Times New Roman" w:hAnsi="Times New Roman"/>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March 31, 2024. The 2026 Notes will mature on March 1, 2026, and the 2028 Notes will mature on March 1, 2028, in each case, unless earlier converted, redeemed or repurchased.</w:t>
      </w:r>
    </w:p>
    <w:p>
      <w:pPr>
        <w:spacing w:after="0" w:line="200" w:lineRule="exact"/>
        <w:rPr>
          <w:sz w:val="20"/>
          <w:szCs w:val="20"/>
          <w:color w:val="auto"/>
        </w:rPr>
      </w:pPr>
    </w:p>
    <w:p>
      <w:pPr>
        <w:spacing w:after="0" w:line="20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March 31, 2024.</w:t>
      </w:r>
    </w:p>
    <w:p>
      <w:pPr>
        <w:spacing w:after="0" w:line="200"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March 31, 2024. In addition, during the three months ended March 31, 2024 the conditions allowing holders of the Notes to convert during the following fiscal quarter were not met.</w:t>
      </w:r>
    </w:p>
    <w:p>
      <w:pPr>
        <w:spacing w:after="0" w:line="195"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188"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88"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0"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95"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95" w:lineRule="exact"/>
        <w:rPr>
          <w:sz w:val="20"/>
          <w:szCs w:val="20"/>
          <w:color w:val="auto"/>
        </w:rPr>
      </w:pPr>
    </w:p>
    <w:p>
      <w:pPr>
        <w:ind w:right="260" w:firstLine="392"/>
        <w:spacing w:after="0" w:line="276" w:lineRule="auto"/>
        <w:rPr>
          <w:sz w:val="20"/>
          <w:szCs w:val="20"/>
          <w:color w:val="auto"/>
        </w:rPr>
      </w:pPr>
      <w:r>
        <w:rPr>
          <w:rFonts w:ascii="Times New Roman" w:cs="Times New Roman" w:eastAsia="Times New Roman" w:hAnsi="Times New Roman"/>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summary of the Notes as of March 31, 2024 and December 31,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tcPr>
          <w:p>
            <w:pPr>
              <w:spacing w:after="0"/>
              <w:rPr>
                <w:sz w:val="19"/>
                <w:szCs w:val="19"/>
                <w:color w:val="auto"/>
              </w:rPr>
            </w:pP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691.5</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687.2</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1,378.7</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2024 and 2023, the Company recognized $0.5 million and $0.6 million in interest expense for the 2026 Notes, respectively, and $0.4 million in interest expense for the 2028 Notes, with such interest expense consisting of amortization of issuance costs. The effective interest rate for the 2026 Notes and the 2028 Notes was 0.32% and 0.22%, respectively,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0" w:type="dxa"/>
            <w:vAlign w:val="bottom"/>
          </w:tcPr>
          <w:p>
            <w:pPr>
              <w:jc w:val="center"/>
              <w:ind w:left="195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9"/>
        </w:trPr>
        <w:tc>
          <w:tcPr>
            <w:tcW w:w="9200" w:type="dxa"/>
            <w:vAlign w:val="bottom"/>
          </w:tcPr>
          <w:p>
            <w:pPr>
              <w:jc w:val="center"/>
              <w:ind w:left="1953"/>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14"/>
        </w:trPr>
        <w:tc>
          <w:tcPr>
            <w:tcW w:w="9200" w:type="dxa"/>
            <w:vAlign w:val="bottom"/>
          </w:tcPr>
          <w:p>
            <w:pPr>
              <w:jc w:val="center"/>
              <w:ind w:left="1953"/>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01"/>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Maturities on the Company's long-term convertible debt are as follows:</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Convertible Debt</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Hedges and Warrants</w:t>
      </w:r>
    </w:p>
    <w:p>
      <w:pPr>
        <w:spacing w:after="0" w:line="25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195" w:lineRule="exact"/>
        <w:rPr>
          <w:sz w:val="20"/>
          <w:szCs w:val="20"/>
          <w:color w:val="auto"/>
        </w:rPr>
      </w:pPr>
    </w:p>
    <w:p>
      <w:pPr>
        <w:ind w:right="60" w:firstLine="392"/>
        <w:spacing w:after="0" w:line="268" w:lineRule="auto"/>
        <w:rPr>
          <w:sz w:val="20"/>
          <w:szCs w:val="20"/>
          <w:color w:val="auto"/>
        </w:rPr>
      </w:pPr>
      <w:r>
        <w:rPr>
          <w:rFonts w:ascii="Times New Roman" w:cs="Times New Roman" w:eastAsia="Times New Roman" w:hAnsi="Times New Roman"/>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0" w:lineRule="exact"/>
        <w:rPr>
          <w:sz w:val="20"/>
          <w:szCs w:val="20"/>
          <w:color w:val="auto"/>
        </w:rPr>
      </w:pPr>
    </w:p>
    <w:p>
      <w:pPr>
        <w:spacing w:after="0" w:line="208"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March 31, 2024, the Company’s stock price was below the exercise price of the respective Note Hedges.</w:t>
      </w:r>
    </w:p>
    <w:p>
      <w:pPr>
        <w:spacing w:after="0" w:line="197" w:lineRule="exact"/>
        <w:rPr>
          <w:sz w:val="20"/>
          <w:szCs w:val="20"/>
          <w:color w:val="auto"/>
        </w:rPr>
      </w:pPr>
    </w:p>
    <w:p>
      <w:pPr>
        <w:ind w:right="220" w:firstLine="392"/>
        <w:spacing w:after="0" w:line="269" w:lineRule="auto"/>
        <w:rPr>
          <w:sz w:val="20"/>
          <w:szCs w:val="20"/>
          <w:color w:val="auto"/>
        </w:rPr>
      </w:pPr>
      <w:r>
        <w:rPr>
          <w:rFonts w:ascii="Times New Roman" w:cs="Times New Roman" w:eastAsia="Times New Roman" w:hAnsi="Times New Roman"/>
          <w:sz w:val="17"/>
          <w:szCs w:val="17"/>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95"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March 31, 2024, the Company’s Class A common stock price was below the exercise price of the Warrants.</w:t>
      </w:r>
    </w:p>
    <w:p>
      <w:pPr>
        <w:spacing w:after="0" w:line="200"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251"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The Company has operating leases for corporate offices and datacenters, and finance leases for infrastructure and office equipment. The Company’s leases have remaining lease terms of under 1 year to 12 years, some of which include options to extend the leases for up to 5 years.</w:t>
      </w:r>
    </w:p>
    <w:p>
      <w:pPr>
        <w:spacing w:after="0" w:line="160" w:lineRule="exact"/>
        <w:rPr>
          <w:sz w:val="20"/>
          <w:szCs w:val="20"/>
          <w:color w:val="auto"/>
        </w:rPr>
      </w:pPr>
    </w:p>
    <w:p>
      <w:pPr>
        <w:jc w:val="both"/>
        <w:ind w:right="100" w:firstLine="392"/>
        <w:spacing w:after="0" w:line="260" w:lineRule="auto"/>
        <w:rPr>
          <w:sz w:val="20"/>
          <w:szCs w:val="20"/>
          <w:color w:val="auto"/>
        </w:rPr>
      </w:pPr>
      <w:r>
        <w:rPr>
          <w:rFonts w:ascii="Times New Roman" w:cs="Times New Roman" w:eastAsia="Times New Roman" w:hAnsi="Times New Roman"/>
          <w:sz w:val="17"/>
          <w:szCs w:val="17"/>
          <w:color w:val="auto"/>
        </w:rPr>
        <w:t>The Company also has subleases for several floors of its former corporate offices. The Company classifies its subleases as operating leases. The subleases have remaining lease terms of 1 year to 9 years, some of which include options to extend the sublease for up to approximately 4 years. Sublease income, which is recorded as a reduction of rental expense, was $3.5 million and $4.5 million during the three months ended March 31, 2024 and 2023, respectively.</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Future minimum lease payments under non-cancellable leases as of March 31, 2024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Operating leases</w:t>
            </w:r>
            <w:r>
              <w:rPr>
                <w:rFonts w:ascii="Times New Roman" w:cs="Times New Roman" w:eastAsia="Times New Roman" w:hAnsi="Times New Roman"/>
                <w:sz w:val="22"/>
                <w:szCs w:val="22"/>
                <w:b w:val="1"/>
                <w:bCs w:val="1"/>
                <w:color w:val="auto"/>
                <w:vertAlign w:val="superscript"/>
              </w:rPr>
              <w:t>(1)</w:t>
            </w:r>
          </w:p>
        </w:tc>
        <w:tc>
          <w:tcPr>
            <w:tcW w:w="300" w:type="dxa"/>
            <w:vAlign w:val="bottom"/>
          </w:tcPr>
          <w:p>
            <w:pPr>
              <w:spacing w:after="0"/>
              <w:rPr>
                <w:sz w:val="22"/>
                <w:szCs w:val="22"/>
                <w:color w:val="auto"/>
              </w:rPr>
            </w:pPr>
          </w:p>
        </w:tc>
        <w:tc>
          <w:tcPr>
            <w:tcW w:w="17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w:t>
            </w:r>
          </w:p>
        </w:tc>
      </w:tr>
      <w:tr>
        <w:trPr>
          <w:trHeight w:val="22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2"/>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tenant improvement receivables</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liability</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right="260" w:firstLine="5"/>
        <w:spacing w:after="0" w:line="327" w:lineRule="auto"/>
        <w:tabs>
          <w:tab w:leader="none" w:pos="144"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0" w:type="dxa"/>
            <w:vAlign w:val="bottom"/>
          </w:tcPr>
          <w:p>
            <w:pPr>
              <w:jc w:val="center"/>
              <w:ind w:left="195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9"/>
        </w:trPr>
        <w:tc>
          <w:tcPr>
            <w:tcW w:w="9200" w:type="dxa"/>
            <w:vAlign w:val="bottom"/>
          </w:tcPr>
          <w:p>
            <w:pPr>
              <w:jc w:val="center"/>
              <w:ind w:left="1953"/>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14"/>
        </w:trPr>
        <w:tc>
          <w:tcPr>
            <w:tcW w:w="9200" w:type="dxa"/>
            <w:vAlign w:val="bottom"/>
          </w:tcPr>
          <w:p>
            <w:pPr>
              <w:jc w:val="center"/>
              <w:ind w:left="1953"/>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01"/>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Future non-cancelable rent payments from the Company's subtenants as of March 31, 2024 were as follows: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4"/>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15"/>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future sublease rent payments, net</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w:t>
            </w: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firstLine="392"/>
        <w:spacing w:after="0" w:line="249" w:lineRule="auto"/>
        <w:rPr>
          <w:sz w:val="20"/>
          <w:szCs w:val="20"/>
          <w:color w:val="auto"/>
        </w:rPr>
      </w:pPr>
      <w:r>
        <w:rPr>
          <w:rFonts w:ascii="Times New Roman" w:cs="Times New Roman" w:eastAsia="Times New Roman" w:hAnsi="Times New Roman"/>
          <w:sz w:val="17"/>
          <w:szCs w:val="17"/>
          <w:color w:val="auto"/>
        </w:rPr>
        <w:t>In 2017, the Company signed a 15 year lease agreement for office space in San Francisco, California, to serve as its corporate headquarters which commenced in 2018. The Company's obligations under the lease are supported by a $17.5 million letter of credit, which reduced the Company's borrowing capacity under the revolving credit facility. As of March 31, 2024, the Company's remaining minimum obligation under the lease for its headquarters was $191.2 million.</w:t>
      </w:r>
    </w:p>
    <w:p>
      <w:pPr>
        <w:spacing w:after="0" w:line="200" w:lineRule="exact"/>
        <w:rPr>
          <w:sz w:val="20"/>
          <w:szCs w:val="20"/>
          <w:color w:val="auto"/>
        </w:rPr>
      </w:pPr>
    </w:p>
    <w:p>
      <w:pPr>
        <w:spacing w:after="0" w:line="211" w:lineRule="exact"/>
        <w:rPr>
          <w:sz w:val="20"/>
          <w:szCs w:val="20"/>
          <w:color w:val="auto"/>
        </w:rPr>
      </w:pPr>
    </w:p>
    <w:p>
      <w:pPr>
        <w:jc w:val="both"/>
        <w:ind w:right="20" w:firstLine="392"/>
        <w:spacing w:after="0" w:line="269" w:lineRule="auto"/>
        <w:rPr>
          <w:sz w:val="20"/>
          <w:szCs w:val="20"/>
          <w:color w:val="auto"/>
        </w:rPr>
      </w:pPr>
      <w:r>
        <w:rPr>
          <w:rFonts w:ascii="Times New Roman" w:cs="Times New Roman" w:eastAsia="Times New Roman" w:hAnsi="Times New Roman"/>
          <w:sz w:val="17"/>
          <w:szCs w:val="17"/>
          <w:color w:val="auto"/>
        </w:rPr>
        <w:t>In the fourth quarter of 2020, the Company announced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In connection with these changes, the Company evaluated certain of its right-of-use assets and other lease related assets including leasehold improvements, furniture and fixtures, and computer equipment for impairment under ASC 360.</w:t>
      </w:r>
    </w:p>
    <w:p>
      <w:pPr>
        <w:spacing w:after="0" w:line="195" w:lineRule="exact"/>
        <w:rPr>
          <w:sz w:val="20"/>
          <w:szCs w:val="20"/>
          <w:color w:val="auto"/>
        </w:rPr>
      </w:pPr>
    </w:p>
    <w:p>
      <w:pPr>
        <w:jc w:val="both"/>
        <w:ind w:right="240" w:firstLine="392"/>
        <w:spacing w:after="0" w:line="295" w:lineRule="auto"/>
        <w:rPr>
          <w:sz w:val="20"/>
          <w:szCs w:val="20"/>
          <w:color w:val="auto"/>
        </w:rPr>
      </w:pPr>
      <w:r>
        <w:rPr>
          <w:rFonts w:ascii="Times New Roman" w:cs="Times New Roman" w:eastAsia="Times New Roman" w:hAnsi="Times New Roman"/>
          <w:sz w:val="17"/>
          <w:szCs w:val="17"/>
          <w:color w:val="auto"/>
        </w:rPr>
        <w:t>As part of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73"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2024 and 2023, the Company did not recognize any impairment charge related to right-of-use assets and other lease related property and equipment assets.</w:t>
      </w:r>
    </w:p>
    <w:p>
      <w:pPr>
        <w:spacing w:after="0" w:line="173" w:lineRule="exact"/>
        <w:rPr>
          <w:sz w:val="20"/>
          <w:szCs w:val="20"/>
          <w:color w:val="auto"/>
        </w:rPr>
      </w:pPr>
    </w:p>
    <w:p>
      <w:pPr>
        <w:ind w:right="10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2024, the Company had $85.7 million in commitments for leases that have not yet commenced, and therefore is not included in the right-of-use asset or lease liability. These leases will commence in 2024 and 2025, with lease terms of 6 to 7 years.</w:t>
      </w:r>
    </w:p>
    <w:p>
      <w:pPr>
        <w:spacing w:after="0" w:line="200" w:lineRule="exact"/>
        <w:rPr>
          <w:sz w:val="20"/>
          <w:szCs w:val="20"/>
          <w:color w:val="auto"/>
        </w:rPr>
      </w:pPr>
    </w:p>
    <w:p>
      <w:pPr>
        <w:spacing w:after="0" w:line="20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9.</w:t>
        <w:tab/>
        <w:t>Commitments and Contingencies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122"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2"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2" w:lineRule="exact"/>
        <w:rPr>
          <w:sz w:val="20"/>
          <w:szCs w:val="20"/>
          <w:color w:val="auto"/>
        </w:rPr>
      </w:pPr>
    </w:p>
    <w:p>
      <w:pPr>
        <w:jc w:val="both"/>
        <w:ind w:right="300" w:firstLine="392"/>
        <w:spacing w:after="0" w:line="276" w:lineRule="auto"/>
        <w:rPr>
          <w:sz w:val="20"/>
          <w:szCs w:val="20"/>
          <w:color w:val="auto"/>
        </w:rPr>
      </w:pPr>
      <w:r>
        <w:rPr>
          <w:rFonts w:ascii="Times New Roman" w:cs="Times New Roman" w:eastAsia="Times New Roman" w:hAnsi="Times New Roman"/>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10. Accrued and Other Current Liabilities</w:t>
            </w: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68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9"/>
        </w:trPr>
        <w:tc>
          <w:tcPr>
            <w:tcW w:w="68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Non-income taxes payable</w:t>
            </w:r>
          </w:p>
        </w:tc>
        <w:tc>
          <w:tcPr>
            <w:tcW w:w="168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and other external fees</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indemnification holdbacks</w:t>
            </w: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2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and current liabilities</w:t>
            </w:r>
          </w:p>
        </w:tc>
        <w:tc>
          <w:tcPr>
            <w:tcW w:w="1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4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1680" w:type="dxa"/>
            <w:vAlign w:val="bottom"/>
            <w:tcBorders>
              <w:bottom w:val="single" w:sz="8" w:color="auto"/>
            </w:tcBorders>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11.Stockholders’ Deficit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2" w:lineRule="exact"/>
        <w:rPr>
          <w:sz w:val="20"/>
          <w:szCs w:val="20"/>
          <w:color w:val="auto"/>
        </w:rPr>
      </w:pPr>
    </w:p>
    <w:p>
      <w:pPr>
        <w:ind w:firstLine="392"/>
        <w:spacing w:after="0" w:line="268"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0" w:lineRule="exact"/>
        <w:rPr>
          <w:sz w:val="20"/>
          <w:szCs w:val="20"/>
          <w:color w:val="auto"/>
        </w:rPr>
      </w:pPr>
    </w:p>
    <w:p>
      <w:pPr>
        <w:spacing w:after="0" w:line="208"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As of March 31, 2024, the Company had authorized 2,400.0 million shares of Class A common stock, 475.0 million shares of Class B common stock, and 800.0 million shares of Class C common stock, each at par value of $0.00001. Holders of Class B common stock voluntarily converted 0.7 million and 0.5 million shares into an equivalent number of Class A common stock during the three months ended March 31, 2024 and 2023, respectively. As of March 31, 2024, 247.7 million shares of Class A common stock, 80.0 million shares of Class B common stock, and no shares of Class C common stock were issued and outstanding. As of December 31, 2023, 256.0 million shares of Class A common stock, 80.7 million shares of Class B common stock, and no shares of Class C common stock were issued and outstanding. Class A shares issued and outstanding as of March 31, 2024 and December 31, 2023 exclude unvested restricted stock awards granted to certain executives. Class A shares issued and outstanding also exclude 8.3 million unvested restricted stock awards granted to one of the Company's co-founders as of March 31, 2024 and December 31, 2023, respectively. See "Co-Founder Grant" section below for further details.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3"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253"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In February 2022, the Board of Directors authorized the Company to repurchase up to $1.2 billion of the Company's outstanding shares of Class A common stock. In July 2023 the Board of Directors further authorized the repurchase of up to an additional $1.2 billion of the outstanding shares of our Class A common stock. The Company completed the February 2022 authorization of $1.2 billion during the three months ended March 31, 2024 and continued stock repurchases under the July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2023 authorization.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88"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2024 and 2023, the Company repurchased and subsequently retired 11.1 million and 8.1 million shares of its Class A common stock, respectively, for an aggregate amount of $281.6 million and $176.5 million, respectively. Included in the cost of treasury stock acquired pursuant to common share repurchases is the 1% excise tax imposed as part of the Inflation Reduction Act.</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53" w:lineRule="exact"/>
        <w:rPr>
          <w:sz w:val="20"/>
          <w:szCs w:val="20"/>
          <w:color w:val="auto"/>
        </w:rPr>
      </w:pPr>
    </w:p>
    <w:p>
      <w:pPr>
        <w:ind w:right="160" w:firstLine="392"/>
        <w:spacing w:after="0" w:line="266" w:lineRule="auto"/>
        <w:rPr>
          <w:sz w:val="20"/>
          <w:szCs w:val="20"/>
          <w:color w:val="auto"/>
        </w:rPr>
      </w:pPr>
      <w:r>
        <w:rPr>
          <w:rFonts w:ascii="Times New Roman" w:cs="Times New Roman" w:eastAsia="Times New Roman" w:hAnsi="Times New Roman"/>
          <w:sz w:val="17"/>
          <w:szCs w:val="17"/>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67"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73" w:lineRule="exact"/>
        <w:rPr>
          <w:sz w:val="20"/>
          <w:szCs w:val="20"/>
          <w:color w:val="auto"/>
        </w:rPr>
      </w:pPr>
    </w:p>
    <w:p>
      <w:pPr>
        <w:ind w:right="360" w:firstLine="392"/>
        <w:spacing w:after="0" w:line="276" w:lineRule="auto"/>
        <w:rPr>
          <w:sz w:val="20"/>
          <w:szCs w:val="20"/>
          <w:color w:val="auto"/>
        </w:rPr>
      </w:pPr>
      <w:r>
        <w:rPr>
          <w:rFonts w:ascii="Times New Roman" w:cs="Times New Roman" w:eastAsia="Times New Roman" w:hAnsi="Times New Roman"/>
          <w:sz w:val="17"/>
          <w:szCs w:val="17"/>
          <w:color w:val="auto"/>
        </w:rPr>
        <w:t>As of March 31, 2024, there were 27.5 million stock-based awards issued and outstanding and 127.8 million shares available for issuance under the Dropbox Equity Incentive Plans, Dropbox 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 option and restricted stock activity for the Plans was as follows for the three months ended March 31, 2024:</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right="280"/>
        <w:spacing w:after="0" w:line="312" w:lineRule="auto"/>
        <w:rPr>
          <w:sz w:val="20"/>
          <w:szCs w:val="20"/>
          <w:color w:val="auto"/>
        </w:rPr>
      </w:pPr>
      <w:r>
        <w:rPr>
          <w:rFonts w:ascii="Times New Roman" w:cs="Times New Roman" w:eastAsia="Times New Roman" w:hAnsi="Times New Roman"/>
          <w:sz w:val="17"/>
          <w:szCs w:val="17"/>
          <w:color w:val="auto"/>
        </w:rPr>
        <w:t>Balance at December 31, 2023 Additional shares authorized</w:t>
      </w:r>
    </w:p>
    <w:p>
      <w:pPr>
        <w:spacing w:after="0" w:line="1" w:lineRule="exact"/>
        <w:rPr>
          <w:sz w:val="20"/>
          <w:szCs w:val="20"/>
          <w:color w:val="auto"/>
        </w:rPr>
      </w:pPr>
    </w:p>
    <w:p>
      <w:pPr>
        <w:ind w:left="20" w:right="180"/>
        <w:spacing w:after="0" w:line="247" w:lineRule="auto"/>
        <w:rPr>
          <w:sz w:val="20"/>
          <w:szCs w:val="20"/>
          <w:color w:val="auto"/>
        </w:rPr>
      </w:pPr>
      <w:r>
        <w:rPr>
          <w:rFonts w:ascii="Times New Roman" w:cs="Times New Roman" w:eastAsia="Times New Roman" w:hAnsi="Times New Roman"/>
          <w:sz w:val="17"/>
          <w:szCs w:val="17"/>
          <w:color w:val="auto"/>
        </w:rPr>
        <w:t>Options exercised and restricted stock units and awards released</w:t>
      </w:r>
    </w:p>
    <w:p>
      <w:pPr>
        <w:spacing w:after="0" w:line="3" w:lineRule="exact"/>
        <w:rPr>
          <w:sz w:val="20"/>
          <w:szCs w:val="20"/>
          <w:color w:val="auto"/>
        </w:rPr>
      </w:pPr>
    </w:p>
    <w:p>
      <w:pPr>
        <w:ind w:left="20" w:right="80"/>
        <w:spacing w:after="0" w:line="247" w:lineRule="auto"/>
        <w:rPr>
          <w:sz w:val="20"/>
          <w:szCs w:val="20"/>
          <w:color w:val="auto"/>
        </w:rPr>
      </w:pPr>
      <w:r>
        <w:rPr>
          <w:rFonts w:ascii="Times New Roman" w:cs="Times New Roman" w:eastAsia="Times New Roman" w:hAnsi="Times New Roman"/>
          <w:sz w:val="17"/>
          <w:szCs w:val="17"/>
          <w:color w:val="auto"/>
        </w:rPr>
        <w:t>Options and restricted stock units and awards canceled</w:t>
      </w:r>
    </w:p>
    <w:p>
      <w:pPr>
        <w:spacing w:after="0" w:line="3"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17"/>
          <w:szCs w:val="17"/>
          <w:color w:val="auto"/>
        </w:rPr>
        <w:t>Shares withheld related to net share settlement of restricted stock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units and awards</w:t>
      </w:r>
    </w:p>
    <w:p>
      <w:pPr>
        <w:spacing w:after="0" w:line="12" w:lineRule="exact"/>
        <w:rPr>
          <w:sz w:val="20"/>
          <w:szCs w:val="20"/>
          <w:color w:val="auto"/>
        </w:rPr>
      </w:pPr>
    </w:p>
    <w:p>
      <w:pPr>
        <w:ind w:left="20" w:right="80"/>
        <w:spacing w:after="0" w:line="241" w:lineRule="auto"/>
        <w:rPr>
          <w:sz w:val="20"/>
          <w:szCs w:val="20"/>
          <w:color w:val="auto"/>
        </w:rPr>
      </w:pPr>
      <w:r>
        <w:rPr>
          <w:rFonts w:ascii="Times New Roman" w:cs="Times New Roman" w:eastAsia="Times New Roman" w:hAnsi="Times New Roman"/>
          <w:sz w:val="17"/>
          <w:szCs w:val="17"/>
          <w:color w:val="auto"/>
        </w:rPr>
        <w:t>Options and restricted stock units and awards granted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Options outstanding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Restricted stock</w:t>
            </w: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136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7"/>
                <w:szCs w:val="17"/>
                <w:color w:val="auto"/>
              </w:rPr>
              <w:t>Number of</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Weighted-</w:t>
            </w:r>
          </w:p>
        </w:tc>
        <w:tc>
          <w:tcPr>
            <w:tcW w:w="124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7"/>
                <w:szCs w:val="17"/>
                <w:color w:val="auto"/>
              </w:rPr>
              <w:t>Weighted-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w w:val="98"/>
              </w:rPr>
              <w:t>shares</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6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rPr>
              <w:t>available for</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8"/>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124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rPr>
              <w:t>remaining</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53"/>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issuance</w:t>
            </w:r>
          </w:p>
        </w:tc>
        <w:tc>
          <w:tcPr>
            <w:tcW w:w="11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color w:val="auto"/>
              </w:rPr>
              <w:t>exercise</w:t>
            </w:r>
          </w:p>
        </w:tc>
        <w:tc>
          <w:tcPr>
            <w:tcW w:w="12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contractual</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Aggregate</w:t>
            </w:r>
          </w:p>
        </w:tc>
        <w:tc>
          <w:tcPr>
            <w:tcW w:w="11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3"/>
              <w:spacing w:after="0" w:line="170"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170"/>
        </w:trPr>
        <w:tc>
          <w:tcPr>
            <w:tcW w:w="136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14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color w:val="auto"/>
                <w:w w:val="99"/>
              </w:rPr>
              <w:t>price</w:t>
            </w:r>
          </w:p>
        </w:tc>
        <w:tc>
          <w:tcPr>
            <w:tcW w:w="124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term</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3"/>
              <w:spacing w:after="0" w:line="170" w:lineRule="exact"/>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35"/>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per share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years)</w:t>
            </w: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intrinsic value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per share</w:t>
            </w:r>
          </w:p>
        </w:tc>
        <w:tc>
          <w:tcPr>
            <w:tcW w:w="0" w:type="dxa"/>
            <w:vAlign w:val="bottom"/>
          </w:tcPr>
          <w:p>
            <w:pPr>
              <w:spacing w:after="0"/>
              <w:rPr>
                <w:sz w:val="1"/>
                <w:szCs w:val="1"/>
                <w:color w:val="auto"/>
              </w:rPr>
            </w:pPr>
          </w:p>
        </w:tc>
      </w:tr>
      <w:tr>
        <w:trPr>
          <w:trHeight w:val="215"/>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19"/>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0" w:type="dxa"/>
            <w:vAlign w:val="bottom"/>
          </w:tcPr>
          <w:p>
            <w:pPr>
              <w:spacing w:after="0"/>
              <w:rPr>
                <w:sz w:val="1"/>
                <w:szCs w:val="1"/>
                <w:color w:val="auto"/>
              </w:rPr>
            </w:pPr>
          </w:p>
        </w:tc>
      </w:tr>
      <w:tr>
        <w:trPr>
          <w:trHeight w:val="405"/>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0" w:type="dxa"/>
            <w:vAlign w:val="bottom"/>
          </w:tcPr>
          <w:p>
            <w:pPr>
              <w:spacing w:after="0"/>
              <w:rPr>
                <w:sz w:val="1"/>
                <w:szCs w:val="1"/>
                <w:color w:val="auto"/>
              </w:rPr>
            </w:pPr>
          </w:p>
        </w:tc>
      </w:tr>
      <w:tr>
        <w:trPr>
          <w:trHeight w:val="575"/>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3"/>
        </w:trPr>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-1458595</wp:posOffset>
            </wp:positionV>
            <wp:extent cx="7136765" cy="165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-1134745</wp:posOffset>
            </wp:positionV>
            <wp:extent cx="7136765"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25717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-620395</wp:posOffset>
            </wp:positionV>
            <wp:extent cx="7136765" cy="365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3651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40" w:space="40"/>
            <w:col w:w="87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500" w:type="dxa"/>
            <w:vAlign w:val="bottom"/>
            <w:tcBorders>
              <w:top w:val="single" w:sz="8" w:color="CCEEFF"/>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CCEEFF"/>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13.54</w:t>
            </w:r>
          </w:p>
        </w:tc>
        <w:tc>
          <w:tcPr>
            <w:tcW w:w="8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3.6</w:t>
            </w:r>
          </w:p>
        </w:tc>
        <w:tc>
          <w:tcPr>
            <w:tcW w:w="540" w:type="dxa"/>
            <w:vAlign w:val="bottom"/>
            <w:tcBorders>
              <w:top w:val="single" w:sz="8" w:color="CCEEFF"/>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CCEEFF"/>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500" w:type="dxa"/>
            <w:vAlign w:val="bottom"/>
            <w:tcBorders>
              <w:top w:val="single" w:sz="8" w:color="CCEEFF"/>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at March 31, 2024</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4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w:t>
            </w:r>
          </w:p>
        </w:tc>
        <w:tc>
          <w:tcPr>
            <w:tcW w:w="500" w:type="dxa"/>
            <w:vAlign w:val="bottom"/>
          </w:tcPr>
          <w:p>
            <w:pPr>
              <w:jc w:val="right"/>
              <w:ind w:right="19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53"/>
              <w:spacing w:after="0" w:line="194" w:lineRule="exact"/>
              <w:rPr>
                <w:sz w:val="20"/>
                <w:szCs w:val="20"/>
                <w:color w:val="auto"/>
              </w:rPr>
            </w:pPr>
            <w:r>
              <w:rPr>
                <w:rFonts w:ascii="Times New Roman" w:cs="Times New Roman" w:eastAsia="Times New Roman" w:hAnsi="Times New Roman"/>
                <w:sz w:val="17"/>
                <w:szCs w:val="17"/>
                <w:color w:val="auto"/>
              </w:rPr>
              <w:t>13.54</w:t>
            </w:r>
          </w:p>
        </w:tc>
        <w:tc>
          <w:tcPr>
            <w:tcW w:w="820" w:type="dxa"/>
            <w:vAlign w:val="bottom"/>
          </w:tcPr>
          <w:p>
            <w:pPr>
              <w:ind w:left="540"/>
              <w:spacing w:after="0" w:line="194" w:lineRule="exact"/>
              <w:rPr>
                <w:sz w:val="20"/>
                <w:szCs w:val="20"/>
                <w:color w:val="auto"/>
              </w:rPr>
            </w:pPr>
            <w:r>
              <w:rPr>
                <w:rFonts w:ascii="Times New Roman" w:cs="Times New Roman" w:eastAsia="Times New Roman" w:hAnsi="Times New Roman"/>
                <w:sz w:val="17"/>
                <w:szCs w:val="17"/>
                <w:color w:val="auto"/>
              </w:rPr>
              <w:t>3.6</w:t>
            </w:r>
          </w:p>
        </w:tc>
        <w:tc>
          <w:tcPr>
            <w:tcW w:w="540" w:type="dxa"/>
            <w:vAlign w:val="bottom"/>
          </w:tcPr>
          <w:p>
            <w:pPr>
              <w:jc w:val="right"/>
              <w:ind w:right="29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rPr>
              <w:t>1.3</w:t>
            </w:r>
          </w:p>
        </w:tc>
        <w:tc>
          <w:tcPr>
            <w:tcW w:w="1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213"/>
              <w:spacing w:after="0" w:line="194"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March 31, 2024</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following table summarizes information about the pre-tax intrinsic value of options exercised during the three months ended March 31, 2024 and 2023:</w:t>
      </w:r>
    </w:p>
    <w:p>
      <w:pPr>
        <w:spacing w:after="0" w:line="20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15875</wp:posOffset>
            </wp:positionV>
            <wp:extent cx="2306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line="11" w:lineRule="exact"/>
        <w:rPr>
          <w:sz w:val="20"/>
          <w:szCs w:val="20"/>
          <w:color w:val="auto"/>
        </w:rPr>
      </w:pPr>
    </w:p>
    <w:p>
      <w:pPr>
        <w:ind w:left="8320"/>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2023</w:t>
      </w:r>
    </w:p>
    <w:p>
      <w:pPr>
        <w:spacing w:after="0" w:line="34" w:lineRule="exact"/>
        <w:rPr>
          <w:sz w:val="20"/>
          <w:szCs w:val="20"/>
          <w:color w:val="auto"/>
        </w:rPr>
      </w:pPr>
    </w:p>
    <w:p>
      <w:pPr>
        <w:ind w:left="20"/>
        <w:spacing w:after="0"/>
        <w:tabs>
          <w:tab w:leader="none" w:pos="7600" w:val="left"/>
          <w:tab w:leader="none" w:pos="9060" w:val="left"/>
          <w:tab w:leader="none" w:pos="9480" w:val="left"/>
          <w:tab w:leader="none" w:pos="10940" w:val="left"/>
        </w:tabs>
        <w:rPr>
          <w:sz w:val="20"/>
          <w:szCs w:val="20"/>
          <w:color w:val="auto"/>
        </w:rPr>
      </w:pPr>
      <w:r>
        <w:rPr>
          <w:rFonts w:ascii="Times New Roman" w:cs="Times New Roman" w:eastAsia="Times New Roman" w:hAnsi="Times New Roman"/>
          <w:sz w:val="17"/>
          <w:szCs w:val="17"/>
          <w:color w:val="auto"/>
        </w:rPr>
        <w:t>Intrinsic value of options exercised</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0.2</w:t>
        <w:tab/>
        <w:t>$</w:t>
      </w:r>
      <w:r>
        <w:rPr>
          <w:sz w:val="20"/>
          <w:szCs w:val="20"/>
          <w:color w:val="auto"/>
        </w:rPr>
        <w:tab/>
      </w:r>
      <w:r>
        <w:rPr>
          <w:rFonts w:ascii="Times New Roman" w:cs="Times New Roman" w:eastAsia="Times New Roman" w:hAnsi="Times New Roman"/>
          <w:sz w:val="17"/>
          <w:szCs w:val="17"/>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765" cy="149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315" w:lineRule="exact"/>
        <w:rPr>
          <w:sz w:val="20"/>
          <w:szCs w:val="20"/>
          <w:color w:val="auto"/>
        </w:rPr>
      </w:pPr>
    </w:p>
    <w:p>
      <w:pPr>
        <w:jc w:val="both"/>
        <w:ind w:right="540" w:firstLine="392"/>
        <w:spacing w:after="0" w:line="276" w:lineRule="auto"/>
        <w:rPr>
          <w:sz w:val="20"/>
          <w:szCs w:val="20"/>
          <w:color w:val="auto"/>
        </w:rPr>
      </w:pPr>
      <w:r>
        <w:rPr>
          <w:rFonts w:ascii="Times New Roman" w:cs="Times New Roman" w:eastAsia="Times New Roman" w:hAnsi="Times New Roman"/>
          <w:sz w:val="17"/>
          <w:szCs w:val="17"/>
          <w:color w:val="auto"/>
        </w:rPr>
        <w:t>As of March 31, 2024, unamortized stock-based compensation related to unvested stock options, restricted stock awards (excluding the Co-Founder Grant), and RSUs was $624.0 million. The weighted-average period over which such compensation expense will be recognized if the requisite service is provided is approximately 2.5 years as of March 31, 2024.</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Co-Founder Grant</w:t>
      </w:r>
    </w:p>
    <w:p>
      <w:pPr>
        <w:spacing w:after="0" w:line="120"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8" w:lineRule="exact"/>
        <w:rPr>
          <w:sz w:val="20"/>
          <w:szCs w:val="20"/>
          <w:color w:val="auto"/>
        </w:rPr>
      </w:pPr>
    </w:p>
    <w:p>
      <w:pPr>
        <w:jc w:val="both"/>
        <w:ind w:right="60" w:firstLine="392"/>
        <w:spacing w:after="0" w:line="269" w:lineRule="auto"/>
        <w:rPr>
          <w:sz w:val="20"/>
          <w:szCs w:val="20"/>
          <w:color w:val="auto"/>
        </w:rPr>
      </w:pPr>
      <w:r>
        <w:rPr>
          <w:rFonts w:ascii="Times New Roman" w:cs="Times New Roman" w:eastAsia="Times New Roman" w:hAnsi="Times New Roman"/>
          <w:sz w:val="17"/>
          <w:szCs w:val="17"/>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95"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73"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spacing w:after="0" w:line="195" w:lineRule="exact"/>
        <w:rPr>
          <w:sz w:val="20"/>
          <w:szCs w:val="20"/>
          <w:color w:val="auto"/>
        </w:rPr>
      </w:pPr>
    </w:p>
    <w:p>
      <w:pPr>
        <w:ind w:firstLine="392"/>
        <w:spacing w:after="0" w:line="288" w:lineRule="auto"/>
        <w:rPr>
          <w:sz w:val="20"/>
          <w:szCs w:val="20"/>
          <w:color w:val="auto"/>
        </w:rPr>
      </w:pPr>
      <w:r>
        <w:rPr>
          <w:rFonts w:ascii="Times New Roman" w:cs="Times New Roman" w:eastAsia="Times New Roman" w:hAnsi="Times New Roman"/>
          <w:sz w:val="17"/>
          <w:szCs w:val="17"/>
          <w:color w:val="auto"/>
        </w:rPr>
        <w:t>The Company recognized stock-based compensation expense related to the Co-Founder Grant of $1.1 million and $2.2 million during the three months ended March 31, 2024 and 2023, respectively. As of March 31, 2024, unamortized stock-based compensation expense related to the Co-Founder Grant was $1.3 million.</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Net Income Per Share</w:t>
      </w:r>
    </w:p>
    <w:p>
      <w:pPr>
        <w:spacing w:after="0" w:line="251"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8"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attributable to common stockholders by the weighted-average number of shares of the Class A and Class B common stock outstanding.</w:t>
      </w:r>
    </w:p>
    <w:p>
      <w:pPr>
        <w:spacing w:after="0" w:line="173"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97" w:lineRule="exact"/>
        <w:rPr>
          <w:sz w:val="20"/>
          <w:szCs w:val="20"/>
          <w:color w:val="auto"/>
        </w:rPr>
      </w:pPr>
    </w:p>
    <w:p>
      <w:pPr>
        <w:ind w:right="360" w:firstLine="392"/>
        <w:spacing w:after="0" w:line="295" w:lineRule="auto"/>
        <w:rPr>
          <w:sz w:val="20"/>
          <w:szCs w:val="20"/>
          <w:color w:val="auto"/>
        </w:rPr>
      </w:pPr>
      <w:r>
        <w:rPr>
          <w:rFonts w:ascii="Times New Roman" w:cs="Times New Roman" w:eastAsia="Times New Roman" w:hAnsi="Times New Roman"/>
          <w:sz w:val="17"/>
          <w:szCs w:val="17"/>
          <w:color w:val="auto"/>
        </w:rPr>
        <w:t>The numerators and denominators of the basic and diluted EPS computations for the Company's common stock are calculated as follows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53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Class A</w:t>
            </w:r>
          </w:p>
        </w:tc>
        <w:tc>
          <w:tcPr>
            <w:tcW w:w="26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Class B</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Class A</w:t>
            </w:r>
          </w:p>
        </w:tc>
        <w:tc>
          <w:tcPr>
            <w:tcW w:w="280" w:type="dxa"/>
            <w:vAlign w:val="bottom"/>
          </w:tcPr>
          <w:p>
            <w:pPr>
              <w:spacing w:after="0"/>
              <w:rPr>
                <w:sz w:val="18"/>
                <w:szCs w:val="18"/>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Reallocation of net income as a result of conversion of Class B to Class A</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Reallocation of net income to Class B common stock</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 for diluted EPS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132.3</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69.0</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effect of dilutive restricted stock units and awards and</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to Class A common stock</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2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diluted net income per share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per common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420" w:firstLine="392"/>
        <w:spacing w:after="0" w:line="295" w:lineRule="auto"/>
        <w:rPr>
          <w:sz w:val="20"/>
          <w:szCs w:val="20"/>
          <w:color w:val="auto"/>
        </w:rPr>
      </w:pPr>
      <w:r>
        <w:rPr>
          <w:rFonts w:ascii="Times New Roman" w:cs="Times New Roman" w:eastAsia="Times New Roman" w:hAnsi="Times New Roman"/>
          <w:sz w:val="17"/>
          <w:szCs w:val="17"/>
          <w:color w:val="auto"/>
        </w:rPr>
        <w:t>The weighted-average impact of potentially dilutive securities that were not included in the diluted per share calculations because they would be anti-dilutive was as follows:</w:t>
      </w:r>
    </w:p>
    <w:p>
      <w:pPr>
        <w:spacing w:after="0" w:line="20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60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awards</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2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2"/>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Co-Founder Grant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2"/>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0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w:t>
            </w:r>
          </w:p>
        </w:tc>
      </w:tr>
      <w:tr>
        <w:trPr>
          <w:trHeight w:val="20"/>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251" w:lineRule="exact"/>
        <w:rPr>
          <w:sz w:val="20"/>
          <w:szCs w:val="20"/>
          <w:color w:val="auto"/>
        </w:rPr>
      </w:pPr>
    </w:p>
    <w:p>
      <w:pPr>
        <w:ind w:right="100" w:firstLine="392"/>
        <w:spacing w:after="0" w:line="276" w:lineRule="auto"/>
        <w:rPr>
          <w:sz w:val="20"/>
          <w:szCs w:val="20"/>
          <w:color w:val="auto"/>
        </w:rPr>
      </w:pPr>
      <w:r>
        <w:rPr>
          <w:rFonts w:ascii="Times New Roman" w:cs="Times New Roman" w:eastAsia="Times New Roman" w:hAnsi="Times New Roman"/>
          <w:sz w:val="17"/>
          <w:szCs w:val="17"/>
          <w:color w:val="auto"/>
        </w:rPr>
        <w:t>The Company computed the year-to-date income tax provision by applying the estimated annual effective tax rate to the year-to-date pre-tax income and adjusting for discrete tax items in the period. The Company's provision for income taxes was $18.8 million and $18.6 million for the three months ended March 31, 2024 and 2023, respectively.</w:t>
      </w:r>
    </w:p>
    <w:p>
      <w:pPr>
        <w:spacing w:after="0" w:line="188"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For the three months ended March 31, 2024, and March 31, 2023, the difference between the U.S. statutory rate and the Company's effective tax rate was primarily due to jurisdictional mix of earnings, tax credits, and state income taxes.</w:t>
      </w:r>
    </w:p>
    <w:p>
      <w:pPr>
        <w:spacing w:after="0" w:line="173"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2024, the Company continues to maintain valuation allowances against its deferred tax assets in certain states and one foreign jurisdiction.</w:t>
      </w:r>
    </w:p>
    <w:p>
      <w:pPr>
        <w:spacing w:after="0" w:line="195"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73"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Unrecognized tax benefits increased by $7.2 million during the three months ended March 31, 2024. The increase was primarily driven by a gross increase in unrecognized tax benefits related to tax positions taken in the period of approximately $6.8 million, of which $5.1 million, if recognized, would affect the Company's effective tax rate and $1.7 million would result in adjustment to deferred tax assets with corresponding adjustments to the valuation allowance.</w:t>
      </w:r>
    </w:p>
    <w:p>
      <w:pPr>
        <w:spacing w:after="0" w:line="188" w:lineRule="exact"/>
        <w:rPr>
          <w:sz w:val="20"/>
          <w:szCs w:val="20"/>
          <w:color w:val="auto"/>
        </w:rPr>
      </w:pPr>
    </w:p>
    <w:p>
      <w:pPr>
        <w:jc w:val="both"/>
        <w:ind w:right="160" w:firstLine="392"/>
        <w:spacing w:after="0" w:line="276" w:lineRule="auto"/>
        <w:rPr>
          <w:sz w:val="20"/>
          <w:szCs w:val="20"/>
          <w:color w:val="auto"/>
        </w:rPr>
      </w:pPr>
      <w:r>
        <w:rPr>
          <w:rFonts w:ascii="Times New Roman" w:cs="Times New Roman" w:eastAsia="Times New Roman" w:hAnsi="Times New Roman"/>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188" w:lineRule="exact"/>
        <w:rPr>
          <w:sz w:val="20"/>
          <w:szCs w:val="20"/>
          <w:color w:val="auto"/>
        </w:rPr>
      </w:pPr>
    </w:p>
    <w:p>
      <w:pPr>
        <w:ind w:right="40" w:firstLine="392"/>
        <w:spacing w:after="0" w:line="261"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have begun to adopt these proposals. In December 2022, the Council of the European Union (“EU”) formally adopted the EU Minimum Tax Directive, which would require member states to adopt Pillar Two into their domestic law effective for fiscal years starting on or after December 31, 2023. Ireland and certain jurisdictions in which we 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 The Company will continue to monitor and reflect the impact of such legislative changes in future financial statements as appropriate.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14. Geographic Areas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44"/>
        </w:trPr>
        <w:tc>
          <w:tcPr>
            <w:tcW w:w="7160" w:type="dxa"/>
            <w:vAlign w:val="bottom"/>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4"/>
        </w:trPr>
        <w:tc>
          <w:tcPr>
            <w:tcW w:w="71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following table sets forth long-lived assets by geographic area:</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84"/>
        </w:trPr>
        <w:tc>
          <w:tcPr>
            <w:tcW w:w="7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760" w:type="dxa"/>
            <w:vAlign w:val="bottom"/>
            <w:tcBorders>
              <w:bottom w:val="single" w:sz="8" w:color="auto"/>
            </w:tcBorders>
          </w:tcPr>
          <w:p>
            <w:pPr>
              <w:spacing w:after="0"/>
              <w:rPr>
                <w:sz w:val="24"/>
                <w:szCs w:val="24"/>
                <w:color w:val="auto"/>
              </w:rPr>
            </w:pPr>
          </w:p>
        </w:tc>
      </w:tr>
      <w:tr>
        <w:trPr>
          <w:trHeight w:val="215"/>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20" w:type="dxa"/>
            <w:vAlign w:val="bottom"/>
          </w:tcPr>
          <w:p>
            <w:pPr>
              <w:spacing w:after="0"/>
              <w:rPr>
                <w:sz w:val="18"/>
                <w:szCs w:val="18"/>
                <w:color w:val="auto"/>
              </w:rPr>
            </w:pP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w:t>
            </w:r>
          </w:p>
        </w:tc>
      </w:tr>
      <w:tr>
        <w:trPr>
          <w:trHeight w:val="222"/>
        </w:trPr>
        <w:tc>
          <w:tcPr>
            <w:tcW w:w="716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right="660" w:firstLine="5"/>
        <w:spacing w:after="0"/>
        <w:tabs>
          <w:tab w:leader="none" w:pos="16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other than the United States had a property and equipment balance greater than 10% of total property and equipment, net, as of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Revenue by geography is generally based on the address of the customer as defined in the Company’s subscription agreement. The following table sets forth revenue by geographic area for the three months ended March 31, 2024 and 2023.</w:t>
      </w:r>
    </w:p>
    <w:p>
      <w:pPr>
        <w:spacing w:after="0" w:line="20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6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w:t>
            </w:r>
          </w:p>
        </w:tc>
      </w:tr>
      <w:tr>
        <w:trPr>
          <w:trHeight w:val="222"/>
        </w:trPr>
        <w:tc>
          <w:tcPr>
            <w:tcW w:w="76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265.2</w:t>
            </w:r>
          </w:p>
        </w:tc>
      </w:tr>
      <w:tr>
        <w:trPr>
          <w:trHeight w:val="24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left="160" w:hanging="155"/>
        <w:spacing w:after="0"/>
        <w:tabs>
          <w:tab w:leader="none" w:pos="1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No single country outside of the United States accounted for more than 10% of total revenue during the three months ended March 31, 2024 and 2023, respectively.</w:t>
      </w:r>
    </w:p>
    <w:p>
      <w:pPr>
        <w:spacing w:after="0" w:line="200" w:lineRule="exact"/>
        <w:rPr>
          <w:rFonts w:ascii="Times New Roman" w:cs="Times New Roman" w:eastAsia="Times New Roman" w:hAnsi="Times New Roman"/>
          <w:sz w:val="18"/>
          <w:szCs w:val="18"/>
          <w:color w:val="auto"/>
          <w:vertAlign w:val="superscript"/>
        </w:rPr>
      </w:pPr>
    </w:p>
    <w:p>
      <w:pPr>
        <w:spacing w:after="0" w:line="349"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right="960" w:firstLine="392"/>
        <w:spacing w:after="0" w:line="295" w:lineRule="auto"/>
        <w:rPr>
          <w:sz w:val="20"/>
          <w:szCs w:val="20"/>
          <w:color w:val="auto"/>
        </w:rPr>
      </w:pPr>
      <w:r>
        <w:rPr>
          <w:rFonts w:ascii="Times New Roman" w:cs="Times New Roman" w:eastAsia="Times New Roman" w:hAnsi="Times New Roman"/>
          <w:sz w:val="17"/>
          <w:szCs w:val="17"/>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73"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173"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By solving these universal problems, we’ve become invaluable to our users. The popularity of our platform allows us to scale efficiently. We’ve built a thriving global business with 18.16 million paying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Subscription Plans</w:t>
      </w:r>
    </w:p>
    <w:p>
      <w:pPr>
        <w:spacing w:after="0" w:line="120" w:lineRule="exact"/>
        <w:rPr>
          <w:sz w:val="20"/>
          <w:szCs w:val="20"/>
          <w:color w:val="auto"/>
        </w:rPr>
      </w:pPr>
    </w:p>
    <w:p>
      <w:pPr>
        <w:ind w:right="100" w:firstLine="392"/>
        <w:spacing w:after="0" w:line="262" w:lineRule="auto"/>
        <w:rPr>
          <w:sz w:val="20"/>
          <w:szCs w:val="20"/>
          <w:color w:val="auto"/>
        </w:rPr>
      </w:pPr>
      <w:r>
        <w:rPr>
          <w:rFonts w:ascii="Times New Roman" w:cs="Times New Roman" w:eastAsia="Times New Roman" w:hAnsi="Times New Roman"/>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Professional or Essentials plan, or purchase multiple licenses through our Family plan or our Standard, Advanced, Business, Business Plus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1"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Our premium subscription plans, such as Professional and Advanced, provide more functionality than our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95" w:lineRule="exact"/>
        <w:rPr>
          <w:sz w:val="20"/>
          <w:szCs w:val="20"/>
          <w:color w:val="auto"/>
        </w:rPr>
      </w:pPr>
    </w:p>
    <w:p>
      <w:pPr>
        <w:ind w:right="20" w:firstLine="392"/>
        <w:spacing w:after="0" w:line="276" w:lineRule="auto"/>
        <w:rPr>
          <w:sz w:val="20"/>
          <w:szCs w:val="20"/>
          <w:color w:val="auto"/>
        </w:rPr>
      </w:pPr>
      <w:r>
        <w:rPr>
          <w:rFonts w:ascii="Times New Roman" w:cs="Times New Roman" w:eastAsia="Times New Roman" w:hAnsi="Times New Roman"/>
          <w:sz w:val="17"/>
          <w:szCs w:val="17"/>
          <w:color w:val="auto"/>
        </w:rPr>
        <w:t>Our bundle subscription plans, such as Dropbox Essentials for solo professionals, Dropbox Business for small teams, and Dropbox Business Plus for larger teams, provide professionals and teams the ability to consolidate multiple offerings such as PDF editing, eSignature capabilities, document analytics, video collaboration tools, and advanced security functionality into a single place to manage their content.</w:t>
      </w:r>
    </w:p>
    <w:p>
      <w:pPr>
        <w:spacing w:after="0" w:line="188"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spacing w:after="0" w:line="195"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DocSend customers at the beginning of their respective terms and recognize revenue ratably over the subscription period. DocSend primarily sells within the United States, and the majority of sales are in U.S. dollars.</w:t>
      </w:r>
    </w:p>
    <w:p>
      <w:pPr>
        <w:spacing w:after="0" w:line="173"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20"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Drive new signups</w:t>
      </w:r>
    </w:p>
    <w:p>
      <w:pPr>
        <w:spacing w:after="0" w:line="253" w:lineRule="exact"/>
        <w:rPr>
          <w:sz w:val="20"/>
          <w:szCs w:val="20"/>
          <w:color w:val="auto"/>
        </w:rPr>
      </w:pPr>
    </w:p>
    <w:p>
      <w:pPr>
        <w:ind w:right="280" w:firstLine="392"/>
        <w:spacing w:after="0" w:line="276" w:lineRule="auto"/>
        <w:rPr>
          <w:sz w:val="20"/>
          <w:szCs w:val="20"/>
          <w:color w:val="auto"/>
        </w:rPr>
      </w:pPr>
      <w:r>
        <w:rPr>
          <w:rFonts w:ascii="Times New Roman" w:cs="Times New Roman" w:eastAsia="Times New Roman" w:hAnsi="Times New Roman"/>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 conversion of registered users to our paid subscription plans</w:t>
      </w:r>
    </w:p>
    <w:p>
      <w:pPr>
        <w:spacing w:after="0" w:line="253"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Upgrade and expand existing customers</w:t>
      </w:r>
    </w:p>
    <w:p>
      <w:pPr>
        <w:spacing w:after="0" w:line="253"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We offer a range of paid subscription plans, from Plus, Professional, Essentials and Family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FormSwift.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Virtual First</w:t>
      </w:r>
    </w:p>
    <w:p>
      <w:pPr>
        <w:spacing w:after="0" w:line="251"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7"/>
          <w:szCs w:val="17"/>
          <w:color w:val="auto"/>
        </w:rPr>
        <w:t>In October 2020, we announced our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that were repurposed into collaborative spaces called “Dropbox Studios” or new, flexible spaces known as “On-Demand Spaces”. Consistent with this strategy, we have retained a portion of our office space while the remainder is being or will be subleased.</w:t>
      </w:r>
    </w:p>
    <w:p>
      <w:pPr>
        <w:spacing w:after="0" w:line="197"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During the three months ended March 31, 2024 and 2023, we did not recognize any impairment charge related to right-of-use assets and other lease related property and equipment assets. See Note 8, "Leases" for additional information. We may incur additional impairment charges depending on the state of the corporate real estate market or shifts in our Virtual First strategy. In addition to generating sublease income, we expect that as a result of our Virtual First model, we will continue to see savings in certain areas, including reductions in facilities related costs and depreciation expense.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Impact of Macroeconomic Factors on our Business</w:t>
      </w:r>
    </w:p>
    <w:p>
      <w:pPr>
        <w:spacing w:after="0" w:line="253" w:lineRule="exact"/>
        <w:rPr>
          <w:sz w:val="20"/>
          <w:szCs w:val="20"/>
          <w:color w:val="auto"/>
        </w:rPr>
      </w:pPr>
    </w:p>
    <w:p>
      <w:pPr>
        <w:ind w:right="80" w:firstLine="392"/>
        <w:spacing w:after="0" w:line="276" w:lineRule="auto"/>
        <w:rPr>
          <w:sz w:val="20"/>
          <w:szCs w:val="20"/>
          <w:color w:val="auto"/>
        </w:rPr>
      </w:pPr>
      <w:r>
        <w:rPr>
          <w:rFonts w:ascii="Times New Roman" w:cs="Times New Roman" w:eastAsia="Times New Roman" w:hAnsi="Times New Roman"/>
          <w:sz w:val="17"/>
          <w:szCs w:val="17"/>
          <w:color w:val="auto"/>
        </w:rPr>
        <w:t>Our overall performance depends in part on worldwide economic and geopolitical conditions and their impact on customer behavior. Worsening economic conditions including inflation, higher interest rates, fluctuations in foreign exchange rates, and other conditions may adversely impact our results of operations and financial performance.</w:t>
      </w:r>
    </w:p>
    <w:p>
      <w:pPr>
        <w:spacing w:after="0" w:line="188"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2024, we saw seasonal strength within our FormSwift business, and better than anticipated performance within DocSend and Dropbox Sign. Additionally, we continued to see pressure across Individual and Teams plans as businesses are facing a challenging operating environment.</w:t>
      </w:r>
    </w:p>
    <w:p>
      <w:pPr>
        <w:spacing w:after="0" w:line="188"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Our results of operations and cash flows are also subject to fluctuations due to changes in foreign currency exchange rates relative to U.S. dollars, our reporting currency, as well as changes in interest rates. Volatile market conditions, directly or indirectly related to macroeconomic or geopolitical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Due to our subscription-based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Cybersecurity</w:t>
      </w:r>
    </w:p>
    <w:p>
      <w:pPr>
        <w:spacing w:after="0" w:line="253"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In April 2024, we became aware of unauthorized access to the Dropbox Sign production environment, as previously disclosed in our Form 8-K filed with the Securities and Exchange Commission on May 1, 2024. Our investigation of this incident is ongoing and we may discover other impacts or new events related to this incident may occur that could affect our business operations, financial condition or results of operation.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51"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Total annual recurring revenue</w:t>
      </w:r>
    </w:p>
    <w:p>
      <w:pPr>
        <w:spacing w:after="0" w:line="122"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97"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Our ARR fluctuates and may decline in some periods as compared to prior periods. For example, ARR increased in the first quarter of 2024 as compared to the fourth quarter of 2023 as a result of seasonality within our business. We expect to drive ARR growth, however the pace of our future growth may be lower relative to prior periods.</w:t>
      </w:r>
    </w:p>
    <w:p>
      <w:pPr>
        <w:spacing w:after="0" w:line="188"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spacing w:after="0" w:line="195"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Total ARR increased for the period ended March 31, 2024, compared to the period ended March 31, 2023 primarily driven by an increase in paying users through our outbound channels, as well as FormSwift seasonality.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00" w:firstLine="392"/>
        <w:spacing w:after="0" w:line="295" w:lineRule="auto"/>
        <w:rPr>
          <w:sz w:val="20"/>
          <w:szCs w:val="20"/>
          <w:color w:val="auto"/>
        </w:rPr>
      </w:pPr>
      <w:r>
        <w:rPr>
          <w:rFonts w:ascii="Times New Roman" w:cs="Times New Roman" w:eastAsia="Times New Roman" w:hAnsi="Times New Roman"/>
          <w:sz w:val="17"/>
          <w:szCs w:val="17"/>
          <w:color w:val="auto"/>
        </w:rPr>
        <w:t>The below tables set forth our Total ARR using the exchange rates set at the beginning of the applicable year, as well as on a constant currency basis relative to the exchange rates used in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tcPr>
          <w:p>
            <w:pPr>
              <w:spacing w:after="0"/>
              <w:rPr>
                <w:sz w:val="19"/>
                <w:szCs w:val="19"/>
                <w:color w:val="auto"/>
              </w:rPr>
            </w:pPr>
          </w:p>
        </w:tc>
      </w:tr>
      <w:tr>
        <w:trPr>
          <w:trHeight w:val="215"/>
        </w:trPr>
        <w:tc>
          <w:tcPr>
            <w:tcW w:w="5060" w:type="dxa"/>
            <w:vAlign w:val="bottom"/>
          </w:tcPr>
          <w:p>
            <w:pPr>
              <w:spacing w:after="0"/>
              <w:rPr>
                <w:sz w:val="18"/>
                <w:szCs w:val="18"/>
                <w:color w:val="auto"/>
              </w:rPr>
            </w:pP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2023</w:t>
            </w:r>
          </w:p>
        </w:tc>
      </w:tr>
      <w:tr>
        <w:trPr>
          <w:trHeight w:val="215"/>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2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$2,556</w:t>
            </w:r>
          </w:p>
        </w:tc>
        <w:tc>
          <w:tcPr>
            <w:tcW w:w="2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$2,523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w:t>
            </w:r>
          </w:p>
        </w:tc>
      </w:tr>
      <w:tr>
        <w:trPr>
          <w:trHeight w:val="575"/>
        </w:trPr>
        <w:tc>
          <w:tcPr>
            <w:tcW w:w="506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tcPr>
          <w:p>
            <w:pPr>
              <w:spacing w:after="0"/>
              <w:rPr>
                <w:sz w:val="24"/>
                <w:szCs w:val="24"/>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Constant Currency</w:t>
            </w: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2023</w:t>
            </w:r>
          </w:p>
        </w:tc>
      </w:tr>
      <w:tr>
        <w:trPr>
          <w:trHeight w:val="215"/>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2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$2,556</w:t>
            </w:r>
          </w:p>
        </w:tc>
        <w:tc>
          <w:tcPr>
            <w:tcW w:w="2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$2,540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w:t>
            </w:r>
          </w:p>
        </w:tc>
      </w:tr>
    </w:tbl>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Paying users</w:t>
      </w:r>
    </w:p>
    <w:p>
      <w:pPr>
        <w:spacing w:after="0" w:line="109" w:lineRule="exact"/>
        <w:rPr>
          <w:sz w:val="20"/>
          <w:szCs w:val="20"/>
          <w:color w:val="auto"/>
        </w:rPr>
      </w:pPr>
    </w:p>
    <w:p>
      <w:pPr>
        <w:ind w:firstLine="392"/>
        <w:spacing w:after="0" w:line="246" w:lineRule="auto"/>
        <w:rPr>
          <w:sz w:val="20"/>
          <w:szCs w:val="20"/>
          <w:color w:val="auto"/>
        </w:rPr>
      </w:pPr>
      <w:r>
        <w:rPr>
          <w:rFonts w:ascii="Times New Roman" w:cs="Times New Roman" w:eastAsia="Times New Roman" w:hAnsi="Times New Roman"/>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spacing w:after="0" w:line="200" w:lineRule="exact"/>
        <w:rPr>
          <w:sz w:val="20"/>
          <w:szCs w:val="20"/>
          <w:color w:val="auto"/>
        </w:rPr>
      </w:pPr>
    </w:p>
    <w:p>
      <w:pPr>
        <w:spacing w:after="0" w:line="214"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For FormSwift and DocSend, we define paying users as the number of users who have active paid licenses for access to our platform as of the end of the period.</w:t>
      </w:r>
    </w:p>
    <w:p>
      <w:pPr>
        <w:spacing w:after="0" w:line="173"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7"/>
          <w:szCs w:val="17"/>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97" w:lineRule="exact"/>
        <w:rPr>
          <w:sz w:val="20"/>
          <w:szCs w:val="20"/>
          <w:color w:val="auto"/>
        </w:rPr>
      </w:pPr>
    </w:p>
    <w:p>
      <w:pPr>
        <w:ind w:right="180" w:firstLine="392"/>
        <w:spacing w:after="0" w:line="295" w:lineRule="auto"/>
        <w:rPr>
          <w:sz w:val="20"/>
          <w:szCs w:val="20"/>
          <w:color w:val="auto"/>
        </w:rPr>
      </w:pPr>
      <w:r>
        <w:rPr>
          <w:rFonts w:ascii="Times New Roman" w:cs="Times New Roman" w:eastAsia="Times New Roman" w:hAnsi="Times New Roman"/>
          <w:sz w:val="17"/>
          <w:szCs w:val="17"/>
          <w:color w:val="auto"/>
        </w:rPr>
        <w:t>The number of paying users as of March 31, 2024 grew as compared to December 31, 2023 and March 31, 2023, largely from outbound channels as well as from FormSwift seasonality. However, our overall paying user growth rate has declined and may decline in the future.</w:t>
      </w:r>
    </w:p>
    <w:p>
      <w:pPr>
        <w:spacing w:after="0" w:line="173" w:lineRule="exact"/>
        <w:rPr>
          <w:sz w:val="20"/>
          <w:szCs w:val="20"/>
          <w:color w:val="auto"/>
        </w:rPr>
      </w:pPr>
    </w:p>
    <w:p>
      <w:pPr>
        <w:ind w:right="320" w:firstLine="392"/>
        <w:spacing w:after="0" w:line="276" w:lineRule="auto"/>
        <w:rPr>
          <w:sz w:val="20"/>
          <w:szCs w:val="20"/>
          <w:color w:val="auto"/>
        </w:rPr>
      </w:pPr>
      <w:r>
        <w:rPr>
          <w:rFonts w:ascii="Times New Roman" w:cs="Times New Roman" w:eastAsia="Times New Roman" w:hAnsi="Times New Roman"/>
          <w:sz w:val="17"/>
          <w:szCs w:val="17"/>
          <w:color w:val="auto"/>
        </w:rPr>
        <w:t>The total number of paying users fluctuates and may increase in some periods as compared to prior periods. For example, paying users increased in the first quarter of 2024 as compared to the fourth quarter of 2023 primarily as a result of outbound sales channels as well as expected seasonality within our business. We expect to drive paying user growth, however the pace of our future growth may be lower relative to prior periods.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the number of paying users as of March 31, 2024, December 31, 2023, and March 31,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60" w:type="dxa"/>
            <w:vAlign w:val="bottom"/>
            <w:tcBorders>
              <w:bottom w:val="single" w:sz="8" w:color="auto"/>
            </w:tcBorders>
          </w:tcPr>
          <w:p>
            <w:pPr>
              <w:spacing w:after="0"/>
              <w:rPr>
                <w:sz w:val="19"/>
                <w:szCs w:val="19"/>
                <w:color w:val="auto"/>
              </w:rPr>
            </w:pPr>
          </w:p>
        </w:tc>
      </w:tr>
      <w:tr>
        <w:trPr>
          <w:trHeight w:val="215"/>
        </w:trPr>
        <w:tc>
          <w:tcPr>
            <w:tcW w:w="5080" w:type="dxa"/>
            <w:vAlign w:val="bottom"/>
          </w:tcPr>
          <w:p>
            <w:pPr>
              <w:spacing w:after="0"/>
              <w:rPr>
                <w:sz w:val="18"/>
                <w:szCs w:val="18"/>
                <w:color w:val="auto"/>
              </w:rPr>
            </w:pPr>
          </w:p>
        </w:tc>
        <w:tc>
          <w:tcPr>
            <w:tcW w:w="2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2023</w:t>
            </w:r>
          </w:p>
        </w:tc>
      </w:tr>
      <w:tr>
        <w:trPr>
          <w:trHeight w:val="215"/>
        </w:trPr>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jc w:val="center"/>
              <w:ind w:right="1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60" w:type="dxa"/>
            <w:vAlign w:val="bottom"/>
          </w:tcPr>
          <w:p>
            <w:pPr>
              <w:spacing w:after="0"/>
              <w:rPr>
                <w:sz w:val="18"/>
                <w:szCs w:val="18"/>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Paying users</w:t>
            </w:r>
          </w:p>
        </w:tc>
        <w:tc>
          <w:tcPr>
            <w:tcW w:w="2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18.16</w:t>
            </w:r>
          </w:p>
        </w:tc>
        <w:tc>
          <w:tcPr>
            <w:tcW w:w="21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18.12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Average revenue per paying user</w:t>
      </w:r>
    </w:p>
    <w:p>
      <w:pPr>
        <w:spacing w:after="0" w:line="122"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300"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As a result of an increased mix of sales towards our higher-priced subscription plans, and FormSwift seasonality we experienced an increase in our average revenue per paying user for the three months ended March 31, 2024, compared to the three months ended March 31, 2023.</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below table sets forth our ARPU for the three months ended March 31, 2024 and 2023.</w:t>
      </w:r>
    </w:p>
    <w:p>
      <w:pPr>
        <w:spacing w:after="0" w:line="28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15875</wp:posOffset>
            </wp:positionV>
            <wp:extent cx="23069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line="11" w:lineRule="exact"/>
        <w:rPr>
          <w:sz w:val="20"/>
          <w:szCs w:val="20"/>
          <w:color w:val="auto"/>
        </w:rPr>
      </w:pPr>
    </w:p>
    <w:p>
      <w:pPr>
        <w:ind w:left="8320"/>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2023</w:t>
      </w:r>
    </w:p>
    <w:p>
      <w:pPr>
        <w:spacing w:after="0" w:line="34" w:lineRule="exact"/>
        <w:rPr>
          <w:sz w:val="20"/>
          <w:szCs w:val="20"/>
          <w:color w:val="auto"/>
        </w:rPr>
      </w:pPr>
    </w:p>
    <w:p>
      <w:pPr>
        <w:ind w:left="20"/>
        <w:spacing w:after="0"/>
        <w:tabs>
          <w:tab w:leader="none" w:pos="7600" w:val="left"/>
          <w:tab w:leader="none" w:pos="8800" w:val="left"/>
          <w:tab w:leader="none" w:pos="9480" w:val="left"/>
          <w:tab w:leader="none" w:pos="10680" w:val="left"/>
        </w:tabs>
        <w:rPr>
          <w:sz w:val="20"/>
          <w:szCs w:val="20"/>
          <w:color w:val="auto"/>
        </w:rPr>
      </w:pPr>
      <w:r>
        <w:rPr>
          <w:rFonts w:ascii="Times New Roman" w:cs="Times New Roman" w:eastAsia="Times New Roman" w:hAnsi="Times New Roman"/>
          <w:sz w:val="17"/>
          <w:szCs w:val="17"/>
          <w:color w:val="auto"/>
        </w:rPr>
        <w:t>ARPU</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139.59</w:t>
        <w:tab/>
        <w:t>$</w:t>
      </w:r>
      <w:r>
        <w:rPr>
          <w:sz w:val="20"/>
          <w:szCs w:val="20"/>
          <w:color w:val="auto"/>
        </w:rPr>
        <w:tab/>
      </w:r>
      <w:r>
        <w:rPr>
          <w:rFonts w:ascii="Times New Roman" w:cs="Times New Roman" w:eastAsia="Times New Roman" w:hAnsi="Times New Roman"/>
          <w:sz w:val="17"/>
          <w:szCs w:val="17"/>
          <w:color w:val="auto"/>
        </w:rPr>
        <w:t>138.97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765" cy="149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w:t>
      </w:r>
    </w:p>
    <w:p>
      <w:pPr>
        <w:spacing w:after="0" w:line="251"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2"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6" w:lineRule="exact"/>
        <w:rPr>
          <w:sz w:val="20"/>
          <w:szCs w:val="20"/>
          <w:color w:val="auto"/>
        </w:rPr>
      </w:pPr>
    </w:p>
    <w:p>
      <w:pPr>
        <w:ind w:right="120" w:firstLine="392"/>
        <w:spacing w:after="0" w:line="260" w:lineRule="auto"/>
        <w:rPr>
          <w:sz w:val="20"/>
          <w:szCs w:val="20"/>
          <w:color w:val="auto"/>
        </w:rPr>
      </w:pPr>
      <w:r>
        <w:rPr>
          <w:rFonts w:ascii="Times New Roman" w:cs="Times New Roman" w:eastAsia="Times New Roman" w:hAnsi="Times New Roman"/>
          <w:sz w:val="17"/>
          <w:szCs w:val="17"/>
          <w:color w:val="auto"/>
        </w:rPr>
        <w:t>Our FCF increased for the three months ended March 31, 2024, compared to the three months ended March 31, 2023, primarily due to an increase in cash provided by operating activities for the reasons discussed below, including an increase in net income due to operating efficiencies following our reduction in workforce in 2023, partially offset by an increase in capital expenditures.</w:t>
      </w:r>
    </w:p>
    <w:p>
      <w:pPr>
        <w:spacing w:after="0" w:line="188" w:lineRule="exact"/>
        <w:rPr>
          <w:sz w:val="20"/>
          <w:szCs w:val="20"/>
          <w:color w:val="auto"/>
        </w:rPr>
      </w:pPr>
    </w:p>
    <w:p>
      <w:pPr>
        <w:ind w:right="140" w:firstLine="392"/>
        <w:spacing w:after="0" w:line="253" w:lineRule="auto"/>
        <w:rPr>
          <w:sz w:val="20"/>
          <w:szCs w:val="20"/>
          <w:color w:val="auto"/>
        </w:rPr>
      </w:pPr>
      <w:r>
        <w:rPr>
          <w:rFonts w:ascii="Times New Roman" w:cs="Times New Roman" w:eastAsia="Times New Roman" w:hAnsi="Times New Roman"/>
          <w:sz w:val="17"/>
          <w:szCs w:val="17"/>
          <w:color w:val="auto"/>
        </w:rPr>
        <w:t>We expect our FCF to generally increase in future periods as we increase subscription sales and drive operating efficiencies. We expect to continue to purchase infrastructure equipment to support our user base and anticipate that our capital expenditures will generally remain consistent in future periods as we continue to invest in our internal infrastructure, network and security. The timing of our operating expenses as described below, may result in FCF to vary from period to period as a percentage of revenue.</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is a reconciliation of FCF to the most comparable GAAP measure, net cash provided by operating activities:</w:t>
      </w:r>
    </w:p>
    <w:p>
      <w:pPr>
        <w:spacing w:after="0" w:line="374"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3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3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693"/>
              <w:spacing w:after="0"/>
              <w:rPr>
                <w:sz w:val="20"/>
                <w:szCs w:val="20"/>
                <w:color w:val="auto"/>
              </w:rPr>
            </w:pPr>
            <w:r>
              <w:rPr>
                <w:rFonts w:ascii="Times New Roman" w:cs="Times New Roman" w:eastAsia="Times New Roman" w:hAnsi="Times New Roman"/>
                <w:sz w:val="17"/>
                <w:szCs w:val="17"/>
                <w:color w:val="auto"/>
              </w:rPr>
              <w:t>42</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2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generate revenue from sales of subscriptions to our platform.</w:t>
      </w:r>
    </w:p>
    <w:p>
      <w:pPr>
        <w:spacing w:after="0" w:line="249" w:lineRule="exact"/>
        <w:rPr>
          <w:sz w:val="20"/>
          <w:szCs w:val="20"/>
          <w:color w:val="auto"/>
        </w:rPr>
      </w:pPr>
    </w:p>
    <w:p>
      <w:pPr>
        <w:ind w:right="80" w:firstLine="392"/>
        <w:spacing w:after="0" w:line="269" w:lineRule="auto"/>
        <w:rPr>
          <w:sz w:val="20"/>
          <w:szCs w:val="20"/>
          <w:color w:val="auto"/>
        </w:rPr>
      </w:pPr>
      <w:r>
        <w:rPr>
          <w:rFonts w:ascii="Times New Roman" w:cs="Times New Roman" w:eastAsia="Times New Roman" w:hAnsi="Times New Roman"/>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95"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spacing w:after="0" w:line="188"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higher-priced subscription plans, to offset slower growth or decline in paying users, our revenue and revenue growth rate will decline.</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margin</w:t>
      </w:r>
    </w:p>
    <w:p>
      <w:pPr>
        <w:spacing w:after="0" w:line="120"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Our cost of revenue consists primarily of expenses associated with the storage, delivery, and distribution of our platform for both paying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06"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plan to continue increasing the capacity and enhancing the capability and reliability of our infrastructure to support user growth and increased use of our platform. We expect that cost of revenue will decrease in absolute dollars in the near term due to a one time benefit of increasing the useful lives of certain infrastructure server and component assets from four to five years and increase in absolute dollars in the long term as the benefit lapses. See Note 1. "Description of the Business and Summary of Significant Accounting Policies - Use of Estimates" for additional information.</w:t>
      </w:r>
    </w:p>
    <w:p>
      <w:pPr>
        <w:spacing w:after="0" w:line="193" w:lineRule="exact"/>
        <w:rPr>
          <w:sz w:val="20"/>
          <w:szCs w:val="20"/>
          <w:color w:val="auto"/>
        </w:rPr>
      </w:pPr>
    </w:p>
    <w:p>
      <w:pPr>
        <w:ind w:right="140" w:firstLine="39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is gross profit expressed as a percentage of revenue. Our gross margin may fluctuate from period to period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timing of additional capital expenditures and the related depreciation expense, or other increases in our infrastructure costs, as well as revenue fluctuations. We generally expect our gross margin to increase in the near term due to the useful lives of certain infrastructure server and component assets increasing from four to five years and remain relatively constant in the long term.</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20" w:lineRule="exact"/>
        <w:rPr>
          <w:sz w:val="20"/>
          <w:szCs w:val="20"/>
          <w:color w:val="auto"/>
        </w:rPr>
      </w:pPr>
    </w:p>
    <w:p>
      <w:pPr>
        <w:ind w:right="60" w:firstLine="392"/>
        <w:spacing w:after="0" w:line="267"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Our research and development expenses consist primarily of employee-related costs for our engineering, product, and design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160" w:firstLine="392"/>
        <w:spacing w:after="0" w:line="276" w:lineRule="auto"/>
        <w:rPr>
          <w:sz w:val="20"/>
          <w:szCs w:val="20"/>
          <w:color w:val="auto"/>
        </w:rPr>
      </w:pPr>
      <w:r>
        <w:rPr>
          <w:rFonts w:ascii="Times New Roman" w:cs="Times New Roman" w:eastAsia="Times New Roman" w:hAnsi="Times New Roman"/>
          <w:sz w:val="17"/>
          <w:szCs w:val="17"/>
          <w:color w:val="auto"/>
        </w:rPr>
        <w:t>We expect that research and development costs will decrease in absolute dollars and as a percentage of revenue in the near term and fluctuate in absolute dollars and decrease as a percentage of revenue in the long term, and we plan to continue to hire employees for our engineering, product, and design teams in roles critical to our future growth initiatives.</w:t>
      </w:r>
    </w:p>
    <w:p>
      <w:pPr>
        <w:spacing w:after="0" w:line="186" w:lineRule="exact"/>
        <w:rPr>
          <w:sz w:val="20"/>
          <w:szCs w:val="20"/>
          <w:color w:val="auto"/>
        </w:rPr>
      </w:pPr>
    </w:p>
    <w:p>
      <w:pPr>
        <w:ind w:firstLine="392"/>
        <w:spacing w:after="0" w:line="267"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relate to both self-serve and outbound sales activities, and consist primarily of employee-related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95" w:lineRule="exact"/>
        <w:rPr>
          <w:sz w:val="20"/>
          <w:szCs w:val="20"/>
          <w:color w:val="auto"/>
        </w:rPr>
      </w:pPr>
    </w:p>
    <w:p>
      <w:pPr>
        <w:ind w:right="40" w:firstLine="392"/>
        <w:spacing w:after="0" w:line="276" w:lineRule="auto"/>
        <w:rPr>
          <w:sz w:val="20"/>
          <w:szCs w:val="20"/>
          <w:color w:val="auto"/>
        </w:rPr>
      </w:pPr>
      <w:r>
        <w:rPr>
          <w:rFonts w:ascii="Times New Roman" w:cs="Times New Roman" w:eastAsia="Times New Roman" w:hAnsi="Times New Roman"/>
          <w:sz w:val="17"/>
          <w:szCs w:val="17"/>
          <w:color w:val="auto"/>
        </w:rPr>
        <w:t>We expect that sales and marketing expenses will fluctuate in absolute dollars and as a percentage of revenue in both the near term and long term. We plan to continue to invest in sales and marketing, long term, to grow our user base and increase our brand awareness. The trend and timing of sales and marketing expenses will depend in part on the timing of marketing campaigns.</w:t>
      </w:r>
    </w:p>
    <w:p>
      <w:pPr>
        <w:spacing w:after="0" w:line="186" w:lineRule="exact"/>
        <w:rPr>
          <w:sz w:val="20"/>
          <w:szCs w:val="20"/>
          <w:color w:val="auto"/>
        </w:rPr>
      </w:pPr>
    </w:p>
    <w:p>
      <w:pPr>
        <w:ind w:firstLine="392"/>
        <w:spacing w:after="0" w:line="270"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consist primarily of employee-related costs for our legal, finance, human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administrative teams, as well as certain executives. In addition, general and administrative expenses include allocated overhead, outside legal, accounting and other professional fees, non income-based taxes, and the recognition of stock-based compensation expense related to the grant of restricted stock made to our co-founder.</w:t>
      </w:r>
    </w:p>
    <w:p>
      <w:pPr>
        <w:spacing w:after="0" w:line="194" w:lineRule="exact"/>
        <w:rPr>
          <w:sz w:val="20"/>
          <w:szCs w:val="20"/>
          <w:color w:val="auto"/>
        </w:rPr>
      </w:pPr>
    </w:p>
    <w:p>
      <w:pPr>
        <w:ind w:right="240" w:firstLine="392"/>
        <w:spacing w:after="0" w:line="295" w:lineRule="auto"/>
        <w:rPr>
          <w:sz w:val="20"/>
          <w:szCs w:val="20"/>
          <w:color w:val="auto"/>
        </w:rPr>
      </w:pPr>
      <w:r>
        <w:rPr>
          <w:rFonts w:ascii="Times New Roman" w:cs="Times New Roman" w:eastAsia="Times New Roman" w:hAnsi="Times New Roman"/>
          <w:sz w:val="17"/>
          <w:szCs w:val="17"/>
          <w:color w:val="auto"/>
        </w:rPr>
        <w:t>We expect to incur additional general and administrative expenses to support the growth of the Company. We expect that general and administrative expenses will fluctuate in absolute dollars in future periods and remain relatively constant in both the near term and the long term as a percentage of revenue.</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net</w:t>
      </w:r>
    </w:p>
    <w:p>
      <w:pPr>
        <w:spacing w:after="0" w:line="109" w:lineRule="exact"/>
        <w:rPr>
          <w:sz w:val="20"/>
          <w:szCs w:val="20"/>
          <w:color w:val="auto"/>
        </w:rPr>
      </w:pPr>
    </w:p>
    <w:p>
      <w:pPr>
        <w:ind w:right="100" w:firstLine="392"/>
        <w:spacing w:after="0" w:line="279" w:lineRule="auto"/>
        <w:rPr>
          <w:sz w:val="20"/>
          <w:szCs w:val="20"/>
          <w:color w:val="auto"/>
        </w:rPr>
      </w:pPr>
      <w:r>
        <w:rPr>
          <w:rFonts w:ascii="Times New Roman" w:cs="Times New Roman" w:eastAsia="Times New Roman" w:hAnsi="Times New Roman"/>
          <w:sz w:val="17"/>
          <w:szCs w:val="17"/>
          <w:color w:val="auto"/>
        </w:rPr>
        <w:t>Interest income, net consists primarily of interest income earned on our investments classified as cash and cash equivalents and short-term investments as well as interest expense related to our finance lease obligations for infrastructure and amortization of debt issuance costs.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income (loss), net</w:t>
      </w:r>
    </w:p>
    <w:p>
      <w:pPr>
        <w:spacing w:after="0" w:line="122" w:lineRule="exact"/>
        <w:rPr>
          <w:sz w:val="20"/>
          <w:szCs w:val="20"/>
          <w:color w:val="auto"/>
        </w:rPr>
      </w:pPr>
    </w:p>
    <w:p>
      <w:pPr>
        <w:ind w:right="520" w:firstLine="392"/>
        <w:spacing w:after="0" w:line="295" w:lineRule="auto"/>
        <w:rPr>
          <w:sz w:val="20"/>
          <w:szCs w:val="20"/>
          <w:color w:val="auto"/>
        </w:rPr>
      </w:pPr>
      <w:r>
        <w:rPr>
          <w:rFonts w:ascii="Times New Roman" w:cs="Times New Roman" w:eastAsia="Times New Roman" w:hAnsi="Times New Roman"/>
          <w:sz w:val="17"/>
          <w:szCs w:val="17"/>
          <w:color w:val="auto"/>
        </w:rPr>
        <w:t>Other income (loss),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Provision for income taxes consists of U.S. federal, state and foreign jurisdiction income taxes. For 2024 and 2023, the difference between the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statutory rate and our effective tax rate is primarily due to jurisdictional mix of earnings, tax credits and state income taxes.</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w:t>
      </w:r>
    </w:p>
    <w:p>
      <w:pPr>
        <w:spacing w:after="0" w:line="19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w:t>
            </w:r>
          </w:p>
        </w:tc>
      </w:tr>
      <w:tr>
        <w:trPr>
          <w:trHeight w:val="222"/>
        </w:trPr>
        <w:tc>
          <w:tcPr>
            <w:tcW w:w="7620" w:type="dxa"/>
            <w:vAlign w:val="bottom"/>
            <w:tcBorders>
              <w:bottom w:val="single" w:sz="8" w:color="CCEEFF"/>
            </w:tcBorders>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w:t>
            </w:r>
          </w:p>
        </w:tc>
      </w:tr>
      <w:tr>
        <w:trPr>
          <w:trHeight w:val="222"/>
        </w:trPr>
        <w:tc>
          <w:tcPr>
            <w:tcW w:w="762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222"/>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r>
      <w:tr>
        <w:trPr>
          <w:trHeight w:val="222"/>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410.2</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net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0"/>
        </w:trPr>
        <w:tc>
          <w:tcPr>
            <w:tcW w:w="7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6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revenue</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7620" w:type="dxa"/>
            <w:vAlign w:val="bottom"/>
          </w:tcPr>
          <w:p>
            <w:pPr>
              <w:ind w:left="3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(2)</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r>
      <w:tr>
        <w:trPr>
          <w:trHeight w:val="222"/>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22"/>
        </w:trPr>
        <w:tc>
          <w:tcPr>
            <w:tcW w:w="7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120" w:firstLine="5"/>
        <w:spacing w:after="0" w:line="306" w:lineRule="auto"/>
        <w:tabs>
          <w:tab w:leader="none" w:pos="144"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our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each of the periods presented as a percentage of revenue:</w:t>
      </w:r>
    </w:p>
    <w:p>
      <w:pPr>
        <w:spacing w:after="0" w:line="19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1140" w:type="dxa"/>
            <w:vAlign w:val="bottom"/>
          </w:tcPr>
          <w:p>
            <w:pPr>
              <w:spacing w:after="0"/>
              <w:rPr>
                <w:sz w:val="18"/>
                <w:szCs w:val="18"/>
                <w:color w:val="auto"/>
              </w:rPr>
            </w:pP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8560" w:type="dxa"/>
            <w:vAlign w:val="bottom"/>
            <w:gridSpan w:val="2"/>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w:t>
            </w: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81</w:t>
            </w:r>
          </w:p>
        </w:tc>
      </w:tr>
      <w:tr>
        <w:trPr>
          <w:trHeight w:val="222"/>
        </w:trPr>
        <w:tc>
          <w:tcPr>
            <w:tcW w:w="856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8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r>
      <w:tr>
        <w:trPr>
          <w:trHeight w:val="222"/>
        </w:trPr>
        <w:tc>
          <w:tcPr>
            <w:tcW w:w="8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67</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income, net</w:t>
            </w: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154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r>
      <w:tr>
        <w:trPr>
          <w:trHeight w:val="22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from income taxes</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w:t>
            </w: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40" w:hanging="135"/>
        <w:spacing w:after="0"/>
        <w:tabs>
          <w:tab w:leader="none" w:pos="14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a percentage of revenue as follows:</w:t>
      </w:r>
    </w:p>
    <w:p>
      <w:pPr>
        <w:spacing w:after="0" w:line="265"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1140" w:type="dxa"/>
            <w:vAlign w:val="bottom"/>
          </w:tcPr>
          <w:p>
            <w:pPr>
              <w:spacing w:after="0"/>
              <w:rPr>
                <w:sz w:val="18"/>
                <w:szCs w:val="18"/>
                <w:color w:val="auto"/>
              </w:rPr>
            </w:pPr>
          </w:p>
        </w:tc>
      </w:tr>
      <w:tr>
        <w:trPr>
          <w:trHeight w:val="222"/>
        </w:trPr>
        <w:tc>
          <w:tcPr>
            <w:tcW w:w="8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2"/>
        </w:trPr>
        <w:tc>
          <w:tcPr>
            <w:tcW w:w="8540" w:type="dxa"/>
            <w:vAlign w:val="bottom"/>
            <w:gridSpan w:val="2"/>
          </w:tcPr>
          <w:p>
            <w:pPr>
              <w:ind w:left="320"/>
              <w:spacing w:after="0" w:line="22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(2)</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8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85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120" w:firstLine="5"/>
        <w:spacing w:after="0" w:line="327" w:lineRule="auto"/>
        <w:tabs>
          <w:tab w:leader="none" w:pos="144"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15, 2023, our President resigned, resulting in the reversal of $6.7 million in stock-based compensation expense. Of the total amount reversed, $4.4 million related to expense recognized prior to January 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Percentages may not foot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2024 and 2023</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0"/>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631.3</w:t>
            </w:r>
          </w:p>
        </w:tc>
        <w:tc>
          <w:tcPr>
            <w:tcW w:w="5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r>
    </w:tbl>
    <w:p>
      <w:pPr>
        <w:spacing w:after="0" w:line="295" w:lineRule="exact"/>
        <w:rPr>
          <w:sz w:val="20"/>
          <w:szCs w:val="20"/>
          <w:color w:val="auto"/>
        </w:rPr>
      </w:pPr>
    </w:p>
    <w:p>
      <w:pPr>
        <w:jc w:val="both"/>
        <w:ind w:right="480" w:firstLine="392"/>
        <w:spacing w:after="0" w:line="269" w:lineRule="auto"/>
        <w:rPr>
          <w:sz w:val="20"/>
          <w:szCs w:val="20"/>
          <w:color w:val="auto"/>
        </w:rPr>
      </w:pPr>
      <w:r>
        <w:rPr>
          <w:rFonts w:ascii="Times New Roman" w:cs="Times New Roman" w:eastAsia="Times New Roman" w:hAnsi="Times New Roman"/>
          <w:sz w:val="17"/>
          <w:szCs w:val="17"/>
          <w:color w:val="auto"/>
        </w:rPr>
        <w:t>Revenue increased $20.2 million or 3.3% during the three months ended March 31, 2024, as compared to the three months ended March 31, 2023 primarily due to an increase in paying users and an increased mix of sales towards our higher-priced subscription plans, which together contributed to an increase of $19.5 million in revenue. In addition, revenue was positively impacted by $0.7 million from changes in foreign exchange rates across multiple currencies.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8"/>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4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1"/>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4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6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105.8</w:t>
            </w:r>
          </w:p>
        </w:tc>
        <w:tc>
          <w:tcPr>
            <w:tcW w:w="52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525.5</w:t>
            </w:r>
          </w:p>
        </w:tc>
        <w:tc>
          <w:tcPr>
            <w:tcW w:w="5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6.3 %</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308" w:lineRule="exact"/>
        <w:rPr>
          <w:sz w:val="20"/>
          <w:szCs w:val="20"/>
          <w:color w:val="auto"/>
        </w:rPr>
      </w:pPr>
    </w:p>
    <w:p>
      <w:pPr>
        <w:jc w:val="both"/>
        <w:ind w:right="40" w:firstLine="392"/>
        <w:spacing w:after="0" w:line="276" w:lineRule="auto"/>
        <w:rPr>
          <w:sz w:val="20"/>
          <w:szCs w:val="20"/>
          <w:color w:val="auto"/>
        </w:rPr>
      </w:pPr>
      <w:r>
        <w:rPr>
          <w:rFonts w:ascii="Times New Roman" w:cs="Times New Roman" w:eastAsia="Times New Roman" w:hAnsi="Times New Roman"/>
          <w:sz w:val="17"/>
          <w:szCs w:val="17"/>
          <w:color w:val="auto"/>
        </w:rPr>
        <w:t>Cost of revenue decreased $11.0 million or 9.4% during the three months ended March 31, 2024, as compared to the three months ended March 31, 2023, primarily due to decreases of $9.1 million in infrastructure costs primarily as a result of the change in useful lives from 4 to 5 years for certain infrastructure and component assets and $1.2 million in employee-related costs.</w:t>
      </w:r>
    </w:p>
    <w:p>
      <w:pPr>
        <w:spacing w:after="0" w:line="188"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Our gross margin increased during the three months ended March 31, 2024 compared to the three months ended March 31, 2023, primarily due to a 3.3% increase in revenue during the period and a decrease in our cost of revenue as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8"/>
                <w:szCs w:val="18"/>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219.1</w:t>
            </w:r>
          </w:p>
        </w:tc>
        <w:tc>
          <w:tcPr>
            <w:tcW w:w="5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bl>
    <w:p>
      <w:pPr>
        <w:spacing w:after="0" w:line="308" w:lineRule="exact"/>
        <w:rPr>
          <w:sz w:val="20"/>
          <w:szCs w:val="20"/>
          <w:color w:val="auto"/>
        </w:rPr>
      </w:pPr>
    </w:p>
    <w:p>
      <w:pPr>
        <w:ind w:right="300" w:firstLine="392"/>
        <w:spacing w:after="0" w:line="295" w:lineRule="auto"/>
        <w:rPr>
          <w:sz w:val="20"/>
          <w:szCs w:val="20"/>
          <w:color w:val="auto"/>
        </w:rPr>
      </w:pPr>
      <w:r>
        <w:rPr>
          <w:rFonts w:ascii="Times New Roman" w:cs="Times New Roman" w:eastAsia="Times New Roman" w:hAnsi="Times New Roman"/>
          <w:sz w:val="17"/>
          <w:szCs w:val="17"/>
          <w:color w:val="auto"/>
        </w:rPr>
        <w:t>Research and development expenses decreased $16.1 million or 6.8% during the three months ended March 31, 2024, as compared to the three months ended March 31, 2023, primarily due to decreases of $10.3 million in employee-related costs and $5.1 million in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64"/>
        </w:trPr>
        <w:tc>
          <w:tcPr>
            <w:tcW w:w="51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8"/>
        </w:trPr>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1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108.8</w:t>
            </w:r>
          </w:p>
        </w:tc>
        <w:tc>
          <w:tcPr>
            <w:tcW w:w="5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bl>
    <w:p>
      <w:pPr>
        <w:spacing w:after="0" w:line="295" w:lineRule="exact"/>
        <w:rPr>
          <w:sz w:val="20"/>
          <w:szCs w:val="20"/>
          <w:color w:val="auto"/>
        </w:rPr>
      </w:pPr>
    </w:p>
    <w:p>
      <w:pPr>
        <w:ind w:right="320" w:firstLine="392"/>
        <w:spacing w:after="0" w:line="276" w:lineRule="auto"/>
        <w:rPr>
          <w:sz w:val="20"/>
          <w:szCs w:val="20"/>
          <w:color w:val="auto"/>
        </w:rPr>
      </w:pPr>
      <w:r>
        <w:rPr>
          <w:rFonts w:ascii="Times New Roman" w:cs="Times New Roman" w:eastAsia="Times New Roman" w:hAnsi="Times New Roman"/>
          <w:sz w:val="17"/>
          <w:szCs w:val="17"/>
          <w:color w:val="auto"/>
        </w:rPr>
        <w:t>Sales and marketing expenses decreased $10.4 million or 8.7% during the three months ended March 31, 2024, as compared to the three months ended March 31, 2023, primarily due to decreases of $5.4 million in employee-related costs and $4.4 million related to advertising and other marketing 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2"/>
        </w:trPr>
        <w:tc>
          <w:tcPr>
            <w:tcW w:w="5140" w:type="dxa"/>
            <w:vAlign w:val="bottom"/>
          </w:tcPr>
          <w:p>
            <w:pPr>
              <w:spacing w:after="0"/>
              <w:rPr>
                <w:sz w:val="17"/>
                <w:szCs w:val="17"/>
                <w:color w:val="auto"/>
              </w:rPr>
            </w:pPr>
          </w:p>
        </w:tc>
        <w:tc>
          <w:tcPr>
            <w:tcW w:w="2460" w:type="dxa"/>
            <w:vAlign w:val="bottom"/>
            <w:gridSpan w:val="3"/>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51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4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54.1</w:t>
            </w:r>
          </w:p>
        </w:tc>
        <w:tc>
          <w:tcPr>
            <w:tcW w:w="10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pacing w:after="0" w:line="308" w:lineRule="exact"/>
        <w:rPr>
          <w:sz w:val="20"/>
          <w:szCs w:val="20"/>
          <w:color w:val="auto"/>
        </w:rPr>
      </w:pPr>
    </w:p>
    <w:p>
      <w:pPr>
        <w:ind w:right="380" w:firstLine="392"/>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decreased $1.7 million or 3.0% during the three months ended March 31, 2024, as compared to the three months ended March 31, 2023, primarily due to a decrease of $4.1 million in non-income based taxes. This decrease was offset by an increase of $1.4 million in employee-related costs.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income, net</w:t>
      </w:r>
    </w:p>
    <w:p>
      <w:pPr>
        <w:spacing w:after="0" w:line="251"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Interest income, net increased by $3.4 million during the three months ended March 31, 2024, as compared to the three months ended March 31, 2023, primarily due to higher interest income as a result of interest rate increases.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income (loss), net</w:t>
      </w:r>
    </w:p>
    <w:p>
      <w:pPr>
        <w:spacing w:after="0" w:line="251" w:lineRule="exact"/>
        <w:rPr>
          <w:sz w:val="20"/>
          <w:szCs w:val="20"/>
          <w:color w:val="auto"/>
        </w:rPr>
      </w:pPr>
    </w:p>
    <w:p>
      <w:pPr>
        <w:ind w:right="20" w:firstLine="392"/>
        <w:spacing w:after="0" w:line="295" w:lineRule="auto"/>
        <w:rPr>
          <w:sz w:val="20"/>
          <w:szCs w:val="20"/>
          <w:color w:val="auto"/>
        </w:rPr>
      </w:pPr>
      <w:r>
        <w:rPr>
          <w:rFonts w:ascii="Times New Roman" w:cs="Times New Roman" w:eastAsia="Times New Roman" w:hAnsi="Times New Roman"/>
          <w:sz w:val="17"/>
          <w:szCs w:val="17"/>
          <w:color w:val="auto"/>
        </w:rPr>
        <w:t>Other income (loss), net increased by $0.7 million during the three months ended March 31, 2024, as compared to the three months ended March 31, 2023, primarily due to a $1.6 million reduction in losses on investments, offset by a $0.8 million decrease in foreign currency transaction gains.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p>
      <w:pPr>
        <w:spacing w:after="0" w:line="251"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Provision for income taxes increased $0.2 million during the three months ended March 31, 2024, as compared to the three months ended March 31, 2023, primarily due to an increase in income before income taxes, offset by an increase in availability of tax credits in the current year.</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As of March 31, 2024, we had cash and cash equivalents of $548.9 million and short-term investments of $627.0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March 31, 2024, $428.3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spacing w:after="0" w:line="10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a $500.0 million credit facility for additional working capital flexibility, as described below.</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February 2021, we issued approximately $1.4 billion in aggregate principal amount of convertible senior notes (the "Notes"), comprised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$695.8 million in aggregate principal amount of 2026 Notes and $693.3 million in aggregate principal amount of 2028 Notes. The net proceeds from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of the 2026 Notes and 2028 Notes were $684.8 million, net of debt issuance costs, and $682.3 million, net of debt issuance costs, respectively.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 Notes mature on March 1, 2026 and the 2028 Notes mature on March 1, 2028. The Notes of each series do not bear regular interest and the principal does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accrete. The Notes of each series may bear special interest as the remedy relating to our failure to comply with certain of our reporting obligations. These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can be converted or repurchased prior to maturity if certain conditions are met.</w:t>
      </w:r>
    </w:p>
    <w:p>
      <w:pPr>
        <w:spacing w:after="0" w:line="126" w:lineRule="exact"/>
        <w:rPr>
          <w:sz w:val="20"/>
          <w:szCs w:val="20"/>
          <w:color w:val="auto"/>
        </w:rPr>
      </w:pPr>
    </w:p>
    <w:p>
      <w:pPr>
        <w:ind w:right="60" w:firstLine="392"/>
        <w:spacing w:after="0" w:line="260" w:lineRule="auto"/>
        <w:rPr>
          <w:sz w:val="20"/>
          <w:szCs w:val="20"/>
          <w:color w:val="auto"/>
        </w:rPr>
      </w:pPr>
      <w:r>
        <w:rPr>
          <w:rFonts w:ascii="Times New Roman" w:cs="Times New Roman" w:eastAsia="Times New Roman" w:hAnsi="Times New Roman"/>
          <w:sz w:val="17"/>
          <w:szCs w:val="17"/>
          <w:color w:val="auto"/>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$1.2 billion of the outstanding shares of our Class A common stock. In July 2023, our Board of Directors authorized the repurchase of up to an additional $1.2 billion of the outstanding shares of our Class A common stock. We completed the February 2022 authorization of $1.2 billion during the three months ended March 31, 2024 and continued stock repurchases under the July 2023 authorization.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months ended March 31, 2024, we repurchased and subsequently retired 11.1 million shares of our Class A common stock for an aggregate amount of $281.6 million. Included in the cost of treasury stock acquired pursuant to common share repurchases is the 1% excise tax imposed as part of the Inflation Reduction Act. The pace of our share repurchases may fluctuate due to various circumstances, including market conditions and our stock price.</w:t>
      </w:r>
    </w:p>
    <w:p>
      <w:pPr>
        <w:spacing w:after="0" w:line="206"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In April 2017, we entered into a $600.0 million credit facility with a syndicate of financial institutions, which we subsequently amended in February 2018, February 2021, and March 2023.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and the letter of credit sublimit from $187.5 million to $65.0 million. We may from time-to-time request increases in the borrowing capacity under the revolving credit facility of up to $250.0 million, provided no event of default has occurred or is continuing or would result from such increase. In March 2023, we amended the revolving credit facility to update our borrowing benchmark from LIBOR to SOFR. The revolving credit facility terminates on February 23, 2026.</w:t>
      </w:r>
    </w:p>
    <w:p>
      <w:pPr>
        <w:spacing w:after="0" w:line="112" w:lineRule="exact"/>
        <w:rPr>
          <w:sz w:val="20"/>
          <w:szCs w:val="20"/>
          <w:color w:val="auto"/>
        </w:rPr>
      </w:pPr>
    </w:p>
    <w:p>
      <w:pPr>
        <w:ind w:right="440" w:firstLine="392"/>
        <w:spacing w:after="0" w:line="267" w:lineRule="auto"/>
        <w:rPr>
          <w:sz w:val="20"/>
          <w:szCs w:val="20"/>
          <w:color w:val="auto"/>
        </w:rPr>
      </w:pPr>
      <w:r>
        <w:rPr>
          <w:rFonts w:ascii="Times New Roman" w:cs="Times New Roman" w:eastAsia="Times New Roman" w:hAnsi="Times New Roman"/>
          <w:sz w:val="17"/>
          <w:szCs w:val="17"/>
          <w:color w:val="auto"/>
        </w:rPr>
        <w:t>Interest on borrowings under the revolving credit facility accrues at a variable rate tied to SOFR or an alternative base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0.20% per annum on the unused portion of the borrowing commitments under the revolving credit facility. In addition, we are required to pay a fee in connection with letters of credit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7"/>
          <w:szCs w:val="17"/>
          <w:color w:val="auto"/>
        </w:rPr>
        <w:t>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81"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March 31, 2024.</w:t>
      </w:r>
    </w:p>
    <w:p>
      <w:pPr>
        <w:spacing w:after="0" w:line="9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As of March 31, 2024, we had no amounts outstanding under the revolving credit facility and an aggregate of $31.2 million in letters of credit issued under the revolving credit facility. Our total available borrowing capacity under the revolving credit facility was $468.8 million as of March 31, 2024.</w:t>
      </w:r>
    </w:p>
    <w:p>
      <w:pPr>
        <w:spacing w:after="0" w:line="81" w:lineRule="exact"/>
        <w:rPr>
          <w:sz w:val="20"/>
          <w:szCs w:val="20"/>
          <w:color w:val="auto"/>
        </w:rPr>
      </w:pPr>
    </w:p>
    <w:p>
      <w:pPr>
        <w:jc w:val="both"/>
        <w:ind w:right="100" w:firstLine="392"/>
        <w:spacing w:after="0" w:line="276" w:lineRule="auto"/>
        <w:rPr>
          <w:sz w:val="20"/>
          <w:szCs w:val="20"/>
          <w:color w:val="auto"/>
        </w:rPr>
      </w:pPr>
      <w:r>
        <w:rPr>
          <w:rFonts w:ascii="Times New Roman" w:cs="Times New Roman" w:eastAsia="Times New Roman" w:hAnsi="Times New Roman"/>
          <w:sz w:val="17"/>
          <w:szCs w:val="17"/>
          <w:color w:val="auto"/>
        </w:rPr>
        <w:t>As of March 31, 2024, we have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spacing w:after="0" w:line="188" w:lineRule="exact"/>
        <w:rPr>
          <w:sz w:val="20"/>
          <w:szCs w:val="20"/>
          <w:color w:val="auto"/>
        </w:rPr>
      </w:pPr>
    </w:p>
    <w:p>
      <w:pPr>
        <w:jc w:val="both"/>
        <w:ind w:right="40" w:firstLine="392"/>
        <w:spacing w:after="0" w:line="276" w:lineRule="auto"/>
        <w:rPr>
          <w:sz w:val="20"/>
          <w:szCs w:val="20"/>
          <w:color w:val="auto"/>
        </w:rPr>
      </w:pPr>
      <w:r>
        <w:rPr>
          <w:rFonts w:ascii="Times New Roman" w:cs="Times New Roman" w:eastAsia="Times New Roman" w:hAnsi="Times New Roman"/>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As of March 31, 2024, our principal commitments consist of obligations under the Notes, and cash commitments due to additional known contractual obligations.</w:t>
      </w:r>
    </w:p>
    <w:p>
      <w:pPr>
        <w:spacing w:after="0" w:line="188"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cash flow activities were as follows for the periods presented:</w:t>
      </w:r>
    </w:p>
    <w:p>
      <w:pPr>
        <w:spacing w:after="0" w:line="19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w:t>
            </w:r>
          </w:p>
        </w:tc>
      </w:tr>
      <w:tr>
        <w:trPr>
          <w:trHeight w:val="22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4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14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61"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and depreciation and amortization expenses, as well as the effect of changes in operating assets and liabilities.</w:t>
      </w:r>
    </w:p>
    <w:p>
      <w:pPr>
        <w:spacing w:after="0" w:line="91" w:lineRule="exact"/>
        <w:rPr>
          <w:sz w:val="20"/>
          <w:szCs w:val="20"/>
          <w:color w:val="auto"/>
        </w:rPr>
      </w:pPr>
    </w:p>
    <w:p>
      <w:pPr>
        <w:jc w:val="both"/>
        <w:ind w:right="60" w:firstLine="392"/>
        <w:spacing w:after="0" w:line="252" w:lineRule="auto"/>
        <w:rPr>
          <w:sz w:val="20"/>
          <w:szCs w:val="20"/>
          <w:color w:val="auto"/>
        </w:rPr>
      </w:pPr>
      <w:r>
        <w:rPr>
          <w:rFonts w:ascii="Times New Roman" w:cs="Times New Roman" w:eastAsia="Times New Roman" w:hAnsi="Times New Roman"/>
          <w:sz w:val="17"/>
          <w:szCs w:val="17"/>
          <w:color w:val="auto"/>
        </w:rPr>
        <w:t>For the three months ended March 31, 2024, net cash provided by operating activities was $175.5 million, which primarily consisted of our net income of $132.3 million, adjusted for stock-based compensation expense of $78.0 million, depreciation and amortization expenses of $31.4 million, and net cash outflow of $84.8 million from operating assets and</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7"/>
          <w:szCs w:val="17"/>
          <w:color w:val="auto"/>
        </w:rPr>
        <w:t>liabilities. The outflow from operating assets and liabilities was primarily due to the payment of our corporate bonus, offset by an increase in deferred revenue from increased subscription sales, as a majority of our paying users are invoiced in advance.</w:t>
      </w:r>
    </w:p>
    <w:p>
      <w:pPr>
        <w:spacing w:after="0" w:line="173" w:lineRule="exact"/>
        <w:rPr>
          <w:sz w:val="20"/>
          <w:szCs w:val="20"/>
          <w:color w:val="auto"/>
        </w:rPr>
      </w:pPr>
    </w:p>
    <w:p>
      <w:pPr>
        <w:ind w:right="280" w:firstLine="392"/>
        <w:spacing w:after="0" w:line="260" w:lineRule="auto"/>
        <w:rPr>
          <w:sz w:val="20"/>
          <w:szCs w:val="20"/>
          <w:color w:val="auto"/>
        </w:rPr>
      </w:pPr>
      <w:r>
        <w:rPr>
          <w:rFonts w:ascii="Times New Roman" w:cs="Times New Roman" w:eastAsia="Times New Roman" w:hAnsi="Times New Roman"/>
          <w:sz w:val="17"/>
          <w:szCs w:val="17"/>
          <w:color w:val="auto"/>
        </w:rPr>
        <w:t>The increase of $35.6 million in net cash provided by operating activities during the three months ended March 31, 2024, compared to the three months ended March 31, 2023, was primarily due to an increase of $44.3 million in net income, as adjusted for stock-based compensation and depreciation and amortization expenses. This was partially offset by an increase of $8.7 million in cash outflows from changes in operating assets and liabilities.</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61" w:lineRule="exact"/>
        <w:rPr>
          <w:sz w:val="20"/>
          <w:szCs w:val="20"/>
          <w:color w:val="auto"/>
        </w:rPr>
      </w:pPr>
    </w:p>
    <w:p>
      <w:pPr>
        <w:ind w:right="300" w:firstLine="392"/>
        <w:spacing w:after="0" w:line="295" w:lineRule="auto"/>
        <w:rPr>
          <w:sz w:val="20"/>
          <w:szCs w:val="20"/>
          <w:color w:val="auto"/>
        </w:rPr>
      </w:pPr>
      <w:r>
        <w:rPr>
          <w:rFonts w:ascii="Times New Roman" w:cs="Times New Roman" w:eastAsia="Times New Roman" w:hAnsi="Times New Roman"/>
          <w:sz w:val="17"/>
          <w:szCs w:val="17"/>
          <w:color w:val="auto"/>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spacing w:after="0" w:line="8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For the three months ended March 31, 2024, net cash provided by investing activities was $113.7 million, which primarily related to $117.2 million in net investment activity inflows, driven by the sales and maturities of short-term investments, net of purchases. The increase was partially offset by cash paid for capital expenditures of $9.2 million related to purchases of infrastructure assets at our datacenters.</w:t>
      </w:r>
    </w:p>
    <w:p>
      <w:pPr>
        <w:spacing w:after="0" w:line="84"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The decrease of $87.1 million in net cash provided by investing activities during the three months ended March 31, 2024, compared to the three months ended March 31, 2023, was primarily due to a decrease of $82.2 million in net investment activity inflows and an increase of $7.3 million in cash paid for capital expenditures related to purchases of infrastructure assets at our datacenters.</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61"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Net cash used in financing activities is primarily impacted by cash used for repurchases of common stock, tax withholding obligations for the release of restricted stock units ("RSUs") and restricted stock awards ("RSAs"), and principal payments on finance lease obligations for our infrastructure equipment.</w:t>
      </w:r>
    </w:p>
    <w:p>
      <w:pPr>
        <w:spacing w:after="0" w:line="68" w:lineRule="exact"/>
        <w:rPr>
          <w:sz w:val="20"/>
          <w:szCs w:val="20"/>
          <w:color w:val="auto"/>
        </w:rPr>
      </w:pPr>
    </w:p>
    <w:p>
      <w:pPr>
        <w:jc w:val="both"/>
        <w:ind w:right="120" w:firstLine="392"/>
        <w:spacing w:after="0" w:line="276" w:lineRule="auto"/>
        <w:rPr>
          <w:sz w:val="20"/>
          <w:szCs w:val="20"/>
          <w:color w:val="auto"/>
        </w:rPr>
      </w:pPr>
      <w:r>
        <w:rPr>
          <w:rFonts w:ascii="Times New Roman" w:cs="Times New Roman" w:eastAsia="Times New Roman" w:hAnsi="Times New Roman"/>
          <w:sz w:val="17"/>
          <w:szCs w:val="17"/>
          <w:color w:val="auto"/>
        </w:rPr>
        <w:t>For the three months ended March 31, 2024, net cash used in financing activities was $352.7 million, which primarily consisted of $279.4 million for the repurchase of our common stock, $41.3 million for the satisfaction of tax withholding obligations for the release of restricted stock units and awards, and $32.1 million in principal payments on finance lease obligations.</w:t>
      </w:r>
    </w:p>
    <w:p>
      <w:pPr>
        <w:spacing w:after="0" w:line="97" w:lineRule="exact"/>
        <w:rPr>
          <w:sz w:val="20"/>
          <w:szCs w:val="20"/>
          <w:color w:val="auto"/>
        </w:rPr>
      </w:pPr>
    </w:p>
    <w:p>
      <w:pPr>
        <w:ind w:right="80" w:firstLine="392"/>
        <w:spacing w:after="0" w:line="276" w:lineRule="auto"/>
        <w:rPr>
          <w:sz w:val="20"/>
          <w:szCs w:val="20"/>
          <w:color w:val="auto"/>
        </w:rPr>
      </w:pPr>
      <w:r>
        <w:rPr>
          <w:rFonts w:ascii="Times New Roman" w:cs="Times New Roman" w:eastAsia="Times New Roman" w:hAnsi="Times New Roman"/>
          <w:sz w:val="17"/>
          <w:szCs w:val="17"/>
          <w:color w:val="auto"/>
        </w:rPr>
        <w:t>The increase of $111.4 million in net cash used in financing activities during the three months ended March 31, 2024, compared to the three months ended March 31, 2023, was primarily due to an increase of $104.0 million in repurchases of our common stock and an increase of $7.2 million in cash paid for the satisfaction of tax withholding obligations for the release of restricted stock units and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See Part II, Item 7, “Critical Accounting Estimates” in our Annual Report on Form 10-K for the year ended December 31, 2023. There have been no material changes to our critical accounting policies and estimates since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61" w:lineRule="exact"/>
        <w:rPr>
          <w:sz w:val="20"/>
          <w:szCs w:val="20"/>
          <w:color w:val="auto"/>
        </w:rPr>
      </w:pPr>
    </w:p>
    <w:p>
      <w:pPr>
        <w:ind w:right="20" w:firstLine="392"/>
        <w:spacing w:after="0" w:line="264" w:lineRule="auto"/>
        <w:rPr>
          <w:sz w:val="20"/>
          <w:szCs w:val="20"/>
          <w:color w:val="auto"/>
        </w:rPr>
      </w:pPr>
      <w:r>
        <w:rPr>
          <w:rFonts w:ascii="Times New Roman" w:cs="Times New Roman" w:eastAsia="Times New Roman" w:hAnsi="Times New Roman"/>
          <w:sz w:val="17"/>
          <w:szCs w:val="17"/>
          <w:color w:val="auto"/>
        </w:rPr>
        <w:t>We had cash and cash equivalents of $548.9 million and short-term investments of $627.0 million as of March 31, 2024.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08"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Any borrowings under the revolving credit facility bear interest at a variable rate tied to SOFR or an alternative base rate. As of March 31, 2024, we had no amounts outstanding under the revolving credit facility. We do not have any other long-term debt or financial liabilities with floating interest rates that would subject us to interest rate fluctuations.</w:t>
      </w:r>
    </w:p>
    <w:p>
      <w:pPr>
        <w:spacing w:after="0" w:line="84" w:lineRule="exact"/>
        <w:rPr>
          <w:sz w:val="20"/>
          <w:szCs w:val="20"/>
          <w:color w:val="auto"/>
        </w:rPr>
      </w:pPr>
    </w:p>
    <w:p>
      <w:pPr>
        <w:ind w:right="220" w:firstLine="392"/>
        <w:spacing w:after="0" w:line="295" w:lineRule="auto"/>
        <w:rPr>
          <w:sz w:val="20"/>
          <w:szCs w:val="20"/>
          <w:color w:val="auto"/>
        </w:rPr>
      </w:pPr>
      <w:r>
        <w:rPr>
          <w:rFonts w:ascii="Times New Roman" w:cs="Times New Roman" w:eastAsia="Times New Roman" w:hAnsi="Times New Roman"/>
          <w:sz w:val="17"/>
          <w:szCs w:val="17"/>
          <w:color w:val="auto"/>
        </w:rPr>
        <w:t>As of March 31, 2024, a hypothetical increase in interest rates by 100 basis points would have resulted in a $7.2 million reduction in the market value of our investment portfolio. This estimate is based on a sensitivity model that measures market value changes when changes in interest rates occur.</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48"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Our results of operations and cash flows are subject to fluctuations due to changes in foreign currency exchange rates relative to U.S. dollars, our reporting currency.</w:t>
      </w:r>
    </w:p>
    <w:p>
      <w:pPr>
        <w:spacing w:after="0" w:line="81" w:lineRule="exact"/>
        <w:rPr>
          <w:sz w:val="20"/>
          <w:szCs w:val="20"/>
          <w:color w:val="auto"/>
        </w:rPr>
      </w:pPr>
    </w:p>
    <w:p>
      <w:pPr>
        <w:ind w:right="140" w:firstLine="392"/>
        <w:spacing w:after="0" w:line="295" w:lineRule="auto"/>
        <w:rPr>
          <w:sz w:val="20"/>
          <w:szCs w:val="20"/>
          <w:color w:val="auto"/>
        </w:rPr>
      </w:pPr>
      <w:r>
        <w:rPr>
          <w:rFonts w:ascii="Times New Roman" w:cs="Times New Roman" w:eastAsia="Times New Roman" w:hAnsi="Times New Roman"/>
          <w:sz w:val="17"/>
          <w:szCs w:val="17"/>
          <w:color w:val="auto"/>
        </w:rPr>
        <w:t>Most of our revenue is generated in U.S. dollars, with the remainder generated in Euros, British pounds sterling, Australian dollars, Canadian dollars, and Japanese yen.</w:t>
      </w:r>
    </w:p>
    <w:p>
      <w:pPr>
        <w:spacing w:after="0" w:line="81"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1"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increased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three months ended March 31, 2024,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200" w:lineRule="exact"/>
        <w:rPr>
          <w:sz w:val="20"/>
          <w:szCs w:val="20"/>
          <w:color w:val="auto"/>
        </w:rPr>
      </w:pPr>
    </w:p>
    <w:p>
      <w:pPr>
        <w:spacing w:after="0" w:line="213" w:lineRule="exact"/>
        <w:rPr>
          <w:sz w:val="20"/>
          <w:szCs w:val="20"/>
          <w:color w:val="auto"/>
        </w:rPr>
      </w:pPr>
    </w:p>
    <w:p>
      <w:pPr>
        <w:ind w:right="360" w:firstLine="431"/>
        <w:spacing w:after="0" w:line="295" w:lineRule="auto"/>
        <w:rPr>
          <w:sz w:val="20"/>
          <w:szCs w:val="20"/>
          <w:color w:val="auto"/>
        </w:rPr>
      </w:pPr>
      <w:r>
        <w:rPr>
          <w:rFonts w:ascii="Times New Roman" w:cs="Times New Roman" w:eastAsia="Times New Roman" w:hAnsi="Times New Roman"/>
          <w:sz w:val="17"/>
          <w:szCs w:val="17"/>
          <w:color w:val="auto"/>
        </w:rPr>
        <w:t>Foreign currency transaction gains or losses were immaterial during the three months ended March 31, 2024 and 2023. A hypothetical 10% change in foreign currency rates would not have resulted in material gains or losses for the three months ended March 31, 2024 and 2023, respectively.</w:t>
      </w:r>
    </w:p>
    <w:p>
      <w:pPr>
        <w:spacing w:after="0" w:line="81" w:lineRule="exact"/>
        <w:rPr>
          <w:sz w:val="20"/>
          <w:szCs w:val="20"/>
          <w:color w:val="auto"/>
        </w:rPr>
      </w:pPr>
    </w:p>
    <w:p>
      <w:pPr>
        <w:ind w:right="160" w:firstLine="392"/>
        <w:spacing w:after="0" w:line="295" w:lineRule="auto"/>
        <w:rPr>
          <w:sz w:val="20"/>
          <w:szCs w:val="20"/>
          <w:color w:val="auto"/>
        </w:rPr>
      </w:pPr>
      <w:r>
        <w:rPr>
          <w:rFonts w:ascii="Times New Roman" w:cs="Times New Roman" w:eastAsia="Times New Roman" w:hAnsi="Times New Roman"/>
          <w:sz w:val="17"/>
          <w:szCs w:val="17"/>
          <w:color w:val="auto"/>
        </w:rPr>
        <w:t>To date, we have not engaged in any hedging activities to manage foreign currency exchange risk.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1" w:lineRule="exact"/>
        <w:rPr>
          <w:sz w:val="20"/>
          <w:szCs w:val="20"/>
          <w:color w:val="auto"/>
        </w:rPr>
      </w:pPr>
    </w:p>
    <w:p>
      <w:pPr>
        <w:jc w:val="both"/>
        <w:ind w:right="60" w:firstLine="392"/>
        <w:spacing w:after="0" w:line="269"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1"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1" w:lineRule="exact"/>
        <w:rPr>
          <w:sz w:val="20"/>
          <w:szCs w:val="20"/>
          <w:color w:val="auto"/>
        </w:rPr>
      </w:pPr>
    </w:p>
    <w:p>
      <w:pPr>
        <w:ind w:firstLine="392"/>
        <w:spacing w:after="0" w:line="260"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20" w:lineRule="exact"/>
        <w:rPr>
          <w:sz w:val="20"/>
          <w:szCs w:val="20"/>
          <w:color w:val="auto"/>
        </w:rPr>
      </w:pPr>
    </w:p>
    <w:p>
      <w:pPr>
        <w:ind w:right="140" w:firstLine="392"/>
        <w:spacing w:after="0" w:line="288" w:lineRule="auto"/>
        <w:rPr>
          <w:sz w:val="20"/>
          <w:szCs w:val="20"/>
          <w:color w:val="auto"/>
        </w:rPr>
      </w:pPr>
      <w:r>
        <w:rPr>
          <w:rFonts w:ascii="Times New Roman" w:cs="Times New Roman" w:eastAsia="Times New Roman" w:hAnsi="Times New Roman"/>
          <w:sz w:val="17"/>
          <w:szCs w:val="17"/>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39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10,013,158 and 10,021,052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spacing w:after="0" w:line="204"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At the trial in May 2023, the jury found in favor of Dropbox on all counts including non-infringement and invalidity of the patents and awarded no damages to Motion Offense. Dropbox filed a Motion for Entry of Judgment on August 28, 2023 and is currently awaiting entry of judgment by the district court. The final judgment may be appealed to the Federal Circuit. On September 27, 2023, Motion Offense filed a Motion for a New Trial. At a hearing on January 3, 2024, the Court denied Motion Offense’s Motion for a New Trial. On January 8, 2024, the court ordered supplemental briefing relating to the Motion for Entry of Judgment and briefing was completed. On February 27, 2024, Motion Offense filed a Motion for Leave to file a Reply Brief to the supplemental briefing and Dropbox filed its Opposition to the Motion for Leave on March 1, 2024. The Court's decisions are pending.</w:t>
      </w:r>
    </w:p>
    <w:p>
      <w:pPr>
        <w:spacing w:after="0" w:line="200" w:lineRule="exact"/>
        <w:rPr>
          <w:sz w:val="20"/>
          <w:szCs w:val="20"/>
          <w:color w:val="auto"/>
        </w:rPr>
      </w:pPr>
    </w:p>
    <w:p>
      <w:pPr>
        <w:jc w:val="both"/>
        <w:ind w:right="200" w:firstLine="392"/>
        <w:spacing w:after="0" w:line="276" w:lineRule="auto"/>
        <w:rPr>
          <w:sz w:val="20"/>
          <w:szCs w:val="20"/>
          <w:color w:val="auto"/>
        </w:rPr>
      </w:pPr>
      <w:r>
        <w:rPr>
          <w:rFonts w:ascii="Times New Roman" w:cs="Times New Roman" w:eastAsia="Times New Roman" w:hAnsi="Times New Roman"/>
          <w:sz w:val="17"/>
          <w:szCs w:val="17"/>
          <w:color w:val="auto"/>
        </w:rPr>
        <w:t>Before trial, Motion Offense filed a third patent infringement suit against Dropbox out of the same family of patents as the prior two suits. This suit was not consolidated into the trial. Decisions on the parties' Motions to Dismiss and Dropbox's Motion to Stay are currently pending. We believe Motion Offense’s allegations in that suit are similarly without merit and will vigorously defend against them.</w:t>
      </w:r>
    </w:p>
    <w:p>
      <w:pPr>
        <w:spacing w:after="0" w:line="188" w:lineRule="exact"/>
        <w:rPr>
          <w:sz w:val="20"/>
          <w:szCs w:val="20"/>
          <w:color w:val="auto"/>
        </w:rPr>
      </w:pPr>
    </w:p>
    <w:p>
      <w:pPr>
        <w:ind w:right="80" w:firstLine="392"/>
        <w:spacing w:after="0" w:line="295" w:lineRule="auto"/>
        <w:rPr>
          <w:sz w:val="20"/>
          <w:szCs w:val="20"/>
          <w:color w:val="auto"/>
        </w:rPr>
      </w:pPr>
      <w:r>
        <w:rPr>
          <w:rFonts w:ascii="Times New Roman" w:cs="Times New Roman" w:eastAsia="Times New Roman" w:hAnsi="Times New Roman"/>
          <w:sz w:val="17"/>
          <w:szCs w:val="17"/>
          <w:color w:val="auto"/>
        </w:rPr>
        <w:t>While we remain confident in the Company’s defenses to the asserted allegations in these cases, it is not possible to determine the ultimate outcome at this time, and thus we cannot reasonably estimate the maximum potential exposure or range of possible loss.</w:t>
      </w:r>
    </w:p>
    <w:p>
      <w:pPr>
        <w:spacing w:after="0" w:line="173" w:lineRule="exact"/>
        <w:rPr>
          <w:sz w:val="20"/>
          <w:szCs w:val="20"/>
          <w:color w:val="auto"/>
        </w:rPr>
      </w:pPr>
    </w:p>
    <w:p>
      <w:pPr>
        <w:ind w:right="180" w:firstLine="392"/>
        <w:spacing w:after="0" w:line="276" w:lineRule="auto"/>
        <w:rPr>
          <w:sz w:val="20"/>
          <w:szCs w:val="20"/>
          <w:color w:val="auto"/>
        </w:rPr>
      </w:pPr>
      <w:r>
        <w:rPr>
          <w:rFonts w:ascii="Times New Roman" w:cs="Times New Roman" w:eastAsia="Times New Roman" w:hAnsi="Times New Roman"/>
          <w:sz w:val="17"/>
          <w:szCs w:val="17"/>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242"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24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204" w:lineRule="exact"/>
        <w:rPr>
          <w:sz w:val="20"/>
          <w:szCs w:val="20"/>
          <w:color w:val="auto"/>
        </w:rPr>
      </w:pPr>
    </w:p>
    <w:p>
      <w:pPr>
        <w:ind w:right="20" w:firstLine="392"/>
        <w:spacing w:after="0" w:line="259" w:lineRule="auto"/>
        <w:rPr>
          <w:sz w:val="20"/>
          <w:szCs w:val="20"/>
          <w:color w:val="auto"/>
        </w:rPr>
      </w:pPr>
      <w:r>
        <w:rPr>
          <w:rFonts w:ascii="Times New Roman" w:cs="Times New Roman" w:eastAsia="Times New Roman" w:hAnsi="Times New Roman"/>
          <w:sz w:val="17"/>
          <w:szCs w:val="17"/>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including our bundled product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200" w:lineRule="exact"/>
        <w:rPr>
          <w:sz w:val="20"/>
          <w:szCs w:val="20"/>
          <w:color w:val="auto"/>
        </w:rPr>
      </w:pPr>
    </w:p>
    <w:p>
      <w:pPr>
        <w:spacing w:after="0" w:line="220" w:lineRule="exact"/>
        <w:rPr>
          <w:sz w:val="20"/>
          <w:szCs w:val="20"/>
          <w:color w:val="auto"/>
        </w:rPr>
      </w:pPr>
    </w:p>
    <w:p>
      <w:pPr>
        <w:ind w:right="160" w:firstLine="392"/>
        <w:spacing w:after="0" w:line="276" w:lineRule="auto"/>
        <w:rPr>
          <w:sz w:val="20"/>
          <w:szCs w:val="20"/>
          <w:color w:val="auto"/>
        </w:rPr>
      </w:pPr>
      <w:r>
        <w:rPr>
          <w:rFonts w:ascii="Times New Roman" w:cs="Times New Roman" w:eastAsia="Times New Roman" w:hAnsi="Times New Roman"/>
          <w:sz w:val="17"/>
          <w:szCs w:val="17"/>
          <w:color w:val="auto"/>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growth could be harmed if we fail to attract new users or convert registered users to paying users.</w:t>
      </w:r>
    </w:p>
    <w:p>
      <w:pPr>
        <w:spacing w:after="0" w:line="253" w:lineRule="exact"/>
        <w:rPr>
          <w:sz w:val="20"/>
          <w:szCs w:val="20"/>
          <w:color w:val="auto"/>
        </w:rPr>
      </w:pPr>
    </w:p>
    <w:p>
      <w:pPr>
        <w:ind w:right="40" w:firstLine="392"/>
        <w:spacing w:after="0" w:line="273" w:lineRule="auto"/>
        <w:rPr>
          <w:sz w:val="20"/>
          <w:szCs w:val="20"/>
          <w:color w:val="auto"/>
        </w:rPr>
      </w:pPr>
      <w:r>
        <w:rPr>
          <w:rFonts w:ascii="Times New Roman" w:cs="Times New Roman" w:eastAsia="Times New Roman" w:hAnsi="Times New Roman"/>
          <w:sz w:val="17"/>
          <w:szCs w:val="17"/>
          <w:color w:val="auto"/>
        </w:rPr>
        <w:t>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Our self-service channel revenue is driven by word-of-mouth referrals,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recommendations, and positive brand recognition in the marketplace. Any decrease in user satisfaction with our products or support could harm our brand, word-of-mouth referrals, and ability to grow.</w:t>
      </w:r>
    </w:p>
    <w:p>
      <w:pPr>
        <w:spacing w:after="0" w:line="173" w:lineRule="exact"/>
        <w:rPr>
          <w:sz w:val="20"/>
          <w:szCs w:val="20"/>
          <w:color w:val="auto"/>
        </w:rPr>
      </w:pPr>
    </w:p>
    <w:p>
      <w:pPr>
        <w:ind w:right="140" w:firstLine="392"/>
        <w:spacing w:after="0" w:line="264" w:lineRule="auto"/>
        <w:rPr>
          <w:sz w:val="20"/>
          <w:szCs w:val="20"/>
          <w:color w:val="auto"/>
        </w:rPr>
      </w:pPr>
      <w:r>
        <w:rPr>
          <w:rFonts w:ascii="Times New Roman" w:cs="Times New Roman" w:eastAsia="Times New Roman" w:hAnsi="Times New Roman"/>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2024, we served over 700 million registered users but only 18.16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ind w:right="100" w:firstLine="392"/>
        <w:spacing w:after="0" w:line="264" w:lineRule="auto"/>
        <w:rPr>
          <w:sz w:val="20"/>
          <w:szCs w:val="20"/>
          <w:color w:val="auto"/>
        </w:rPr>
      </w:pPr>
      <w:r>
        <w:rPr>
          <w:rFonts w:ascii="Times New Roman" w:cs="Times New Roman" w:eastAsia="Times New Roman" w:hAnsi="Times New Roman"/>
          <w:sz w:val="17"/>
          <w:szCs w:val="17"/>
          <w:color w:val="auto"/>
        </w:rPr>
        <w:t>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w:t>
      </w:r>
    </w:p>
    <w:p>
      <w:pPr>
        <w:spacing w:after="0" w:line="200"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Furthermore, events or conditions that financially impact our registered users and other prospective paying users, such as macroeconomic factors, layoffs, inflation, increased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 the past and may continue to experience privacy and data security breaches or incidents.</w:t>
      </w:r>
    </w:p>
    <w:p>
      <w:pPr>
        <w:spacing w:after="0" w:line="253"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7"/>
          <w:szCs w:val="17"/>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For example, as previously disclosed in our Form 8-K filed with the Securities and Exchange Commission on May 1, 2024, on April 24, 2024, we became aware of unauthorized access to the Dropbox Sign production environment. We continue to face risks relating to this incident, including harm to our reputation and customer relationships along with litigation and regulatory scrutiny. Our investigation of this incident is ongoing and we may discover other impacts or new events related to this incident may occur that could affect our business operations, financial condition or results of operation.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40" w:firstLine="392"/>
        <w:spacing w:after="0" w:line="263" w:lineRule="auto"/>
        <w:rPr>
          <w:sz w:val="20"/>
          <w:szCs w:val="20"/>
          <w:color w:val="auto"/>
        </w:rPr>
      </w:pPr>
      <w:r>
        <w:rPr>
          <w:rFonts w:ascii="Times New Roman" w:cs="Times New Roman" w:eastAsia="Times New Roman" w:hAnsi="Times New Roman"/>
          <w:sz w:val="17"/>
          <w:szCs w:val="17"/>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199"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Emerging and evolving cybersecurity threats pose unique challenges and involve sophisticated threat actors. Computer malware, ransomware,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2"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spacing w:after="0" w:line="195"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the Dropbox Developer Terms and Conditions, or in the event of a breach or other compromise of their networks or systems, our data or our users' data may be improperly accessed, used, or disclosed.</w:t>
      </w:r>
    </w:p>
    <w:p>
      <w:pPr>
        <w:spacing w:after="0" w:line="195"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recent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rate of growth has declined in past periods. If we do not successfully execute our plan for future growth, our growth rate may continue to decline in the future.</w:t>
      </w:r>
    </w:p>
    <w:p>
      <w:pPr>
        <w:spacing w:after="0" w:line="169"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The rate of growth of our business and revenue has declined in prior periods and may continue to decline in the future if we are unable to execute on our new product initiatives and plans for future growth. Although we believe our new product initiatives represent an opportunity for future growth, these initiatives, including any AI-based initiatives, may not succeed, and any additional revenue they generate may be insufficient to offset declining rates of growth in other areas of our business.</w:t>
      </w:r>
    </w:p>
    <w:p>
      <w:pPr>
        <w:spacing w:after="0" w:line="195"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Additionally, 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Moreover, any increasing complexity of our product offerings could harm our customer experience and negatively impact user retention or the conversion of registered users to paying users.</w:t>
      </w:r>
    </w:p>
    <w:p>
      <w:pPr>
        <w:spacing w:after="0" w:line="197" w:lineRule="exact"/>
        <w:rPr>
          <w:sz w:val="20"/>
          <w:szCs w:val="20"/>
          <w:color w:val="auto"/>
        </w:rPr>
      </w:pPr>
    </w:p>
    <w:p>
      <w:pPr>
        <w:ind w:right="200" w:firstLine="392"/>
        <w:spacing w:after="0" w:line="276" w:lineRule="auto"/>
        <w:rPr>
          <w:sz w:val="20"/>
          <w:szCs w:val="20"/>
          <w:color w:val="auto"/>
        </w:rPr>
      </w:pPr>
      <w:r>
        <w:rPr>
          <w:rFonts w:ascii="Times New Roman" w:cs="Times New Roman" w:eastAsia="Times New Roman" w:hAnsi="Times New Roman"/>
          <w:sz w:val="17"/>
          <w:szCs w:val="17"/>
          <w:color w:val="auto"/>
        </w:rPr>
        <w:t>In addition, these challenges may be heightened in connection with our Virtual First work model, as we focus on integrating, developing, and motivating an increasingly distributed employee base in various countries around the world, as well as aligning our resources to create a more nimble and streamlined organization. Executing our plans to drive growth will also require significant expenditures and allocation of valuable management resources.</w:t>
      </w:r>
    </w:p>
    <w:p>
      <w:pPr>
        <w:spacing w:after="0" w:line="188"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7"/>
          <w:szCs w:val="17"/>
          <w:color w:val="auto"/>
        </w:rPr>
        <w:t>Our ability to forecast our future results of operations is subject to a number of risks and uncertainties, including our ability to effectively plan for and model future growth, and we have not always and we may not in the future receive our expected return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spacing w:after="0" w:line="193"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significantly impacted by a change in general economic, political, and market conditions, including any resulting effect on consumer or business spending.</w:t>
      </w:r>
    </w:p>
    <w:p>
      <w:pPr>
        <w:spacing w:after="0" w:line="169"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rising interest rates, unemployment trends, geopolitical issues, including wars and other armed conflicts, global health epidemics and other highly communicable diseases, bank insolvency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competitive markets, and we must continue to compete effectively.</w:t>
      </w:r>
    </w:p>
    <w:p>
      <w:pPr>
        <w:spacing w:after="0" w:line="253"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1260" w:hanging="315"/>
        <w:spacing w:after="0"/>
        <w:tabs>
          <w:tab w:leader="none" w:pos="12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user-centric design;</w:t>
      </w:r>
    </w:p>
    <w:p>
      <w:pPr>
        <w:spacing w:after="0" w:line="217" w:lineRule="exact"/>
        <w:rPr>
          <w:rFonts w:ascii="Times New Roman" w:cs="Times New Roman" w:eastAsia="Times New Roman" w:hAnsi="Times New Roman"/>
          <w:sz w:val="21"/>
          <w:szCs w:val="21"/>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of user network;</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accessibility across several devices, operating systems, and applications;</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integration;</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innovation;</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49"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make it increasingly difficult for us to compete effectively. We expect these trends to continue as competitors continue to strengthen or maintain their market positions.</w:t>
      </w:r>
    </w:p>
    <w:p>
      <w:pPr>
        <w:spacing w:after="0" w:line="200"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Demand for our platform is also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95"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4" w:lineRule="exact"/>
        <w:rPr>
          <w:sz w:val="20"/>
          <w:szCs w:val="20"/>
          <w:color w:val="auto"/>
        </w:rPr>
      </w:pPr>
    </w:p>
    <w:p>
      <w:pPr>
        <w:jc w:val="both"/>
        <w:ind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69" w:lineRule="exact"/>
        <w:rPr>
          <w:sz w:val="20"/>
          <w:szCs w:val="20"/>
          <w:color w:val="auto"/>
        </w:rPr>
      </w:pPr>
    </w:p>
    <w:p>
      <w:pPr>
        <w:ind w:right="180" w:firstLine="392"/>
        <w:spacing w:after="0" w:line="264" w:lineRule="auto"/>
        <w:rPr>
          <w:sz w:val="20"/>
          <w:szCs w:val="20"/>
          <w:color w:val="auto"/>
        </w:rPr>
      </w:pPr>
      <w:r>
        <w:rPr>
          <w:rFonts w:ascii="Times New Roman" w:cs="Times New Roman" w:eastAsia="Times New Roman" w:hAnsi="Times New Roman"/>
          <w:sz w:val="17"/>
          <w:szCs w:val="17"/>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AI, and while we are optimistic that such new products will</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drive future growth of our business, the development of such new features will incur significant costs, we expect to face increasing competition,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has enacted an Artificial Intelligence Act that prohibits certain AI applications and systems and imposes additional requirements on the use of certain applications or systems.</w:t>
      </w:r>
    </w:p>
    <w:p>
      <w:pPr>
        <w:spacing w:after="0" w:line="197" w:lineRule="exact"/>
        <w:rPr>
          <w:sz w:val="20"/>
          <w:szCs w:val="20"/>
          <w:color w:val="auto"/>
        </w:rPr>
      </w:pPr>
    </w:p>
    <w:p>
      <w:pPr>
        <w:ind w:right="120" w:firstLine="392"/>
        <w:spacing w:after="0" w:line="262" w:lineRule="auto"/>
        <w:rPr>
          <w:sz w:val="20"/>
          <w:szCs w:val="20"/>
          <w:color w:val="auto"/>
        </w:rPr>
      </w:pPr>
      <w:r>
        <w:rPr>
          <w:rFonts w:ascii="Times New Roman" w:cs="Times New Roman" w:eastAsia="Times New Roman" w:hAnsi="Times New Roman"/>
          <w:sz w:val="17"/>
          <w:szCs w:val="17"/>
          <w:color w:val="auto"/>
        </w:rPr>
        <w:t>In addition, while we believe trends towards remote or distributed work will prove to be significant and long lasting, and that these trends will open up increased market opportunities for us, such as our work on new AI-driven products,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1"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upon the interoperability of our platform across devices, operating systems, and third-party applications that we do not control.</w:t>
      </w:r>
    </w:p>
    <w:p>
      <w:pPr>
        <w:spacing w:after="0" w:line="253"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 party services, our business may be adversely impacted.</w:t>
      </w:r>
    </w:p>
    <w:p>
      <w:pPr>
        <w:spacing w:after="0" w:line="199" w:lineRule="exact"/>
        <w:rPr>
          <w:sz w:val="20"/>
          <w:szCs w:val="20"/>
          <w:color w:val="auto"/>
        </w:rPr>
      </w:pPr>
    </w:p>
    <w:p>
      <w:pPr>
        <w:ind w:right="160" w:firstLine="392"/>
        <w:spacing w:after="0" w:line="269" w:lineRule="auto"/>
        <w:rPr>
          <w:sz w:val="20"/>
          <w:szCs w:val="20"/>
          <w:color w:val="auto"/>
        </w:rPr>
      </w:pPr>
      <w:r>
        <w:rPr>
          <w:rFonts w:ascii="Times New Roman" w:cs="Times New Roman" w:eastAsia="Times New Roman" w:hAnsi="Times New Roman"/>
          <w:sz w:val="17"/>
          <w:szCs w:val="17"/>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harmed by any significant disruption of service on our platform or loss of content.</w:t>
      </w:r>
    </w:p>
    <w:p>
      <w:pPr>
        <w:spacing w:after="0" w:line="253" w:lineRule="exact"/>
        <w:rPr>
          <w:sz w:val="20"/>
          <w:szCs w:val="20"/>
          <w:color w:val="auto"/>
        </w:rPr>
      </w:pPr>
    </w:p>
    <w:p>
      <w:pPr>
        <w:ind w:right="140" w:firstLine="392"/>
        <w:spacing w:after="0" w:line="264" w:lineRule="auto"/>
        <w:rPr>
          <w:sz w:val="20"/>
          <w:szCs w:val="20"/>
          <w:color w:val="auto"/>
        </w:rPr>
      </w:pPr>
      <w:r>
        <w:rPr>
          <w:rFonts w:ascii="Times New Roman" w:cs="Times New Roman" w:eastAsia="Times New Roman" w:hAnsi="Times New Roman"/>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0"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continue to add, enhance and modify our infrastructure to meet our business needs, we may move or transfer additional content accordingly.</w:t>
      </w:r>
    </w:p>
    <w:p>
      <w:pPr>
        <w:spacing w:after="0" w:line="195"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9" w:lineRule="exact"/>
        <w:rPr>
          <w:sz w:val="20"/>
          <w:szCs w:val="20"/>
          <w:color w:val="auto"/>
        </w:rPr>
      </w:pPr>
    </w:p>
    <w:p>
      <w:pPr>
        <w:ind w:right="140" w:firstLine="392"/>
        <w:spacing w:after="0" w:line="263" w:lineRule="auto"/>
        <w:rPr>
          <w:sz w:val="20"/>
          <w:szCs w:val="20"/>
          <w:color w:val="auto"/>
        </w:rPr>
      </w:pPr>
      <w:r>
        <w:rPr>
          <w:rFonts w:ascii="Times New Roman" w:cs="Times New Roman" w:eastAsia="Times New Roman" w:hAnsi="Times New Roman"/>
          <w:sz w:val="17"/>
          <w:szCs w:val="17"/>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generate revenue from sales of subscriptions to our platform, and declines in demand for our platform, or for content collaboration solutions in general, could negatively impact our business.</w:t>
      </w:r>
    </w:p>
    <w:p>
      <w:pPr>
        <w:spacing w:after="0" w:line="169"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spacing w:after="0" w:line="195" w:lineRule="exact"/>
        <w:rPr>
          <w:sz w:val="20"/>
          <w:szCs w:val="20"/>
          <w:color w:val="auto"/>
        </w:rPr>
      </w:pPr>
    </w:p>
    <w:p>
      <w:pPr>
        <w:jc w:val="both"/>
        <w:ind w:firstLine="392"/>
        <w:spacing w:after="0" w:line="276" w:lineRule="auto"/>
        <w:rPr>
          <w:sz w:val="20"/>
          <w:szCs w:val="20"/>
          <w:color w:val="auto"/>
        </w:rPr>
      </w:pPr>
      <w:r>
        <w:rPr>
          <w:rFonts w:ascii="Times New Roman" w:cs="Times New Roman" w:eastAsia="Times New Roman" w:hAnsi="Times New Roman"/>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213" w:lineRule="exact"/>
        <w:rPr>
          <w:sz w:val="20"/>
          <w:szCs w:val="20"/>
          <w:color w:val="auto"/>
        </w:rPr>
      </w:pPr>
    </w:p>
    <w:p>
      <w:pPr>
        <w:ind w:left="620" w:hanging="302"/>
        <w:spacing w:after="0"/>
        <w:tabs>
          <w:tab w:leader="none" w:pos="6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awareness of the content collaboration category generally;</w:t>
      </w:r>
    </w:p>
    <w:p>
      <w:pPr>
        <w:spacing w:after="0" w:line="1"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products and services that compete with ours;</w:t>
      </w:r>
    </w:p>
    <w:p>
      <w:pPr>
        <w:spacing w:after="0" w:line="22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scale, and duration, of trends towards or away from remote or distributed work;</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AI; and</w:t>
      </w:r>
    </w:p>
    <w:p>
      <w:pPr>
        <w:spacing w:after="0" w:line="24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w:t>
      </w:r>
    </w:p>
    <w:p>
      <w:pPr>
        <w:spacing w:after="0" w:line="249" w:lineRule="exact"/>
        <w:rPr>
          <w:sz w:val="20"/>
          <w:szCs w:val="20"/>
          <w:color w:val="auto"/>
        </w:rPr>
      </w:pPr>
    </w:p>
    <w:p>
      <w:pPr>
        <w:ind w:right="120" w:firstLine="392"/>
        <w:spacing w:after="0" w:line="276" w:lineRule="auto"/>
        <w:rPr>
          <w:sz w:val="20"/>
          <w:szCs w:val="20"/>
          <w:color w:val="auto"/>
        </w:rPr>
      </w:pPr>
      <w:r>
        <w:rPr>
          <w:rFonts w:ascii="Times New Roman" w:cs="Times New Roman" w:eastAsia="Times New Roman" w:hAnsi="Times New Roman"/>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4"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69"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7"/>
          <w:szCs w:val="17"/>
          <w:color w:val="auto"/>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97"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188"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7"/>
          <w:szCs w:val="17"/>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spacing w:after="0" w:line="200" w:lineRule="exact"/>
        <w:rPr>
          <w:sz w:val="20"/>
          <w:szCs w:val="20"/>
          <w:color w:val="auto"/>
        </w:rPr>
      </w:pPr>
    </w:p>
    <w:p>
      <w:pPr>
        <w:spacing w:after="0" w:line="213"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spacing w:after="0" w:line="184"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 limited history of operating with a Virtual First workforce and the long-term impact on our financial results and business operations remains uncertain.</w:t>
      </w:r>
    </w:p>
    <w:p>
      <w:pPr>
        <w:spacing w:after="0" w:line="169"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7"/>
          <w:szCs w:val="17"/>
          <w:color w:val="auto"/>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197"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Our shift to a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95"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lack of a significant outbound sales force may limit the potential growth of our business.</w:t>
      </w:r>
    </w:p>
    <w:p>
      <w:pPr>
        <w:spacing w:after="0" w:line="253" w:lineRule="exact"/>
        <w:rPr>
          <w:sz w:val="20"/>
          <w:szCs w:val="20"/>
          <w:color w:val="auto"/>
        </w:rPr>
      </w:pPr>
    </w:p>
    <w:p>
      <w:pPr>
        <w:ind w:right="440" w:firstLine="392"/>
        <w:spacing w:after="0" w:line="295" w:lineRule="auto"/>
        <w:rPr>
          <w:sz w:val="20"/>
          <w:szCs w:val="20"/>
          <w:color w:val="auto"/>
        </w:rPr>
      </w:pPr>
      <w:r>
        <w:rPr>
          <w:rFonts w:ascii="Times New Roman" w:cs="Times New Roman" w:eastAsia="Times New Roman" w:hAnsi="Times New Roman"/>
          <w:sz w:val="17"/>
          <w:szCs w:val="17"/>
          <w:color w:val="auto"/>
        </w:rPr>
        <w:t>Historically, our business model has been driven by organic adoption and viral growth, with more than 90% of our revenue generated from self-serve channels. As a result, we do not have a significant outbound sales force, which has enabled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significant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expand sales to large organizations, which could lengthen sales cycles and result in greater deployment challenges.</w:t>
      </w:r>
    </w:p>
    <w:p>
      <w:pPr>
        <w:spacing w:after="0" w:line="253"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customer support may harm our relationships with our users and our financial results.</w:t>
      </w:r>
    </w:p>
    <w:p>
      <w:pPr>
        <w:spacing w:after="0" w:line="253"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95"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6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3"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69"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We have paying users across approximately 180 countries and approximately half of our revenue in the year ended December 31, 2023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18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compliance with applicable international laws, regulations, and standards including laws and regulations with respect to labor and employment, privacy, data protection, cybersecurity, consumer protection, tax, export control and sanctions, and unsolicited email, and the risk of penalties to our users and individual members of management or employees if our practices are deemed to be out of compliance;</w:t>
      </w:r>
    </w:p>
    <w:p>
      <w:pPr>
        <w:spacing w:after="0" w:line="227" w:lineRule="exact"/>
        <w:rPr>
          <w:sz w:val="20"/>
          <w:szCs w:val="20"/>
          <w:color w:val="auto"/>
        </w:rPr>
      </w:pPr>
    </w:p>
    <w:p>
      <w:pPr>
        <w:ind w:left="640" w:right="200" w:hanging="322"/>
        <w:spacing w:after="0" w:line="239" w:lineRule="auto"/>
        <w:tabs>
          <w:tab w:leader="none" w:pos="63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257" w:lineRule="exact"/>
        <w:rPr>
          <w:rFonts w:ascii="Times New Roman" w:cs="Times New Roman" w:eastAsia="Times New Roman" w:hAnsi="Times New Roman"/>
          <w:sz w:val="21"/>
          <w:szCs w:val="21"/>
          <w:color w:val="auto"/>
        </w:rPr>
      </w:pPr>
    </w:p>
    <w:p>
      <w:pPr>
        <w:ind w:left="640" w:right="420" w:hanging="322"/>
        <w:spacing w:after="0" w:line="239" w:lineRule="auto"/>
        <w:tabs>
          <w:tab w:leader="none" w:pos="63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management of an employee base in jurisdictions that may not give us the same employment and retention flexibility as the United States;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operating in jurisdictions that do not protect intellectual property rights in the same manner or to the same extent as the United States;</w:t>
      </w:r>
    </w:p>
    <w:p>
      <w:pPr>
        <w:spacing w:after="0" w:line="256" w:lineRule="exact"/>
        <w:rPr>
          <w:rFonts w:ascii="Times New Roman" w:cs="Times New Roman" w:eastAsia="Times New Roman" w:hAnsi="Times New Roman"/>
          <w:sz w:val="21"/>
          <w:szCs w:val="21"/>
          <w:color w:val="auto"/>
        </w:rPr>
      </w:pPr>
    </w:p>
    <w:p>
      <w:pPr>
        <w:ind w:left="640" w:right="200" w:hanging="322"/>
        <w:spacing w:after="0" w:line="239" w:lineRule="auto"/>
        <w:tabs>
          <w:tab w:leader="none" w:pos="63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257" w:lineRule="exact"/>
        <w:rPr>
          <w:rFonts w:ascii="Times New Roman" w:cs="Times New Roman" w:eastAsia="Times New Roman" w:hAnsi="Times New Roman"/>
          <w:sz w:val="21"/>
          <w:szCs w:val="21"/>
          <w:color w:val="auto"/>
        </w:rPr>
      </w:pPr>
    </w:p>
    <w:p>
      <w:pPr>
        <w:ind w:left="640" w:right="200" w:hanging="322"/>
        <w:spacing w:after="0" w:line="239" w:lineRule="auto"/>
        <w:tabs>
          <w:tab w:leader="none" w:pos="63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political, social, and economic instability, conflicts, and wars, and their regional and global ramifications;</w:t>
      </w:r>
    </w:p>
    <w:p>
      <w:pPr>
        <w:spacing w:after="0" w:line="256" w:lineRule="exact"/>
        <w:rPr>
          <w:rFonts w:ascii="Times New Roman" w:cs="Times New Roman" w:eastAsia="Times New Roman" w:hAnsi="Times New Roman"/>
          <w:sz w:val="21"/>
          <w:szCs w:val="21"/>
          <w:color w:val="auto"/>
        </w:rPr>
      </w:pPr>
    </w:p>
    <w:p>
      <w:pPr>
        <w:ind w:left="640" w:right="800" w:hanging="322"/>
        <w:spacing w:after="0" w:line="255" w:lineRule="auto"/>
        <w:tabs>
          <w:tab w:leader="none" w:pos="63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241" w:lineRule="exact"/>
        <w:rPr>
          <w:rFonts w:ascii="Times New Roman" w:cs="Times New Roman" w:eastAsia="Times New Roman" w:hAnsi="Times New Roman"/>
          <w:sz w:val="21"/>
          <w:szCs w:val="21"/>
          <w:color w:val="auto"/>
        </w:rPr>
      </w:pPr>
    </w:p>
    <w:p>
      <w:pPr>
        <w:ind w:left="640" w:right="200" w:hanging="322"/>
        <w:spacing w:after="0" w:line="239" w:lineRule="auto"/>
        <w:tabs>
          <w:tab w:leader="none" w:pos="63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 and</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impact of natural disasters and public health epidemics on employees, travel and the global economy.</w:t>
      </w:r>
    </w:p>
    <w:p>
      <w:pPr>
        <w:spacing w:after="0" w:line="217" w:lineRule="exact"/>
        <w:rPr>
          <w:sz w:val="20"/>
          <w:szCs w:val="20"/>
          <w:color w:val="auto"/>
        </w:rPr>
      </w:pPr>
    </w:p>
    <w:p>
      <w:pPr>
        <w:ind w:right="20" w:firstLine="392"/>
        <w:spacing w:after="0" w:line="263" w:lineRule="auto"/>
        <w:rPr>
          <w:sz w:val="20"/>
          <w:szCs w:val="20"/>
          <w:color w:val="auto"/>
        </w:rPr>
      </w:pPr>
      <w:r>
        <w:rPr>
          <w:rFonts w:ascii="Times New Roman" w:cs="Times New Roman" w:eastAsia="Times New Roman" w:hAnsi="Times New Roman"/>
          <w:sz w:val="17"/>
          <w:szCs w:val="17"/>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191"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95"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9"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69" w:lineRule="exact"/>
        <w:rPr>
          <w:sz w:val="20"/>
          <w:szCs w:val="20"/>
          <w:color w:val="auto"/>
        </w:rPr>
      </w:pPr>
    </w:p>
    <w:p>
      <w:pPr>
        <w:ind w:right="160" w:firstLine="392"/>
        <w:spacing w:after="0" w:line="264" w:lineRule="auto"/>
        <w:rPr>
          <w:sz w:val="20"/>
          <w:szCs w:val="20"/>
          <w:color w:val="auto"/>
        </w:rPr>
      </w:pPr>
      <w:r>
        <w:rPr>
          <w:rFonts w:ascii="Times New Roman" w:cs="Times New Roman" w:eastAsia="Times New Roman" w:hAnsi="Times New Roman"/>
          <w:sz w:val="17"/>
          <w:szCs w:val="17"/>
          <w:color w:val="auto"/>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0" w:lineRule="exact"/>
        <w:rPr>
          <w:sz w:val="20"/>
          <w:szCs w:val="20"/>
          <w:color w:val="auto"/>
        </w:rPr>
      </w:pPr>
    </w:p>
    <w:p>
      <w:pPr>
        <w:ind w:right="140" w:firstLine="392"/>
        <w:spacing w:after="0" w:line="269" w:lineRule="auto"/>
        <w:rPr>
          <w:sz w:val="20"/>
          <w:szCs w:val="20"/>
          <w:color w:val="auto"/>
        </w:rPr>
      </w:pPr>
      <w:r>
        <w:rPr>
          <w:rFonts w:ascii="Times New Roman" w:cs="Times New Roman" w:eastAsia="Times New Roman" w:hAnsi="Times New Roman"/>
          <w:sz w:val="17"/>
          <w:szCs w:val="17"/>
          <w:color w:val="auto"/>
        </w:rPr>
        <w:t>We also depend on our ecosystem of developers to create applications that will integrate with our platform. As of December 31, 2023,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95" w:lineRule="exact"/>
        <w:rPr>
          <w:sz w:val="20"/>
          <w:szCs w:val="20"/>
          <w:color w:val="auto"/>
        </w:rPr>
      </w:pPr>
    </w:p>
    <w:p>
      <w:pPr>
        <w:ind w:right="260" w:firstLine="392"/>
        <w:spacing w:after="0" w:line="295" w:lineRule="auto"/>
        <w:rPr>
          <w:sz w:val="20"/>
          <w:szCs w:val="20"/>
          <w:color w:val="auto"/>
        </w:rPr>
      </w:pPr>
      <w:r>
        <w:rPr>
          <w:rFonts w:ascii="Times New Roman" w:cs="Times New Roman" w:eastAsia="Times New Roman" w:hAnsi="Times New Roman"/>
          <w:sz w:val="17"/>
          <w:szCs w:val="17"/>
          <w:color w:val="auto"/>
        </w:rPr>
        <w:t>We may not have the ability to control or prevent these risks. As a result, issues relating to these applications could adversely affect our business, brand,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offer and sell subscriptions to our platform and subject us to possible litigation.</w:t>
      </w:r>
    </w:p>
    <w:p>
      <w:pPr>
        <w:spacing w:after="0" w:line="25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subscriptions to our platform and retain users could be harmed by real or perceived material defects or errors in our platform.</w:t>
      </w:r>
    </w:p>
    <w:p>
      <w:pPr>
        <w:spacing w:after="0" w:line="253" w:lineRule="exact"/>
        <w:rPr>
          <w:sz w:val="20"/>
          <w:szCs w:val="20"/>
          <w:color w:val="auto"/>
        </w:rPr>
      </w:pPr>
    </w:p>
    <w:p>
      <w:pPr>
        <w:ind w:right="40" w:firstLine="392"/>
        <w:spacing w:after="0" w:line="263" w:lineRule="auto"/>
        <w:rPr>
          <w:sz w:val="20"/>
          <w:szCs w:val="20"/>
          <w:color w:val="auto"/>
        </w:rPr>
      </w:pPr>
      <w:r>
        <w:rPr>
          <w:rFonts w:ascii="Times New Roman" w:cs="Times New Roman" w:eastAsia="Times New Roman" w:hAnsi="Times New Roman"/>
          <w:sz w:val="17"/>
          <w:szCs w:val="17"/>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9" w:lineRule="exact"/>
        <w:rPr>
          <w:sz w:val="20"/>
          <w:szCs w:val="20"/>
          <w:color w:val="auto"/>
        </w:rPr>
      </w:pPr>
    </w:p>
    <w:p>
      <w:pPr>
        <w:ind w:firstLine="392"/>
        <w:spacing w:after="0" w:line="288" w:lineRule="auto"/>
        <w:rPr>
          <w:sz w:val="20"/>
          <w:szCs w:val="20"/>
          <w:color w:val="auto"/>
        </w:rPr>
      </w:pPr>
      <w:r>
        <w:rPr>
          <w:rFonts w:ascii="Times New Roman" w:cs="Times New Roman" w:eastAsia="Times New Roman" w:hAnsi="Times New Roman"/>
          <w:sz w:val="17"/>
          <w:szCs w:val="17"/>
          <w:color w:val="auto"/>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spacing w:after="0" w:line="200" w:lineRule="exact"/>
        <w:rPr>
          <w:sz w:val="20"/>
          <w:szCs w:val="20"/>
          <w:color w:val="auto"/>
        </w:rPr>
      </w:pPr>
    </w:p>
    <w:p>
      <w:pPr>
        <w:spacing w:after="0" w:line="218" w:lineRule="exact"/>
        <w:rPr>
          <w:sz w:val="20"/>
          <w:szCs w:val="20"/>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cause a reduction in revenue or delay in market acceptance of our platform;</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us to issue refunds to our users or expose us to claims for damages;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cause us to lose existing users and make it more difficult to attract new users;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divert our development resources or require us to make extensive changes to our platform, which would increase our expenses;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increase our technical support costs; and</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harm our reputation and brand.</w:t>
      </w:r>
    </w:p>
    <w:p>
      <w:pPr>
        <w:spacing w:after="0" w:line="213"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acquired, and may in the future acquire, other businesses and technologies, which could require significant management attention, disrupt our business operations, cause us to incur debt or dilute stockholder value.</w:t>
      </w:r>
    </w:p>
    <w:p>
      <w:pPr>
        <w:spacing w:after="0" w:line="169" w:lineRule="exact"/>
        <w:rPr>
          <w:sz w:val="20"/>
          <w:szCs w:val="20"/>
          <w:color w:val="auto"/>
        </w:rPr>
      </w:pPr>
    </w:p>
    <w:p>
      <w:pPr>
        <w:ind w:right="720" w:firstLine="392"/>
        <w:spacing w:after="0" w:line="295" w:lineRule="auto"/>
        <w:rPr>
          <w:sz w:val="20"/>
          <w:szCs w:val="20"/>
          <w:color w:val="auto"/>
        </w:rPr>
      </w:pPr>
      <w:r>
        <w:rPr>
          <w:rFonts w:ascii="Times New Roman" w:cs="Times New Roman" w:eastAsia="Times New Roman" w:hAnsi="Times New Roman"/>
          <w:sz w:val="17"/>
          <w:szCs w:val="17"/>
          <w:color w:val="auto"/>
        </w:rPr>
        <w:t>As part of our business strategy, we have acquired or invested in, and may in the future acquire or invest in, other companies, employee teams, or technologies to complement or expand our products, obtain personnel, or otherwise complement or grow our business.</w:t>
      </w:r>
    </w:p>
    <w:p>
      <w:pPr>
        <w:spacing w:after="0" w:line="173" w:lineRule="exact"/>
        <w:rPr>
          <w:sz w:val="20"/>
          <w:szCs w:val="20"/>
          <w:color w:val="auto"/>
        </w:rPr>
      </w:pPr>
    </w:p>
    <w:p>
      <w:pPr>
        <w:ind w:right="40" w:firstLine="392"/>
        <w:spacing w:after="0" w:line="295" w:lineRule="auto"/>
        <w:rPr>
          <w:sz w:val="20"/>
          <w:szCs w:val="20"/>
          <w:color w:val="auto"/>
        </w:rPr>
      </w:pPr>
      <w:r>
        <w:rPr>
          <w:rFonts w:ascii="Times New Roman" w:cs="Times New Roman" w:eastAsia="Times New Roman" w:hAnsi="Times New Roman"/>
          <w:sz w:val="17"/>
          <w:szCs w:val="17"/>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340" w:firstLine="392"/>
        <w:spacing w:after="0" w:line="276" w:lineRule="auto"/>
        <w:rPr>
          <w:sz w:val="20"/>
          <w:szCs w:val="20"/>
          <w:color w:val="auto"/>
        </w:rPr>
      </w:pPr>
      <w:r>
        <w:rPr>
          <w:rFonts w:ascii="Times New Roman" w:cs="Times New Roman" w:eastAsia="Times New Roman" w:hAnsi="Times New Roman"/>
          <w:sz w:val="17"/>
          <w:szCs w:val="17"/>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188" w:lineRule="exact"/>
        <w:rPr>
          <w:sz w:val="20"/>
          <w:szCs w:val="20"/>
          <w:color w:val="auto"/>
        </w:rPr>
      </w:pPr>
    </w:p>
    <w:p>
      <w:pPr>
        <w:ind w:right="120" w:firstLine="392"/>
        <w:spacing w:after="0" w:line="267" w:lineRule="auto"/>
        <w:rPr>
          <w:sz w:val="20"/>
          <w:szCs w:val="20"/>
          <w:color w:val="auto"/>
        </w:rPr>
      </w:pPr>
      <w:r>
        <w:rPr>
          <w:rFonts w:ascii="Times New Roman" w:cs="Times New Roman" w:eastAsia="Times New Roman" w:hAnsi="Times New Roman"/>
          <w:sz w:val="17"/>
          <w:szCs w:val="17"/>
          <w:color w:val="auto"/>
        </w:rPr>
        <w:t>If we do complete acquisitions, we may not ultimately strengthen our competitive position or achieve the anticipated benefits from such acquisitions, due to a number of factors, including:</w:t>
      </w:r>
    </w:p>
    <w:p>
      <w:pPr>
        <w:spacing w:after="0" w:line="8" w:lineRule="exact"/>
        <w:rPr>
          <w:sz w:val="20"/>
          <w:szCs w:val="20"/>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acquisition-related costs, liabilities, or tax impacts, some of which may be unanticipated;</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difficulty utilizing or integrating the acquired intellectual property, technology infrastructure, and operations;</w:t>
      </w:r>
    </w:p>
    <w:p>
      <w:pPr>
        <w:spacing w:after="0" w:line="256" w:lineRule="exact"/>
        <w:rPr>
          <w:rFonts w:ascii="Times New Roman" w:cs="Times New Roman" w:eastAsia="Times New Roman" w:hAnsi="Times New Roman"/>
          <w:sz w:val="21"/>
          <w:szCs w:val="21"/>
          <w:color w:val="auto"/>
        </w:rPr>
      </w:pPr>
    </w:p>
    <w:p>
      <w:pPr>
        <w:ind w:left="640" w:right="40" w:hanging="322"/>
        <w:spacing w:after="0" w:line="255" w:lineRule="auto"/>
        <w:tabs>
          <w:tab w:leader="none" w:pos="63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difficulty integrating and retaining key employees of acquired businesses and related challenges motivating and retaining our key employees after such acquisition;</w:t>
      </w:r>
    </w:p>
    <w:p>
      <w:pPr>
        <w:spacing w:after="0" w:line="227"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ineffective or inadequate, controls, procedures, or policies at an acquired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inability to effectively offer, price, and support multiple product lines or services offerings of acquired businesses;</w:t>
      </w:r>
    </w:p>
    <w:p>
      <w:pPr>
        <w:spacing w:after="0" w:line="256" w:lineRule="exact"/>
        <w:rPr>
          <w:rFonts w:ascii="Times New Roman" w:cs="Times New Roman" w:eastAsia="Times New Roman" w:hAnsi="Times New Roman"/>
          <w:sz w:val="21"/>
          <w:szCs w:val="21"/>
          <w:color w:val="auto"/>
        </w:rPr>
      </w:pPr>
    </w:p>
    <w:p>
      <w:pPr>
        <w:ind w:left="640" w:right="500" w:hanging="322"/>
        <w:spacing w:after="0" w:line="239" w:lineRule="auto"/>
        <w:tabs>
          <w:tab w:leader="none" w:pos="63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unknown liabilities or risks associated with an acquired business, including those arising from existing contractual obligations, security vulnerabilities, cybersecurity incidents, or litigation matters;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inability to maintain relationships with key customers, suppliers, and partners of an acquired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failure to accurately forecast the financial impact of an acquisition transaction, including accounting charges;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challenges integrating accounting, finance and forecasting practices of acquired business within our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lack of experience in new markets, products or technologies;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inability to effectively integrate brand identity of acquired businesses within those of our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diversion of management's attention from other business concerns; and</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use of resources that are needed in other parts of our business.</w:t>
      </w:r>
    </w:p>
    <w:p>
      <w:pPr>
        <w:spacing w:after="0" w:line="217"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95" w:lineRule="exact"/>
        <w:rPr>
          <w:sz w:val="20"/>
          <w:szCs w:val="20"/>
          <w:color w:val="auto"/>
        </w:rPr>
      </w:pPr>
    </w:p>
    <w:p>
      <w:pPr>
        <w:ind w:right="40" w:firstLine="392"/>
        <w:spacing w:after="0" w:line="268" w:lineRule="auto"/>
        <w:rPr>
          <w:sz w:val="20"/>
          <w:szCs w:val="20"/>
          <w:color w:val="auto"/>
        </w:rPr>
      </w:pPr>
      <w:r>
        <w:rPr>
          <w:rFonts w:ascii="Times New Roman" w:cs="Times New Roman" w:eastAsia="Times New Roman" w:hAnsi="Times New Roman"/>
          <w:sz w:val="17"/>
          <w:szCs w:val="17"/>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20" w:firstLine="392"/>
        <w:spacing w:after="0" w:line="295" w:lineRule="auto"/>
        <w:rPr>
          <w:sz w:val="20"/>
          <w:szCs w:val="20"/>
          <w:color w:val="auto"/>
        </w:rPr>
      </w:pPr>
      <w:r>
        <w:rPr>
          <w:rFonts w:ascii="Times New Roman" w:cs="Times New Roman" w:eastAsia="Times New Roman" w:hAnsi="Times New Roman"/>
          <w:sz w:val="17"/>
          <w:szCs w:val="17"/>
          <w:color w:val="auto"/>
        </w:rPr>
        <w:t>Any acquisition we complete could be viewed negatively by users, developers, partners, or investors, and could have adverse effects on our existing business relationships, financial condition, or the value of our capital stock.</w:t>
      </w:r>
    </w:p>
    <w:p>
      <w:pPr>
        <w:spacing w:after="0" w:line="173"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and future indebtedness may limit our operating flexibility or otherwise affect our business.</w:t>
      </w:r>
    </w:p>
    <w:p>
      <w:pPr>
        <w:spacing w:after="0" w:line="253" w:lineRule="exact"/>
        <w:rPr>
          <w:sz w:val="20"/>
          <w:szCs w:val="20"/>
          <w:color w:val="auto"/>
        </w:rPr>
      </w:pPr>
    </w:p>
    <w:p>
      <w:pPr>
        <w:ind w:right="200" w:firstLine="392"/>
        <w:spacing w:after="0" w:line="295" w:lineRule="auto"/>
        <w:rPr>
          <w:sz w:val="20"/>
          <w:szCs w:val="20"/>
          <w:color w:val="auto"/>
        </w:rPr>
      </w:pPr>
      <w:r>
        <w:rPr>
          <w:rFonts w:ascii="Times New Roman" w:cs="Times New Roman" w:eastAsia="Times New Roman" w:hAnsi="Times New Roman"/>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73" w:lineRule="exact"/>
        <w:rPr>
          <w:sz w:val="20"/>
          <w:szCs w:val="20"/>
          <w:color w:val="auto"/>
        </w:rPr>
      </w:pPr>
    </w:p>
    <w:p>
      <w:pPr>
        <w:ind w:right="40" w:firstLine="392"/>
        <w:spacing w:after="0" w:line="269" w:lineRule="auto"/>
        <w:rPr>
          <w:sz w:val="20"/>
          <w:szCs w:val="20"/>
          <w:color w:val="auto"/>
        </w:rPr>
      </w:pPr>
      <w:r>
        <w:rPr>
          <w:rFonts w:ascii="Times New Roman" w:cs="Times New Roman" w:eastAsia="Times New Roman" w:hAnsi="Times New Roman"/>
          <w:sz w:val="17"/>
          <w:szCs w:val="17"/>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addition, such current and future indebtedness could:</w:t>
      </w:r>
    </w:p>
    <w:p>
      <w:pPr>
        <w:spacing w:after="0" w:line="274" w:lineRule="exact"/>
        <w:rPr>
          <w:sz w:val="20"/>
          <w:szCs w:val="20"/>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make it more difficult for us to satisfy our debt obligations, including the 2026 Notes and the 2028 Notes;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256" w:lineRule="exact"/>
        <w:rPr>
          <w:rFonts w:ascii="Times New Roman" w:cs="Times New Roman" w:eastAsia="Times New Roman" w:hAnsi="Times New Roman"/>
          <w:sz w:val="21"/>
          <w:szCs w:val="21"/>
          <w:color w:val="auto"/>
        </w:rPr>
      </w:pPr>
    </w:p>
    <w:p>
      <w:pPr>
        <w:ind w:left="640" w:right="200" w:hanging="322"/>
        <w:spacing w:after="0" w:line="255" w:lineRule="auto"/>
        <w:tabs>
          <w:tab w:leader="none" w:pos="63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227"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256" w:lineRule="exact"/>
        <w:rPr>
          <w:rFonts w:ascii="Times New Roman" w:cs="Times New Roman" w:eastAsia="Times New Roman" w:hAnsi="Times New Roman"/>
          <w:sz w:val="21"/>
          <w:szCs w:val="21"/>
          <w:color w:val="auto"/>
        </w:rPr>
      </w:pPr>
    </w:p>
    <w:p>
      <w:pPr>
        <w:ind w:left="640" w:right="320" w:hanging="322"/>
        <w:spacing w:after="0" w:line="239" w:lineRule="auto"/>
        <w:tabs>
          <w:tab w:leader="none" w:pos="63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restrict our current and future operations, make it more difficult to successfully execute our business strategy, or restrict us from exploiting business opportunities;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place us at a competitive disadvantage compared to our competitors that have less indebtedness or are not subject to restrictive covenants;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restrict or otherwise impact the pace and timing of repurchases under our stock repurchase program; and</w:t>
      </w:r>
    </w:p>
    <w:p>
      <w:pPr>
        <w:spacing w:after="0" w:line="256" w:lineRule="exact"/>
        <w:rPr>
          <w:rFonts w:ascii="Times New Roman" w:cs="Times New Roman" w:eastAsia="Times New Roman" w:hAnsi="Times New Roman"/>
          <w:sz w:val="21"/>
          <w:szCs w:val="21"/>
          <w:color w:val="auto"/>
        </w:rPr>
      </w:pPr>
    </w:p>
    <w:p>
      <w:pPr>
        <w:ind w:left="640" w:right="400" w:hanging="322"/>
        <w:spacing w:after="0" w:line="255" w:lineRule="auto"/>
        <w:tabs>
          <w:tab w:leader="none" w:pos="63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limit our availability to borrow additional funds for working capital, capital expenditures, acquisitions, debt service requirements, execution of our business strategy, or other general purposes.</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cash flows, results of operations, and financial condition.</w:t>
      </w:r>
    </w:p>
    <w:p>
      <w:pPr>
        <w:spacing w:after="0" w:line="245"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69" w:lineRule="exact"/>
        <w:rPr>
          <w:sz w:val="20"/>
          <w:szCs w:val="20"/>
          <w:color w:val="auto"/>
        </w:rPr>
      </w:pPr>
    </w:p>
    <w:p>
      <w:pPr>
        <w:ind w:right="60" w:firstLine="392"/>
        <w:spacing w:after="0" w:line="276" w:lineRule="auto"/>
        <w:rPr>
          <w:sz w:val="20"/>
          <w:szCs w:val="20"/>
          <w:color w:val="auto"/>
        </w:rPr>
      </w:pPr>
      <w:r>
        <w:rPr>
          <w:rFonts w:ascii="Times New Roman" w:cs="Times New Roman" w:eastAsia="Times New Roman" w:hAnsi="Times New Roman"/>
          <w:sz w:val="17"/>
          <w:szCs w:val="17"/>
          <w:color w:val="auto"/>
        </w:rPr>
        <w:t>We finance a significant portion of our expenditures through leasing arrangements, and we may enter into additional similar arrangements in the future. As of December 31, 2023, we had an aggregate of $1,173.6 million of commitments to settle contractual obligations. In particular, we utilize both finance and operating leases to finance some of our equipment, datacenters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and offices. In addition, we may draw upon our revolving credit facility to finance our operations or for other corporate purposes. If we default on these leasing or credit obligations, our leasing partners and lenders may, among other things:</w:t>
      </w:r>
    </w:p>
    <w:p>
      <w:pPr>
        <w:spacing w:after="0" w:line="198" w:lineRule="exact"/>
        <w:rPr>
          <w:sz w:val="20"/>
          <w:szCs w:val="20"/>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repayment of any outstanding lease obligations;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terminate our leasing arrangements;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terminate our access to the leased datacenters we utilize;</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stop delivery of ordered equipment;</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sell or require us to return our leased equipment;</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repayment of any outstanding amounts drawn on our revolving credit facility;</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terminate our revolving credit facility; or</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us to pay significant fees, penalties, or damages.</w:t>
      </w:r>
    </w:p>
    <w:p>
      <w:pPr>
        <w:spacing w:after="0" w:line="230"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9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Our Financial Performance or Results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has declined in recent periods and may continue to slow in the future.</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net losses, we may increase expenses in the future, and we may not be able to achieve or maintain profitability.</w:t>
      </w:r>
    </w:p>
    <w:p>
      <w:pPr>
        <w:spacing w:after="0" w:line="253"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Although we had been profitable on a GAAP basis in prior fiscal quarters, 2021 was our first profitable full fiscal year and we incurred net losses on an annual basis from our inception to that time. We may, however, not achieve or maintain profitability in future periods, or, if we are profitable, we may not fully achieve our profitability targets. As we strive to grow our business, expenses may increase, particularly as we continue to make investments to scale our business, reposition our products or respond to new technologies including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199"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69"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results may fluctuate significantly and may not fully reflect the underlying performance of our business.</w:t>
      </w:r>
    </w:p>
    <w:p>
      <w:pPr>
        <w:spacing w:after="0" w:line="253"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225" w:lineRule="exact"/>
        <w:rPr>
          <w:sz w:val="20"/>
          <w:szCs w:val="20"/>
          <w:color w:val="auto"/>
        </w:rPr>
      </w:pPr>
    </w:p>
    <w:p>
      <w:pPr>
        <w:ind w:left="620" w:hanging="302"/>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retain and upgrade paying users;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attract new paying users and convert registered to paying users;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timing of expenses and recognition of revenue;</w:t>
      </w:r>
    </w:p>
    <w:p>
      <w:pPr>
        <w:spacing w:after="0" w:line="269" w:lineRule="exact"/>
        <w:rPr>
          <w:rFonts w:ascii="Arial" w:cs="Arial" w:eastAsia="Arial" w:hAnsi="Arial"/>
          <w:sz w:val="21"/>
          <w:szCs w:val="21"/>
          <w:color w:val="auto"/>
        </w:rPr>
      </w:pPr>
    </w:p>
    <w:p>
      <w:pPr>
        <w:ind w:left="640" w:right="160" w:hanging="322"/>
        <w:spacing w:after="0" w:line="239"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 as well as entry into or exit of operating and finance leases;</w:t>
      </w:r>
    </w:p>
    <w:p>
      <w:pPr>
        <w:spacing w:after="0" w:line="243" w:lineRule="exact"/>
        <w:rPr>
          <w:rFonts w:ascii="Arial" w:cs="Arial" w:eastAsia="Arial" w:hAnsi="Arial"/>
          <w:sz w:val="21"/>
          <w:szCs w:val="21"/>
          <w:color w:val="auto"/>
        </w:rPr>
      </w:pPr>
    </w:p>
    <w:p>
      <w:pPr>
        <w:ind w:left="620" w:hanging="302"/>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timing of expenses related to acquisitions;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any large indemnification payments to our users or other third parties;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our pricing policies or those of our competitors;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timing and success of new product feature and service introductions by us or our competitors;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network outages or actual or perceived security breaches;</w:t>
      </w:r>
    </w:p>
    <w:p>
      <w:pPr>
        <w:spacing w:after="0" w:line="255"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competitive dynamics of our industry, including consolidation among competitors;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laws and regulations that impact our business;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and market conditions;</w:t>
      </w:r>
    </w:p>
    <w:p>
      <w:pPr>
        <w:spacing w:after="0" w:line="242"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foreign currency exchange rates;</w:t>
      </w:r>
    </w:p>
    <w:p>
      <w:pPr>
        <w:spacing w:after="0" w:line="256" w:lineRule="exact"/>
        <w:rPr>
          <w:rFonts w:ascii="Arial" w:cs="Arial" w:eastAsia="Arial" w:hAnsi="Arial"/>
          <w:sz w:val="21"/>
          <w:szCs w:val="21"/>
          <w:color w:val="auto"/>
        </w:rPr>
      </w:pPr>
    </w:p>
    <w:p>
      <w:pPr>
        <w:ind w:left="640" w:right="560" w:hanging="322"/>
        <w:spacing w:after="0" w:line="255"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catastrophic events, including earthquakes, fires, floods, tsunamis, or other weather events, power loss, telecommunications failures, software or hardware malfunctions, cyber-attack, war, or terrorist attacks, and pandemics;</w:t>
      </w:r>
    </w:p>
    <w:p>
      <w:pPr>
        <w:spacing w:after="0" w:line="241" w:lineRule="exact"/>
        <w:rPr>
          <w:rFonts w:ascii="Arial" w:cs="Arial" w:eastAsia="Arial" w:hAnsi="Arial"/>
          <w:sz w:val="21"/>
          <w:szCs w:val="21"/>
          <w:color w:val="auto"/>
        </w:rPr>
      </w:pPr>
    </w:p>
    <w:p>
      <w:pPr>
        <w:ind w:left="640" w:right="40" w:hanging="322"/>
        <w:spacing w:after="0" w:line="239"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spacing w:after="0" w:line="243" w:lineRule="exact"/>
        <w:rPr>
          <w:rFonts w:ascii="Arial" w:cs="Arial" w:eastAsia="Arial" w:hAnsi="Arial"/>
          <w:sz w:val="21"/>
          <w:szCs w:val="21"/>
          <w:color w:val="auto"/>
        </w:rPr>
      </w:pPr>
    </w:p>
    <w:p>
      <w:pPr>
        <w:ind w:left="620" w:hanging="302"/>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any other impacts of shifting our operations to a Virtual First work model.</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Fluctuation in quarterly results may negatively impact the value of our securities.</w:t>
      </w:r>
    </w:p>
    <w:p>
      <w:pPr>
        <w:spacing w:after="0" w:line="245"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69"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which are reported in U.S. dollars, could be adversely affected if currency exchange rates fluctuate substantially in the future.</w:t>
      </w:r>
    </w:p>
    <w:p>
      <w:pPr>
        <w:spacing w:after="0" w:line="253"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We conduct our business across approximately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2023,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materially impact our results of operations. We do not currently maintain a program to hedge exposures to non-U.S. dollar currencies.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convertible note hedge transactions.</w:t>
      </w:r>
    </w:p>
    <w:p>
      <w:pPr>
        <w:spacing w:after="0" w:line="253"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253"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7"/>
          <w:szCs w:val="17"/>
          <w:color w:val="auto"/>
        </w:rPr>
        <w:t>As of December 31, 2023,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69" w:lineRule="exact"/>
        <w:rPr>
          <w:sz w:val="20"/>
          <w:szCs w:val="20"/>
          <w:color w:val="auto"/>
        </w:rPr>
      </w:pPr>
    </w:p>
    <w:p>
      <w:pPr>
        <w:ind w:right="300" w:firstLine="392"/>
        <w:spacing w:after="0" w:line="266" w:lineRule="auto"/>
        <w:rPr>
          <w:sz w:val="20"/>
          <w:szCs w:val="20"/>
          <w:color w:val="auto"/>
        </w:rPr>
      </w:pPr>
      <w:r>
        <w:rPr>
          <w:rFonts w:ascii="Times New Roman" w:cs="Times New Roman" w:eastAsia="Times New Roman" w:hAnsi="Times New Roman"/>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spacing w:after="0" w:line="193"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69"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spacing w:after="0" w:line="195" w:lineRule="exact"/>
        <w:rPr>
          <w:sz w:val="20"/>
          <w:szCs w:val="20"/>
          <w:color w:val="auto"/>
        </w:rPr>
      </w:pPr>
    </w:p>
    <w:p>
      <w:pPr>
        <w:ind w:firstLine="392"/>
        <w:spacing w:after="0" w:line="264" w:lineRule="auto"/>
        <w:rPr>
          <w:sz w:val="20"/>
          <w:szCs w:val="20"/>
          <w:color w:val="auto"/>
        </w:rPr>
      </w:pPr>
      <w:r>
        <w:rPr>
          <w:rFonts w:ascii="Times New Roman" w:cs="Times New Roman" w:eastAsia="Times New Roman" w:hAnsi="Times New Roman"/>
          <w:sz w:val="17"/>
          <w:szCs w:val="17"/>
          <w:color w:val="auto"/>
        </w:rPr>
        <w:t>For example, 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have begun to adopt these proposals. In December 2022, the Council of the European Union (“EU”) formally adopted the EU Minimum Tax Directive, which would require member states to adopt Pillar Two into their domestic law. The directive requires the rules to initially become effective for fiscal years starting on or after December 31, 2023. Ireland and certain other jurisdictions in which we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Other changes to U.S. or non-U.S. tax laws could have an adverse impact on our business, results of operations, financial condition and cash flows.</w:t>
      </w:r>
    </w:p>
    <w:p>
      <w:pPr>
        <w:spacing w:after="0" w:line="245" w:lineRule="exact"/>
        <w:rPr>
          <w:sz w:val="20"/>
          <w:szCs w:val="20"/>
          <w:color w:val="auto"/>
        </w:rPr>
      </w:pPr>
    </w:p>
    <w:p>
      <w:pPr>
        <w:jc w:val="both"/>
        <w:ind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have publicly disclosed market opportunity estimates, growth forecasts, and key metrics, including the key metrics included in this Quarterly Report on Form 10-Q, as well as in our other public statements, which could prove to be inaccurate, and any real or perceived inaccuracies may harm our reputation and negatively affect our business.</w:t>
      </w:r>
    </w:p>
    <w:p>
      <w:pPr>
        <w:spacing w:after="0" w:line="187"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Compliance</w:t>
      </w:r>
    </w:p>
    <w:p>
      <w:pPr>
        <w:spacing w:after="0" w:line="24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69" w:lineRule="exact"/>
        <w:rPr>
          <w:sz w:val="20"/>
          <w:szCs w:val="20"/>
          <w:color w:val="auto"/>
        </w:rPr>
      </w:pPr>
    </w:p>
    <w:p>
      <w:pPr>
        <w:ind w:right="120" w:firstLine="392"/>
        <w:spacing w:after="0" w:line="263" w:lineRule="auto"/>
        <w:rPr>
          <w:sz w:val="20"/>
          <w:szCs w:val="20"/>
          <w:color w:val="auto"/>
        </w:rPr>
      </w:pPr>
      <w:r>
        <w:rPr>
          <w:rFonts w:ascii="Times New Roman" w:cs="Times New Roman" w:eastAsia="Times New Roman" w:hAnsi="Times New Roman"/>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99" w:lineRule="exact"/>
        <w:rPr>
          <w:sz w:val="20"/>
          <w:szCs w:val="20"/>
          <w:color w:val="auto"/>
        </w:rPr>
      </w:pPr>
    </w:p>
    <w:p>
      <w:pPr>
        <w:ind w:firstLine="392"/>
        <w:spacing w:after="0" w:line="263" w:lineRule="auto"/>
        <w:rPr>
          <w:sz w:val="20"/>
          <w:szCs w:val="20"/>
          <w:color w:val="auto"/>
        </w:rPr>
      </w:pPr>
      <w:r>
        <w:rPr>
          <w:rFonts w:ascii="Times New Roman" w:cs="Times New Roman" w:eastAsia="Times New Roman" w:hAnsi="Times New Roman"/>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0" w:lineRule="exact"/>
        <w:rPr>
          <w:sz w:val="20"/>
          <w:szCs w:val="20"/>
          <w:color w:val="auto"/>
        </w:rPr>
      </w:pPr>
    </w:p>
    <w:p>
      <w:pPr>
        <w:spacing w:after="0" w:line="214" w:lineRule="exact"/>
        <w:rPr>
          <w:sz w:val="20"/>
          <w:szCs w:val="20"/>
          <w:color w:val="auto"/>
        </w:rPr>
      </w:pPr>
    </w:p>
    <w:p>
      <w:pPr>
        <w:ind w:right="440" w:firstLine="392"/>
        <w:spacing w:after="0" w:line="276" w:lineRule="auto"/>
        <w:rPr>
          <w:sz w:val="20"/>
          <w:szCs w:val="20"/>
          <w:color w:val="auto"/>
        </w:rPr>
      </w:pPr>
      <w:r>
        <w:rPr>
          <w:rFonts w:ascii="Times New Roman" w:cs="Times New Roman" w:eastAsia="Times New Roman" w:hAnsi="Times New Roman"/>
          <w:sz w:val="17"/>
          <w:szCs w:val="17"/>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8"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17"/>
          <w:szCs w:val="17"/>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69"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04" w:lineRule="exact"/>
        <w:rPr>
          <w:sz w:val="20"/>
          <w:szCs w:val="20"/>
          <w:color w:val="auto"/>
        </w:rPr>
      </w:pPr>
    </w:p>
    <w:p>
      <w:pPr>
        <w:ind w:right="80" w:firstLine="392"/>
        <w:spacing w:after="0" w:line="262" w:lineRule="auto"/>
        <w:rPr>
          <w:sz w:val="20"/>
          <w:szCs w:val="20"/>
          <w:color w:val="auto"/>
        </w:rPr>
      </w:pPr>
      <w:r>
        <w:rPr>
          <w:rFonts w:ascii="Times New Roman" w:cs="Times New Roman" w:eastAsia="Times New Roman" w:hAnsi="Times New Roman"/>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actual or perceived failure to comply with privacy, data protection, and information security laws, regulations, and obligations could harm our business.</w:t>
      </w:r>
    </w:p>
    <w:p>
      <w:pPr>
        <w:spacing w:after="0" w:line="253" w:lineRule="exact"/>
        <w:rPr>
          <w:sz w:val="20"/>
          <w:szCs w:val="20"/>
          <w:color w:val="auto"/>
        </w:rPr>
      </w:pPr>
    </w:p>
    <w:p>
      <w:pPr>
        <w:ind w:right="20" w:firstLine="392"/>
        <w:spacing w:after="0" w:line="262" w:lineRule="auto"/>
        <w:rPr>
          <w:sz w:val="20"/>
          <w:szCs w:val="20"/>
          <w:color w:val="auto"/>
        </w:rPr>
      </w:pPr>
      <w:r>
        <w:rPr>
          <w:rFonts w:ascii="Times New Roman" w:cs="Times New Roman" w:eastAsia="Times New Roman" w:hAnsi="Times New Roman"/>
          <w:sz w:val="17"/>
          <w:szCs w:val="17"/>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1" w:lineRule="exact"/>
        <w:rPr>
          <w:sz w:val="20"/>
          <w:szCs w:val="20"/>
          <w:color w:val="auto"/>
        </w:rPr>
      </w:pPr>
    </w:p>
    <w:p>
      <w:pPr>
        <w:ind w:right="560" w:firstLine="392"/>
        <w:spacing w:after="0" w:line="295" w:lineRule="auto"/>
        <w:rPr>
          <w:sz w:val="20"/>
          <w:szCs w:val="20"/>
          <w:color w:val="auto"/>
        </w:rPr>
      </w:pPr>
      <w:r>
        <w:rPr>
          <w:rFonts w:ascii="Times New Roman" w:cs="Times New Roman" w:eastAsia="Times New Roman" w:hAnsi="Times New Roman"/>
          <w:sz w:val="17"/>
          <w:szCs w:val="17"/>
          <w:color w:val="auto"/>
        </w:rPr>
        <w:t>We also expect that there will continue to be new laws, regulations, and industry standards concerning privacy, data protection, AI, and information security proposed and enacted in various jurisdictions.</w:t>
      </w:r>
    </w:p>
    <w:p>
      <w:pPr>
        <w:spacing w:after="0" w:line="173"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7"/>
          <w:szCs w:val="17"/>
          <w:color w:val="auto"/>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to the U.S. as of October 12, 2023 and in due course will also apply to transfers from Switzerland to the U.S. Switzerland must also adopt its own adequacy decision, which is expected to happen shortly.</w:t>
      </w:r>
    </w:p>
    <w:p>
      <w:pPr>
        <w:spacing w:after="0" w:line="197"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European Commission (“SCCs”) to transfer personal data. A recent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1" w:lineRule="exact"/>
        <w:rPr>
          <w:sz w:val="20"/>
          <w:szCs w:val="20"/>
          <w:color w:val="auto"/>
        </w:rPr>
      </w:pPr>
    </w:p>
    <w:p>
      <w:pPr>
        <w:ind w:right="60" w:firstLine="392"/>
        <w:spacing w:after="0" w:line="259" w:lineRule="auto"/>
        <w:rPr>
          <w:sz w:val="20"/>
          <w:szCs w:val="20"/>
          <w:color w:val="auto"/>
        </w:rPr>
      </w:pPr>
      <w:r>
        <w:rPr>
          <w:rFonts w:ascii="Times New Roman" w:cs="Times New Roman" w:eastAsia="Times New Roman" w:hAnsi="Times New Roman"/>
          <w:sz w:val="17"/>
          <w:szCs w:val="17"/>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took effect in 2023; Florida, Montana, Oregon, and Texas have enacted similar laws that go into effect in 2024; Tennessee, Delaware, New Jersey, Nebraska, and Iowa have enacted similar laws that go into effect in 2025, and Indiana has enacted a similar law, that will go into effect in 2026. Other laws relating to privacy and cybersecurity, many of which are similar to the CCPA and CPRA, are being considered by other state legislatures, and the U.S. federal government is contemplating federal privacy legislation. These developments create the potential for a patchwork of overlapping but different laws throughout the U.S. relating to privacy and cybersecurity.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w:t>
      </w:r>
    </w:p>
    <w:p>
      <w:pPr>
        <w:spacing w:after="0" w:line="205"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73"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199"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392"/>
        <w:spacing w:after="0" w:line="265" w:lineRule="auto"/>
        <w:rPr>
          <w:sz w:val="20"/>
          <w:szCs w:val="20"/>
          <w:color w:val="auto"/>
        </w:rPr>
      </w:pPr>
      <w:r>
        <w:rPr>
          <w:rFonts w:ascii="Times New Roman" w:cs="Times New Roman" w:eastAsia="Times New Roman" w:hAnsi="Times New Roman"/>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impacted by changes in internet access for our users or laws specifically governing the internet.</w:t>
      </w:r>
    </w:p>
    <w:p>
      <w:pPr>
        <w:spacing w:after="0" w:line="253" w:lineRule="exact"/>
        <w:rPr>
          <w:sz w:val="20"/>
          <w:szCs w:val="20"/>
          <w:color w:val="auto"/>
        </w:rPr>
      </w:pPr>
    </w:p>
    <w:p>
      <w:pPr>
        <w:ind w:right="20" w:firstLine="627"/>
        <w:spacing w:after="0" w:line="269" w:lineRule="auto"/>
        <w:rPr>
          <w:sz w:val="20"/>
          <w:szCs w:val="20"/>
          <w:color w:val="auto"/>
        </w:rPr>
      </w:pPr>
      <w:r>
        <w:rPr>
          <w:rFonts w:ascii="Times New Roman" w:cs="Times New Roman" w:eastAsia="Times New Roman" w:hAnsi="Times New Roman"/>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20" w:lineRule="exact"/>
        <w:rPr>
          <w:sz w:val="20"/>
          <w:szCs w:val="20"/>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implement usage-based pricing;</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discount pricing for competitive products;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otherwise materially change their pricing rates or schemes;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charge us to deliver our traffic at certain levels or at all;</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throttle traffic based on its source or type;</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implement bandwidth caps or other usage restrictions; or</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otherwise try to monetize or control access to their networks.</w:t>
      </w:r>
    </w:p>
    <w:p>
      <w:pPr>
        <w:spacing w:after="0" w:line="217" w:lineRule="exact"/>
        <w:rPr>
          <w:sz w:val="20"/>
          <w:szCs w:val="20"/>
          <w:color w:val="auto"/>
        </w:rPr>
      </w:pPr>
    </w:p>
    <w:p>
      <w:pPr>
        <w:ind w:right="40" w:firstLine="392"/>
        <w:spacing w:after="0" w:line="262" w:lineRule="auto"/>
        <w:rPr>
          <w:sz w:val="20"/>
          <w:szCs w:val="20"/>
          <w:color w:val="auto"/>
        </w:rPr>
      </w:pPr>
      <w:r>
        <w:rPr>
          <w:rFonts w:ascii="Times New Roman" w:cs="Times New Roman" w:eastAsia="Times New Roman" w:hAnsi="Times New Roman"/>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1" w:lineRule="exact"/>
        <w:rPr>
          <w:sz w:val="20"/>
          <w:szCs w:val="20"/>
          <w:color w:val="auto"/>
        </w:rPr>
      </w:pPr>
    </w:p>
    <w:p>
      <w:pPr>
        <w:ind w:right="40" w:firstLine="392"/>
        <w:spacing w:after="0" w:line="264" w:lineRule="auto"/>
        <w:rPr>
          <w:sz w:val="20"/>
          <w:szCs w:val="20"/>
          <w:color w:val="auto"/>
        </w:rPr>
      </w:pPr>
      <w:r>
        <w:rPr>
          <w:rFonts w:ascii="Times New Roman" w:cs="Times New Roman" w:eastAsia="Times New Roman" w:hAnsi="Times New Roman"/>
          <w:sz w:val="17"/>
          <w:szCs w:val="17"/>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9"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7"/>
          <w:szCs w:val="17"/>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which alleged that Dropbox infringes certain of its patents. A jury trial was conducted in May 2023. The jury found in favor of Dropbox on all counts including non-infringement and invalidity of the patents and awarded no damages to Motion Offense. We are currently awaiting entry of judgment by the district court. The final judgment may be appealed to the Federal Circuit. It is not possible presently to either (i) determine the final outcome of this matter or (ii) estimate any maximum possible exposure or range of loss.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proprietary information could diminish our brand and other intangible assets.</w:t>
      </w:r>
    </w:p>
    <w:p>
      <w:pPr>
        <w:spacing w:after="0" w:line="253" w:lineRule="exact"/>
        <w:rPr>
          <w:sz w:val="20"/>
          <w:szCs w:val="20"/>
          <w:color w:val="auto"/>
        </w:rPr>
      </w:pPr>
    </w:p>
    <w:p>
      <w:pPr>
        <w:ind w:firstLine="314"/>
        <w:spacing w:after="0" w:line="259" w:lineRule="auto"/>
        <w:rPr>
          <w:sz w:val="20"/>
          <w:szCs w:val="20"/>
          <w:color w:val="auto"/>
        </w:rPr>
      </w:pPr>
      <w:r>
        <w:rPr>
          <w:rFonts w:ascii="Times New Roman" w:cs="Times New Roman" w:eastAsia="Times New Roman" w:hAnsi="Times New Roman"/>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1,750 issued patents and more than 250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may be volatile, and you could lose all or part of your investment.</w:t>
      </w:r>
    </w:p>
    <w:p>
      <w:pPr>
        <w:spacing w:after="0" w:line="253" w:lineRule="exact"/>
        <w:rPr>
          <w:sz w:val="20"/>
          <w:szCs w:val="20"/>
          <w:color w:val="auto"/>
        </w:rPr>
      </w:pPr>
    </w:p>
    <w:p>
      <w:pPr>
        <w:ind w:right="440" w:firstLine="392"/>
        <w:spacing w:after="0" w:line="295" w:lineRule="auto"/>
        <w:rPr>
          <w:sz w:val="20"/>
          <w:szCs w:val="20"/>
          <w:color w:val="auto"/>
        </w:rPr>
      </w:pPr>
      <w:r>
        <w:rPr>
          <w:rFonts w:ascii="Times New Roman" w:cs="Times New Roman" w:eastAsia="Times New Roman" w:hAnsi="Times New Roman"/>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98" w:lineRule="exact"/>
        <w:rPr>
          <w:sz w:val="20"/>
          <w:szCs w:val="20"/>
          <w:color w:val="auto"/>
        </w:rPr>
      </w:pPr>
    </w:p>
    <w:p>
      <w:pPr>
        <w:ind w:left="620" w:hanging="302"/>
        <w:spacing w:after="0"/>
        <w:tabs>
          <w:tab w:leader="none" w:pos="6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price and volume fluctuations in the overall stock market from time-to-time;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2" w:lineRule="exact"/>
        <w:rPr>
          <w:rFonts w:ascii="Times New Roman" w:cs="Times New Roman" w:eastAsia="Times New Roman" w:hAnsi="Times New Roman"/>
          <w:sz w:val="21"/>
          <w:szCs w:val="21"/>
          <w:color w:val="auto"/>
        </w:rPr>
      </w:pPr>
    </w:p>
    <w:p>
      <w:pPr>
        <w:ind w:left="5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269" w:lineRule="exact"/>
        <w:rPr>
          <w:rFonts w:ascii="Times New Roman" w:cs="Times New Roman" w:eastAsia="Times New Roman" w:hAnsi="Times New Roman"/>
          <w:sz w:val="21"/>
          <w:szCs w:val="21"/>
          <w:color w:val="auto"/>
        </w:rPr>
      </w:pPr>
    </w:p>
    <w:p>
      <w:pPr>
        <w:ind w:left="640" w:right="80" w:hanging="322"/>
        <w:spacing w:after="0" w:line="239" w:lineRule="auto"/>
        <w:tabs>
          <w:tab w:leader="none" w:pos="63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anticipated changes in our key metrics;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actual or perceived breaches of, or failures related to, privacy, data protection or data security;</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55"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announced or completed acquisitions of businesses, products, services, or technologies by us or our competitors;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significant change in our management;</w:t>
      </w:r>
    </w:p>
    <w:p>
      <w:pPr>
        <w:spacing w:after="0" w:line="242"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inclusion, exclusion, or deletion of our stock from any trading indices, including the S&amp;P 400 Index, to which we were recently added; and</w:t>
      </w:r>
    </w:p>
    <w:p>
      <w:pPr>
        <w:spacing w:after="0" w:line="269" w:lineRule="exact"/>
        <w:rPr>
          <w:rFonts w:ascii="Times New Roman" w:cs="Times New Roman" w:eastAsia="Times New Roman" w:hAnsi="Times New Roman"/>
          <w:sz w:val="21"/>
          <w:szCs w:val="21"/>
          <w:color w:val="auto"/>
        </w:rPr>
      </w:pPr>
    </w:p>
    <w:p>
      <w:pPr>
        <w:ind w:left="640" w:right="360" w:hanging="322"/>
        <w:spacing w:after="0" w:line="247" w:lineRule="auto"/>
        <w:tabs>
          <w:tab w:leader="none" w:pos="63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spacing w:after="0" w:line="212"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 of a particular company’s securities, securities class action litigation has often been instituted against these companies. Any securities litigation that may</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instituted against us in the future could result in substantial costs and a diversion of our management’s attention and resources.</w:t>
      </w:r>
    </w:p>
    <w:p>
      <w:pPr>
        <w:spacing w:after="0" w:line="245"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69" w:lineRule="exact"/>
        <w:rPr>
          <w:sz w:val="20"/>
          <w:szCs w:val="20"/>
          <w:color w:val="auto"/>
        </w:rPr>
      </w:pPr>
    </w:p>
    <w:p>
      <w:pPr>
        <w:ind w:right="20" w:firstLine="392"/>
        <w:spacing w:after="0" w:line="260" w:lineRule="auto"/>
        <w:rPr>
          <w:sz w:val="20"/>
          <w:szCs w:val="20"/>
          <w:color w:val="auto"/>
        </w:rPr>
      </w:pPr>
      <w:r>
        <w:rPr>
          <w:rFonts w:ascii="Times New Roman" w:cs="Times New Roman" w:eastAsia="Times New Roman" w:hAnsi="Times New Roman"/>
          <w:sz w:val="17"/>
          <w:szCs w:val="17"/>
          <w:color w:val="auto"/>
        </w:rPr>
        <w:t>Our Class A common stock has one vote per share, our Class B common stock has ten votes per share, and our Class C common stock has no voting rights, except as otherwise required by law. As of March 31, 2024, our directors and executive officers, and their respective affiliates, held in the aggregate 75.8% of the voting power of our capital stock, with Mr. Houston holding approximately 75.6% of the voting power of our capital stock. We are including the Co-Founder Grant (as defined in “Significant Impacts of Stock-Based Compensation” included in Part II, Item 7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203"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200"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could depress the market price of our Class A common stock.</w:t>
      </w:r>
    </w:p>
    <w:p>
      <w:pPr>
        <w:spacing w:after="0" w:line="253" w:lineRule="exact"/>
        <w:rPr>
          <w:sz w:val="20"/>
          <w:szCs w:val="20"/>
          <w:color w:val="auto"/>
        </w:rPr>
      </w:pPr>
    </w:p>
    <w:p>
      <w:pPr>
        <w:ind w:right="60" w:firstLine="392"/>
        <w:spacing w:after="0" w:line="295" w:lineRule="auto"/>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173"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9" w:lineRule="exact"/>
        <w:rPr>
          <w:sz w:val="20"/>
          <w:szCs w:val="20"/>
          <w:color w:val="auto"/>
        </w:rPr>
      </w:pPr>
    </w:p>
    <w:p>
      <w:pPr>
        <w:ind w:right="6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69"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spacing w:after="0" w:line="193"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69" w:lineRule="exact"/>
        <w:rPr>
          <w:sz w:val="20"/>
          <w:szCs w:val="20"/>
          <w:color w:val="auto"/>
        </w:rPr>
      </w:pPr>
    </w:p>
    <w:p>
      <w:pPr>
        <w:ind w:right="100" w:firstLine="392"/>
        <w:spacing w:after="0" w:line="269" w:lineRule="auto"/>
        <w:rPr>
          <w:sz w:val="20"/>
          <w:szCs w:val="20"/>
          <w:color w:val="auto"/>
        </w:rPr>
      </w:pPr>
      <w:r>
        <w:rPr>
          <w:rFonts w:ascii="Times New Roman" w:cs="Times New Roman" w:eastAsia="Times New Roman" w:hAnsi="Times New Roman"/>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234" w:lineRule="exact"/>
        <w:rPr>
          <w:sz w:val="20"/>
          <w:szCs w:val="20"/>
          <w:color w:val="auto"/>
        </w:rPr>
      </w:pPr>
    </w:p>
    <w:p>
      <w:pPr>
        <w:ind w:left="640" w:right="200" w:hanging="322"/>
        <w:spacing w:after="0" w:line="239"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transaction that would result in a change in control of our company requires the approval of a majority of our outstanding Class B common stock voting as a separate class;</w:t>
      </w:r>
    </w:p>
    <w:p>
      <w:pPr>
        <w:spacing w:after="0" w:line="257" w:lineRule="exact"/>
        <w:rPr>
          <w:rFonts w:ascii="Times New Roman" w:cs="Times New Roman" w:eastAsia="Times New Roman" w:hAnsi="Times New Roman"/>
          <w:sz w:val="21"/>
          <w:szCs w:val="21"/>
          <w:color w:val="auto"/>
        </w:rPr>
      </w:pPr>
    </w:p>
    <w:p>
      <w:pPr>
        <w:ind w:left="640" w:right="40" w:hanging="322"/>
        <w:spacing w:after="0" w:line="247"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250" w:lineRule="exact"/>
        <w:rPr>
          <w:rFonts w:ascii="Times New Roman" w:cs="Times New Roman" w:eastAsia="Times New Roman" w:hAnsi="Times New Roman"/>
          <w:sz w:val="21"/>
          <w:szCs w:val="21"/>
          <w:color w:val="auto"/>
        </w:rPr>
      </w:pPr>
    </w:p>
    <w:p>
      <w:pPr>
        <w:ind w:left="640" w:right="200" w:hanging="322"/>
        <w:spacing w:after="0" w:line="254"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245" w:lineRule="exact"/>
        <w:rPr>
          <w:rFonts w:ascii="Times New Roman" w:cs="Times New Roman" w:eastAsia="Times New Roman" w:hAnsi="Times New Roman"/>
          <w:sz w:val="21"/>
          <w:szCs w:val="21"/>
          <w:color w:val="auto"/>
        </w:rPr>
      </w:pPr>
    </w:p>
    <w:p>
      <w:pPr>
        <w:ind w:left="640" w:hanging="322"/>
        <w:spacing w:after="0" w:line="250"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248" w:lineRule="exact"/>
        <w:rPr>
          <w:rFonts w:ascii="Times New Roman" w:cs="Times New Roman" w:eastAsia="Times New Roman" w:hAnsi="Times New Roman"/>
          <w:sz w:val="21"/>
          <w:szCs w:val="21"/>
          <w:color w:val="auto"/>
        </w:rPr>
      </w:pPr>
    </w:p>
    <w:p>
      <w:pPr>
        <w:ind w:left="640" w:right="40" w:hanging="322"/>
        <w:spacing w:after="0" w:line="239"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257" w:lineRule="exact"/>
        <w:rPr>
          <w:rFonts w:ascii="Times New Roman" w:cs="Times New Roman" w:eastAsia="Times New Roman" w:hAnsi="Times New Roman"/>
          <w:sz w:val="21"/>
          <w:szCs w:val="21"/>
          <w:color w:val="auto"/>
        </w:rPr>
      </w:pPr>
    </w:p>
    <w:p>
      <w:pPr>
        <w:ind w:left="640" w:right="340" w:hanging="322"/>
        <w:spacing w:after="0" w:line="239"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after the Voting Threshold Date our stockholders will only be able to take action at a meeting of stockholders, and will not be able to take action by written consent for any matter;</w:t>
      </w:r>
    </w:p>
    <w:p>
      <w:pPr>
        <w:spacing w:after="0" w:line="257" w:lineRule="exact"/>
        <w:rPr>
          <w:rFonts w:ascii="Times New Roman" w:cs="Times New Roman" w:eastAsia="Times New Roman" w:hAnsi="Times New Roman"/>
          <w:sz w:val="21"/>
          <w:szCs w:val="21"/>
          <w:color w:val="auto"/>
        </w:rPr>
      </w:pPr>
    </w:p>
    <w:p>
      <w:pPr>
        <w:ind w:left="640" w:right="440" w:hanging="322"/>
        <w:spacing w:after="0" w:line="239"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until the Voting Threshold Date, our stockholders will be able to act by written consent only if the action is first recommended or approved by the Board of Directors;</w:t>
      </w:r>
    </w:p>
    <w:p>
      <w:pPr>
        <w:spacing w:after="0" w:line="243" w:lineRule="exact"/>
        <w:rPr>
          <w:rFonts w:ascii="Times New Roman" w:cs="Times New Roman" w:eastAsia="Times New Roman" w:hAnsi="Times New Roman"/>
          <w:sz w:val="21"/>
          <w:szCs w:val="21"/>
          <w:color w:val="auto"/>
        </w:rPr>
      </w:pPr>
    </w:p>
    <w:p>
      <w:pPr>
        <w:ind w:left="620" w:hanging="302"/>
        <w:spacing w:after="0"/>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vacancies on our Board of Directors will be able to be filled only by our Board of Directors and not by stockholders;</w:t>
      </w:r>
    </w:p>
    <w:p>
      <w:pPr>
        <w:spacing w:after="0" w:line="269" w:lineRule="exact"/>
        <w:rPr>
          <w:rFonts w:ascii="Times New Roman" w:cs="Times New Roman" w:eastAsia="Times New Roman" w:hAnsi="Times New Roman"/>
          <w:sz w:val="21"/>
          <w:szCs w:val="21"/>
          <w:color w:val="auto"/>
        </w:rPr>
      </w:pPr>
    </w:p>
    <w:p>
      <w:pPr>
        <w:ind w:left="640" w:right="20" w:hanging="322"/>
        <w:spacing w:after="0" w:line="247" w:lineRule="auto"/>
        <w:tabs>
          <w:tab w:leader="none" w:pos="6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20" w:hanging="302"/>
        <w:spacing w:after="0"/>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certain litigation against us may be required to be brought in Delaware;</w:t>
      </w:r>
    </w:p>
    <w:p>
      <w:pPr>
        <w:spacing w:after="0" w:line="256" w:lineRule="exact"/>
        <w:rPr>
          <w:rFonts w:ascii="Times New Roman" w:cs="Times New Roman" w:eastAsia="Times New Roman" w:hAnsi="Times New Roman"/>
          <w:sz w:val="21"/>
          <w:szCs w:val="21"/>
          <w:color w:val="auto"/>
        </w:rPr>
      </w:pPr>
    </w:p>
    <w:p>
      <w:pPr>
        <w:ind w:left="640" w:right="340" w:hanging="322"/>
        <w:spacing w:after="0" w:line="239"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257" w:lineRule="exact"/>
        <w:rPr>
          <w:rFonts w:ascii="Times New Roman" w:cs="Times New Roman" w:eastAsia="Times New Roman" w:hAnsi="Times New Roman"/>
          <w:sz w:val="21"/>
          <w:szCs w:val="21"/>
          <w:color w:val="auto"/>
        </w:rPr>
      </w:pPr>
    </w:p>
    <w:p>
      <w:pPr>
        <w:ind w:left="640" w:right="500" w:hanging="322"/>
        <w:spacing w:after="0" w:line="255"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w:t>
      </w:r>
    </w:p>
    <w:p>
      <w:pPr>
        <w:spacing w:after="0" w:line="202" w:lineRule="exact"/>
        <w:rPr>
          <w:sz w:val="20"/>
          <w:szCs w:val="20"/>
          <w:color w:val="auto"/>
        </w:rPr>
      </w:pPr>
    </w:p>
    <w:p>
      <w:pPr>
        <w:ind w:right="60" w:firstLine="392"/>
        <w:spacing w:after="0" w:line="269"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9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93"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Our amended and restated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in all cases subject to the court having jurisdiction over indispensable parties named as defendants.</w:t>
      </w:r>
    </w:p>
    <w:p>
      <w:pPr>
        <w:spacing w:after="0" w:line="197" w:lineRule="exact"/>
        <w:rPr>
          <w:sz w:val="20"/>
          <w:szCs w:val="20"/>
          <w:color w:val="auto"/>
        </w:rPr>
      </w:pPr>
    </w:p>
    <w:p>
      <w:pPr>
        <w:jc w:val="both"/>
        <w:ind w:right="280" w:firstLine="392"/>
        <w:spacing w:after="0" w:line="276" w:lineRule="auto"/>
        <w:rPr>
          <w:sz w:val="20"/>
          <w:szCs w:val="20"/>
          <w:color w:val="auto"/>
        </w:rPr>
      </w:pPr>
      <w:r>
        <w:rPr>
          <w:rFonts w:ascii="Times New Roman" w:cs="Times New Roman" w:eastAsia="Times New Roman" w:hAnsi="Times New Roman"/>
          <w:sz w:val="17"/>
          <w:szCs w:val="17"/>
          <w:color w:val="auto"/>
        </w:rPr>
        <w:t>Our amended and restated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spacing w:after="0" w:line="188" w:lineRule="exact"/>
        <w:rPr>
          <w:sz w:val="20"/>
          <w:szCs w:val="20"/>
          <w:color w:val="auto"/>
        </w:rPr>
      </w:pPr>
    </w:p>
    <w:p>
      <w:pPr>
        <w:ind w:right="400" w:firstLine="392"/>
        <w:spacing w:after="0" w:line="276"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8" w:lineRule="exact"/>
        <w:rPr>
          <w:sz w:val="20"/>
          <w:szCs w:val="20"/>
          <w:color w:val="auto"/>
        </w:rPr>
      </w:pPr>
    </w:p>
    <w:p>
      <w:pPr>
        <w:ind w:right="540" w:firstLine="392"/>
        <w:spacing w:after="0" w:line="295" w:lineRule="auto"/>
        <w:rPr>
          <w:sz w:val="20"/>
          <w:szCs w:val="20"/>
          <w:color w:val="auto"/>
        </w:rPr>
      </w:pPr>
      <w:r>
        <w:rPr>
          <w:rFonts w:ascii="Times New Roman" w:cs="Times New Roman" w:eastAsia="Times New Roman" w:hAnsi="Times New Roman"/>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guarantee that our stock repurchase program will be fully implemented or that it will enhance long-term stockholder value.</w:t>
      </w:r>
    </w:p>
    <w:p>
      <w:pPr>
        <w:spacing w:after="0" w:line="253" w:lineRule="exact"/>
        <w:rPr>
          <w:sz w:val="20"/>
          <w:szCs w:val="20"/>
          <w:color w:val="auto"/>
        </w:rPr>
      </w:pPr>
    </w:p>
    <w:p>
      <w:pPr>
        <w:ind w:right="20" w:firstLine="392"/>
        <w:spacing w:after="0" w:line="260" w:lineRule="auto"/>
        <w:rPr>
          <w:sz w:val="20"/>
          <w:szCs w:val="20"/>
          <w:color w:val="auto"/>
        </w:rPr>
      </w:pPr>
      <w:r>
        <w:rPr>
          <w:rFonts w:ascii="Times New Roman" w:cs="Times New Roman" w:eastAsia="Times New Roman" w:hAnsi="Times New Roman"/>
          <w:sz w:val="17"/>
          <w:szCs w:val="17"/>
          <w:color w:val="auto"/>
        </w:rPr>
        <w:t>We initially implemented a stock repurchase program in 2020. In February 2022, our Board of Directors authorized the repurchase of up to an additional $1.2 billion of the outstanding shares of our Class A common stock and in July 2023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253" w:lineRule="exact"/>
        <w:rPr>
          <w:sz w:val="20"/>
          <w:szCs w:val="20"/>
          <w:color w:val="auto"/>
        </w:rPr>
      </w:pPr>
    </w:p>
    <w:p>
      <w:pPr>
        <w:ind w:right="260" w:firstLine="392"/>
        <w:spacing w:after="0" w:line="269"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9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253" w:lineRule="exact"/>
        <w:rPr>
          <w:sz w:val="20"/>
          <w:szCs w:val="20"/>
          <w:color w:val="auto"/>
        </w:rPr>
      </w:pPr>
    </w:p>
    <w:p>
      <w:pPr>
        <w:ind w:right="60" w:firstLine="392"/>
        <w:spacing w:after="0" w:line="264"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200" w:lineRule="exact"/>
        <w:rPr>
          <w:sz w:val="20"/>
          <w:szCs w:val="20"/>
          <w:color w:val="auto"/>
        </w:rPr>
      </w:pPr>
    </w:p>
    <w:p>
      <w:pPr>
        <w:ind w:right="100" w:firstLine="392"/>
        <w:spacing w:after="0" w:line="263" w:lineRule="auto"/>
        <w:rPr>
          <w:sz w:val="20"/>
          <w:szCs w:val="20"/>
          <w:color w:val="auto"/>
        </w:rPr>
      </w:pPr>
      <w:r>
        <w:rPr>
          <w:rFonts w:ascii="Times New Roman" w:cs="Times New Roman" w:eastAsia="Times New Roman" w:hAnsi="Times New Roman"/>
          <w:sz w:val="17"/>
          <w:szCs w:val="17"/>
          <w:color w:val="auto"/>
        </w:rPr>
        <w:t>Additionally, our U.S. headquarters is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exposure to greater than anticipated tax liabilities, which could adversely impact our results of operations.</w:t>
      </w:r>
    </w:p>
    <w:p>
      <w:pPr>
        <w:spacing w:after="0" w:line="253" w:lineRule="exact"/>
        <w:rPr>
          <w:sz w:val="20"/>
          <w:szCs w:val="20"/>
          <w:color w:val="auto"/>
        </w:rPr>
      </w:pPr>
    </w:p>
    <w:p>
      <w:pPr>
        <w:ind w:right="240" w:firstLine="392"/>
        <w:spacing w:after="0" w:line="269"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95" w:lineRule="exact"/>
        <w:rPr>
          <w:sz w:val="20"/>
          <w:szCs w:val="20"/>
          <w:color w:val="auto"/>
        </w:rPr>
      </w:pPr>
    </w:p>
    <w:p>
      <w:pPr>
        <w:ind w:right="220" w:firstLine="392"/>
        <w:spacing w:after="0" w:line="264" w:lineRule="auto"/>
        <w:rPr>
          <w:sz w:val="20"/>
          <w:szCs w:val="20"/>
          <w:color w:val="auto"/>
        </w:rPr>
      </w:pPr>
      <w:r>
        <w:rPr>
          <w:rFonts w:ascii="Times New Roman" w:cs="Times New Roman" w:eastAsia="Times New Roman" w:hAnsi="Times New Roman"/>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U.S.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196"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9" w:lineRule="exact"/>
        <w:rPr>
          <w:sz w:val="20"/>
          <w:szCs w:val="20"/>
          <w:color w:val="auto"/>
        </w:rPr>
      </w:pPr>
    </w:p>
    <w:p>
      <w:pPr>
        <w:ind w:firstLine="392"/>
        <w:spacing w:after="0" w:line="26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5" w:lineRule="exact"/>
        <w:rPr>
          <w:sz w:val="20"/>
          <w:szCs w:val="20"/>
          <w:color w:val="auto"/>
        </w:rPr>
      </w:pPr>
    </w:p>
    <w:p>
      <w:pPr>
        <w:ind w:right="140" w:firstLine="392"/>
        <w:spacing w:after="0" w:line="276"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0" w:lineRule="exact"/>
        <w:rPr>
          <w:sz w:val="20"/>
          <w:szCs w:val="20"/>
          <w:color w:val="auto"/>
        </w:rPr>
      </w:pPr>
    </w:p>
    <w:p>
      <w:pPr>
        <w:spacing w:after="0" w:line="218"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results of operations may be adversely affected by changes in accounting principles generally accepted in the United States.</w:t>
      </w:r>
    </w:p>
    <w:p>
      <w:pPr>
        <w:spacing w:after="0" w:line="253" w:lineRule="exact"/>
        <w:rPr>
          <w:sz w:val="20"/>
          <w:szCs w:val="20"/>
          <w:color w:val="auto"/>
        </w:rPr>
      </w:pPr>
    </w:p>
    <w:p>
      <w:pPr>
        <w:ind w:right="100" w:firstLine="392"/>
        <w:spacing w:after="0" w:line="268"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cannot be certain that additional financing will be available on favorable terms, or at all.</w:t>
      </w:r>
    </w:p>
    <w:p>
      <w:pPr>
        <w:spacing w:after="0" w:line="253"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7"/>
          <w:szCs w:val="17"/>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9"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7"/>
          <w:szCs w:val="17"/>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1" w:lineRule="exact"/>
        <w:rPr>
          <w:sz w:val="20"/>
          <w:szCs w:val="20"/>
          <w:color w:val="auto"/>
        </w:rPr>
      </w:pPr>
    </w:p>
    <w:p>
      <w:pPr>
        <w:ind w:right="2680" w:firstLine="392"/>
        <w:spacing w:after="0" w:line="283" w:lineRule="auto"/>
        <w:rPr>
          <w:sz w:val="20"/>
          <w:szCs w:val="20"/>
          <w:color w:val="auto"/>
        </w:rPr>
      </w:pPr>
      <w:r>
        <w:rPr>
          <w:rFonts w:ascii="Times New Roman" w:cs="Times New Roman" w:eastAsia="Times New Roman" w:hAnsi="Times New Roman"/>
          <w:sz w:val="17"/>
          <w:szCs w:val="17"/>
          <w:color w:val="auto"/>
        </w:rPr>
        <w:t>The following table presents information with respect to Dropbox's repurchases of Class A common stock during the quarter ended March 31, 2024.</w:t>
      </w:r>
    </w:p>
    <w:tbl>
      <w:tblPr>
        <w:tblLayout w:type="fixed"/>
        <w:tblInd w:w="60" w:type="dxa"/>
        <w:tblCellMar>
          <w:top w:w="0" w:type="dxa"/>
          <w:left w:w="0" w:type="dxa"/>
          <w:bottom w:w="0" w:type="dxa"/>
          <w:right w:w="0" w:type="dxa"/>
        </w:tblCellMar>
      </w:tblPr>
      <w:tr>
        <w:trPr>
          <w:trHeight w:val="159"/>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8" w:lineRule="exact"/>
              <w:rPr>
                <w:sz w:val="20"/>
                <w:szCs w:val="20"/>
                <w:color w:val="auto"/>
              </w:rPr>
            </w:pPr>
            <w:r>
              <w:rPr>
                <w:rFonts w:ascii="Times New Roman" w:cs="Times New Roman" w:eastAsia="Times New Roman" w:hAnsi="Times New Roman"/>
                <w:sz w:val="16"/>
                <w:szCs w:val="16"/>
                <w:color w:val="auto"/>
                <w:w w:val="97"/>
              </w:rPr>
              <w:t>Approximate Dollar Value of</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6"/>
              </w:rPr>
              <w:t>Shares that May Yet Be</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right"/>
              <w:ind w:right="236"/>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8"/>
              </w:rPr>
              <w:t>Purchased Under Publicly</w:t>
            </w:r>
          </w:p>
        </w:tc>
        <w:tc>
          <w:tcPr>
            <w:tcW w:w="0" w:type="dxa"/>
            <w:vAlign w:val="bottom"/>
          </w:tcPr>
          <w:p>
            <w:pPr>
              <w:spacing w:after="0"/>
              <w:rPr>
                <w:sz w:val="1"/>
                <w:szCs w:val="1"/>
                <w:color w:val="auto"/>
              </w:rPr>
            </w:pPr>
          </w:p>
        </w:tc>
      </w:tr>
      <w:tr>
        <w:trPr>
          <w:trHeight w:val="157"/>
        </w:trPr>
        <w:tc>
          <w:tcPr>
            <w:tcW w:w="22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Period</w:t>
            </w: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Average Price Paid per Share</w:t>
            </w:r>
            <w:r>
              <w:rPr>
                <w:rFonts w:ascii="Times New Roman" w:cs="Times New Roman" w:eastAsia="Times New Roman" w:hAnsi="Times New Roman"/>
                <w:sz w:val="20"/>
                <w:szCs w:val="20"/>
                <w:color w:val="auto"/>
                <w:vertAlign w:val="superscript"/>
              </w:rPr>
              <w:t>(2)</w:t>
            </w:r>
          </w:p>
        </w:tc>
        <w:tc>
          <w:tcPr>
            <w:tcW w:w="2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0" w:type="dxa"/>
            <w:vAlign w:val="bottom"/>
          </w:tcPr>
          <w:p>
            <w:pPr>
              <w:spacing w:after="0"/>
              <w:rPr>
                <w:sz w:val="1"/>
                <w:szCs w:val="1"/>
                <w:color w:val="auto"/>
              </w:rPr>
            </w:pPr>
          </w:p>
        </w:tc>
      </w:tr>
      <w:tr>
        <w:trPr>
          <w:trHeight w:val="209"/>
        </w:trPr>
        <w:tc>
          <w:tcPr>
            <w:tcW w:w="2240" w:type="dxa"/>
            <w:vAlign w:val="bottom"/>
            <w:gridSpan w:val="2"/>
            <w:vMerge w:val="continue"/>
          </w:tcPr>
          <w:p>
            <w:pPr>
              <w:spacing w:after="0"/>
              <w:rPr>
                <w:sz w:val="18"/>
                <w:szCs w:val="18"/>
                <w:color w:val="auto"/>
              </w:rPr>
            </w:pPr>
          </w:p>
        </w:tc>
        <w:tc>
          <w:tcPr>
            <w:tcW w:w="2140" w:type="dxa"/>
            <w:vAlign w:val="bottom"/>
          </w:tcPr>
          <w:p>
            <w:pPr>
              <w:jc w:val="right"/>
              <w:ind w:right="196"/>
              <w:spacing w:after="0" w:line="209" w:lineRule="exact"/>
              <w:rPr>
                <w:sz w:val="20"/>
                <w:szCs w:val="20"/>
                <w:color w:val="auto"/>
              </w:rPr>
            </w:pPr>
            <w:r>
              <w:rPr>
                <w:rFonts w:ascii="Times New Roman" w:cs="Times New Roman" w:eastAsia="Times New Roman" w:hAnsi="Times New Roman"/>
                <w:sz w:val="16"/>
                <w:szCs w:val="16"/>
                <w:color w:val="auto"/>
              </w:rPr>
              <w:t>Purchased (in millions)</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2160" w:type="dxa"/>
            <w:vAlign w:val="bottom"/>
          </w:tcPr>
          <w:p>
            <w:pPr>
              <w:jc w:val="center"/>
              <w:spacing w:after="0" w:line="209" w:lineRule="exact"/>
              <w:rPr>
                <w:sz w:val="20"/>
                <w:szCs w:val="20"/>
                <w:color w:val="auto"/>
              </w:rPr>
            </w:pPr>
            <w:r>
              <w:rPr>
                <w:rFonts w:ascii="Times New Roman" w:cs="Times New Roman" w:eastAsia="Times New Roman" w:hAnsi="Times New Roman"/>
                <w:sz w:val="16"/>
                <w:szCs w:val="16"/>
                <w:color w:val="auto"/>
                <w:w w:val="94"/>
              </w:rPr>
              <w:t>(in millions)</w:t>
            </w:r>
            <w:r>
              <w:rPr>
                <w:rFonts w:ascii="Times New Roman" w:cs="Times New Roman" w:eastAsia="Times New Roman" w:hAnsi="Times New Roman"/>
                <w:sz w:val="20"/>
                <w:szCs w:val="20"/>
                <w:color w:val="auto"/>
                <w:w w:val="94"/>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8"/>
              <w:spacing w:after="0" w:line="209" w:lineRule="exact"/>
              <w:rPr>
                <w:sz w:val="20"/>
                <w:szCs w:val="20"/>
                <w:color w:val="auto"/>
              </w:rPr>
            </w:pPr>
            <w:r>
              <w:rPr>
                <w:rFonts w:ascii="Times New Roman" w:cs="Times New Roman" w:eastAsia="Times New Roman" w:hAnsi="Times New Roman"/>
                <w:sz w:val="16"/>
                <w:szCs w:val="16"/>
                <w:color w:val="auto"/>
                <w:w w:val="92"/>
              </w:rPr>
              <w:t>(in millions)</w:t>
            </w:r>
            <w:r>
              <w:rPr>
                <w:rFonts w:ascii="Times New Roman" w:cs="Times New Roman" w:eastAsia="Times New Roman" w:hAnsi="Times New Roman"/>
                <w:sz w:val="20"/>
                <w:szCs w:val="20"/>
                <w:color w:val="auto"/>
                <w:w w:val="92"/>
                <w:vertAlign w:val="superscript"/>
              </w:rPr>
              <w:t>(1)</w:t>
            </w:r>
          </w:p>
        </w:tc>
        <w:tc>
          <w:tcPr>
            <w:tcW w:w="0" w:type="dxa"/>
            <w:vAlign w:val="bottom"/>
          </w:tcPr>
          <w:p>
            <w:pPr>
              <w:spacing w:after="0"/>
              <w:rPr>
                <w:sz w:val="1"/>
                <w:szCs w:val="1"/>
                <w:color w:val="auto"/>
              </w:rPr>
            </w:pPr>
          </w:p>
        </w:tc>
      </w:tr>
      <w:tr>
        <w:trPr>
          <w:trHeight w:val="215"/>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1 - 31</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1,374.20</w:t>
            </w:r>
          </w:p>
        </w:tc>
        <w:tc>
          <w:tcPr>
            <w:tcW w:w="0" w:type="dxa"/>
            <w:vAlign w:val="bottom"/>
          </w:tcPr>
          <w:p>
            <w:pPr>
              <w:spacing w:after="0"/>
              <w:rPr>
                <w:sz w:val="1"/>
                <w:szCs w:val="1"/>
                <w:color w:val="auto"/>
              </w:rPr>
            </w:pPr>
          </w:p>
        </w:tc>
      </w:tr>
      <w:tr>
        <w:trPr>
          <w:trHeight w:val="22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1 - 29</w:t>
            </w:r>
          </w:p>
        </w:tc>
        <w:tc>
          <w:tcPr>
            <w:tcW w:w="2140" w:type="dxa"/>
            <w:vAlign w:val="bottom"/>
          </w:tcPr>
          <w:p>
            <w:pPr>
              <w:jc w:val="right"/>
              <w:spacing w:after="0" w:line="222" w:lineRule="exact"/>
              <w:rPr>
                <w:sz w:val="20"/>
                <w:szCs w:val="20"/>
                <w:color w:val="auto"/>
              </w:rPr>
            </w:pPr>
            <w:r>
              <w:rPr>
                <w:rFonts w:ascii="Times New Roman" w:cs="Times New Roman" w:eastAsia="Times New Roman" w:hAnsi="Times New Roman"/>
                <w:sz w:val="17"/>
                <w:szCs w:val="17"/>
                <w:color w:val="auto"/>
              </w:rPr>
              <w:t>2.50</w:t>
            </w:r>
            <w:r>
              <w:rPr>
                <w:rFonts w:ascii="Times New Roman" w:cs="Times New Roman" w:eastAsia="Times New Roman" w:hAnsi="Times New Roman"/>
                <w:sz w:val="22"/>
                <w:szCs w:val="22"/>
                <w:color w:val="auto"/>
                <w:vertAlign w:val="superscript"/>
              </w:rPr>
              <w:t>(3)</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1,310.41</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1 - 31</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0" w:type="dxa"/>
            <w:vAlign w:val="bottom"/>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1,128.37</w:t>
            </w:r>
          </w:p>
        </w:tc>
        <w:tc>
          <w:tcPr>
            <w:tcW w:w="0" w:type="dxa"/>
            <w:vAlign w:val="bottom"/>
          </w:tcPr>
          <w:p>
            <w:pPr>
              <w:spacing w:after="0"/>
              <w:rPr>
                <w:sz w:val="1"/>
                <w:szCs w:val="1"/>
                <w:color w:val="auto"/>
              </w:rPr>
            </w:pPr>
          </w:p>
        </w:tc>
      </w:tr>
      <w:tr>
        <w:trPr>
          <w:trHeight w:val="21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firstLine="5"/>
        <w:spacing w:after="0" w:line="351" w:lineRule="auto"/>
        <w:tabs>
          <w:tab w:leader="none" w:pos="16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On February 17, 2022, we announced that our Board of Directors authorized the repurchase of $1.2 billion of the outstanding shares of our Class A common stock. On July 26, 2023, we announced that our Board of Directors further authorized the repurchase of an additional $1.2 billion of the outstanding shares of our Class A common stock. We completed the February 2022 authorization of $1.2 billion during the three months ended March 31, 2024 and continued stock repurchases under the July 2023 authorization.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11 "Stockholders' Deficit" to our condensed consolidated financial statements included elsewhere in this Quarterly Report on Form 10-Q for additional information related to share repurchases.</w:t>
      </w:r>
    </w:p>
    <w:p>
      <w:pPr>
        <w:spacing w:after="0" w:line="156"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Average price paid per share includes costs associated with the repurchases, excluding the 1% excise tax imposed as part of the Inflation Reduction Act.</w:t>
      </w:r>
    </w:p>
    <w:p>
      <w:pPr>
        <w:spacing w:after="0" w:line="211" w:lineRule="exact"/>
        <w:rPr>
          <w:rFonts w:ascii="Times New Roman" w:cs="Times New Roman" w:eastAsia="Times New Roman" w:hAnsi="Times New Roman"/>
          <w:sz w:val="18"/>
          <w:szCs w:val="18"/>
          <w:color w:val="auto"/>
          <w:vertAlign w:val="superscript"/>
        </w:rPr>
      </w:pPr>
    </w:p>
    <w:p>
      <w:pPr>
        <w:ind w:left="160" w:hanging="155"/>
        <w:spacing w:after="0"/>
        <w:tabs>
          <w:tab w:leader="none" w:pos="16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34,454 shares of restricted common stock withheld by the Company upon vesting of restricted stock awards to satisfy tax withholding requirements.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 OTHER INFORMATION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Trading Plans of Directors and Executive Officers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our last fiscal quarter, the following directors and officers, as defined in Rule 16a-1(f), adopted a “Rule 10b5-1 trading arrangement” as defined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 S-K Item 408, as follows:</w:t>
      </w:r>
    </w:p>
    <w:p>
      <w:pPr>
        <w:spacing w:after="0" w:line="231"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7"/>
          <w:szCs w:val="17"/>
          <w:color w:val="auto"/>
        </w:rPr>
        <w:t>On February 28, 2024, Karen Peacock, a member of our Board of directors adopted a Rule 10b5-1 trading arrangement providing for the sale from time-to-time of an aggregate of up to 10,000 shares of our Class A common stock. The trading arrangement is intended to satisfy the affirmative defense in Rule 10b5-1(c). The duration of the trading arrangement is until December 31, 2024, or earlier if all transactions under the trading arrangement are completed.</w:t>
      </w:r>
    </w:p>
    <w:p>
      <w:pPr>
        <w:spacing w:after="0" w:line="18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On March 11, 2024, Eric Cox, our Chief Customer Officer, adopted a Rule 10b5-1 trading arrangement providing for the sale from time-to-time of an aggregate of up to 21,436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August 29, 2025, or earlier if all transactions under the trading arrangement are completed.</w:t>
      </w:r>
    </w:p>
    <w:p>
      <w:pPr>
        <w:spacing w:after="0" w:line="195" w:lineRule="exact"/>
        <w:rPr>
          <w:sz w:val="20"/>
          <w:szCs w:val="20"/>
          <w:color w:val="auto"/>
        </w:rPr>
      </w:pPr>
    </w:p>
    <w:p>
      <w:pPr>
        <w:ind w:right="120" w:firstLine="392"/>
        <w:spacing w:after="0" w:line="295" w:lineRule="auto"/>
        <w:rPr>
          <w:sz w:val="20"/>
          <w:szCs w:val="20"/>
          <w:color w:val="auto"/>
        </w:rPr>
      </w:pPr>
      <w:r>
        <w:rPr>
          <w:rFonts w:ascii="Times New Roman" w:cs="Times New Roman" w:eastAsia="Times New Roman" w:hAnsi="Times New Roman"/>
          <w:sz w:val="17"/>
          <w:szCs w:val="17"/>
          <w:color w:val="auto"/>
        </w:rPr>
        <w:t>No other directors or officers, as defined in Rule 16a-1(f), adopted and/or terminated a “Rule 10b5-1 trading arrangement” or a “non-Rule 10b5-1 trading arrangement,” as defined in Regulation S-K Item 408, during the last fiscal quarter.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Incorporated by</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700" w:type="dxa"/>
            <w:vAlign w:val="bottom"/>
            <w:gridSpan w:val="6"/>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Reference from</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8"/>
              </w:rPr>
              <w:t>Filed with SEC</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4700" w:type="dxa"/>
            <w:vAlign w:val="bottom"/>
            <w:gridSpan w:val="6"/>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0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820" w:type="dxa"/>
            <w:vAlign w:val="bottom"/>
            <w:tcBorders>
              <w:top w:val="single" w:sz="8" w:color="0000FF"/>
              <w:bottom w:val="single" w:sz="8" w:color="0000FF"/>
            </w:tcBorders>
            <w:gridSpan w:val="3"/>
          </w:tcPr>
          <w:p>
            <w:pPr>
              <w:spacing w:after="0" w:line="111" w:lineRule="exact"/>
              <w:rPr>
                <w:sz w:val="20"/>
                <w:szCs w:val="20"/>
                <w:color w:val="auto"/>
              </w:rPr>
            </w:pPr>
            <w:r>
              <w:rPr>
                <w:rFonts w:ascii="Times New Roman" w:cs="Times New Roman" w:eastAsia="Times New Roman" w:hAnsi="Times New Roman"/>
                <w:sz w:val="12"/>
                <w:szCs w:val="12"/>
                <w:color w:val="0000FF"/>
              </w:rPr>
              <w:t>and 15d-14(a), as adopted pursuant to Section 302 of the Sarbanes-Oxley Act of 2002.</w:t>
            </w: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8"/>
              </w:rPr>
              <w:t>Certification of Principal Financial Officer pursuant to Exchange Act Rules 13a-14(a) and</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580" w:type="dxa"/>
            <w:vAlign w:val="bottom"/>
            <w:tcBorders>
              <w:bottom w:val="single" w:sz="8" w:color="0000FF"/>
            </w:tcBorders>
            <w:gridSpan w:val="2"/>
          </w:tcPr>
          <w:p>
            <w:pPr>
              <w:spacing w:after="0" w:line="111" w:lineRule="exact"/>
              <w:rPr>
                <w:sz w:val="20"/>
                <w:szCs w:val="20"/>
                <w:color w:val="auto"/>
              </w:rPr>
            </w:pPr>
            <w:r>
              <w:rPr>
                <w:rFonts w:ascii="Times New Roman" w:cs="Times New Roman" w:eastAsia="Times New Roman" w:hAnsi="Times New Roman"/>
                <w:sz w:val="12"/>
                <w:szCs w:val="12"/>
                <w:color w:val="0000FF"/>
              </w:rPr>
              <w:t>15d-14(a), as adopted pursuant to Section 302 of the Sarbanes-Oxley Act of 2002.</w:t>
            </w:r>
          </w:p>
        </w:tc>
        <w:tc>
          <w:tcPr>
            <w:tcW w:w="440" w:type="dxa"/>
            <w:vAlign w:val="bottom"/>
            <w:gridSpan w:val="5"/>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Certifications of Principal Executive Officer and Principal Financial Officer pursuant to</w:t>
            </w:r>
          </w:p>
        </w:tc>
        <w:tc>
          <w:tcPr>
            <w:tcW w:w="12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5020" w:type="dxa"/>
            <w:vAlign w:val="bottom"/>
            <w:gridSpan w:val="7"/>
          </w:tcPr>
          <w:p>
            <w:pPr>
              <w:spacing w:after="0" w:line="111" w:lineRule="exact"/>
              <w:rPr>
                <w:sz w:val="20"/>
                <w:szCs w:val="20"/>
                <w:color w:val="auto"/>
              </w:rPr>
            </w:pPr>
            <w:r>
              <w:rPr>
                <w:rFonts w:ascii="Times New Roman" w:cs="Times New Roman" w:eastAsia="Times New Roman" w:hAnsi="Times New Roman"/>
                <w:sz w:val="12"/>
                <w:szCs w:val="12"/>
                <w:color w:val="0000FF"/>
              </w:rPr>
              <w:t>18 U.S.C. Section 1350 as adopted pursuant to Section 906 of the Sarbanes-Oxley Act of</w:t>
            </w: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4" w:lineRule="exact"/>
              <w:rPr>
                <w:sz w:val="20"/>
                <w:szCs w:val="20"/>
                <w:color w:val="auto"/>
              </w:rPr>
            </w:pPr>
            <w:r>
              <w:rPr>
                <w:rFonts w:ascii="Times New Roman" w:cs="Times New Roman" w:eastAsia="Times New Roman" w:hAnsi="Times New Roman"/>
                <w:sz w:val="14"/>
                <w:szCs w:val="14"/>
                <w:color w:val="0000FF"/>
                <w:w w:val="95"/>
              </w:rPr>
              <w:t>2002.</w:t>
            </w:r>
          </w:p>
        </w:tc>
        <w:tc>
          <w:tcPr>
            <w:tcW w:w="42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080" w:right="5060" w:hanging="1058"/>
        <w:spacing w:after="0" w:line="242" w:lineRule="auto"/>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the Company's Quarterly Report on Form 10-Q for the quarter ended March 31, 2024,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88" w:lineRule="exact"/>
        <w:rPr>
          <w:sz w:val="20"/>
          <w:szCs w:val="20"/>
          <w:color w:val="auto"/>
        </w:rPr>
      </w:pPr>
    </w:p>
    <w:p>
      <w:pPr>
        <w:ind w:left="1080" w:right="5240" w:hanging="1058"/>
        <w:spacing w:after="0" w:line="233" w:lineRule="auto"/>
        <w:tabs>
          <w:tab w:leader="none" w:pos="10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314" w:lineRule="exact"/>
        <w:rPr>
          <w:rFonts w:ascii="Times New Roman" w:cs="Times New Roman" w:eastAsia="Times New Roman" w:hAnsi="Times New Roman"/>
          <w:sz w:val="14"/>
          <w:szCs w:val="14"/>
          <w:color w:val="auto"/>
        </w:rPr>
      </w:pPr>
    </w:p>
    <w:p>
      <w:pPr>
        <w:ind w:firstLine="5"/>
        <w:spacing w:after="0" w:line="269" w:lineRule="auto"/>
        <w:tabs>
          <w:tab w:leader="none" w:pos="10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1" w:lineRule="exact"/>
        <w:rPr>
          <w:sz w:val="20"/>
          <w:szCs w:val="20"/>
          <w:color w:val="auto"/>
        </w:rPr>
      </w:pPr>
    </w:p>
    <w:p>
      <w:pPr>
        <w:ind w:firstLine="392"/>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080" w:type="dxa"/>
            <w:vAlign w:val="bottom"/>
            <w:gridSpan w:val="3"/>
          </w:tcPr>
          <w:p>
            <w:pPr>
              <w:ind w:left="480"/>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40" w:type="dxa"/>
            <w:vAlign w:val="bottom"/>
          </w:tcPr>
          <w:p>
            <w:pPr>
              <w:spacing w:after="0"/>
              <w:rPr>
                <w:sz w:val="19"/>
                <w:szCs w:val="19"/>
                <w:color w:val="auto"/>
              </w:rPr>
            </w:pPr>
          </w:p>
        </w:tc>
      </w:tr>
      <w:tr>
        <w:trPr>
          <w:trHeight w:val="484"/>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May 10, 2024</w:t>
            </w:r>
          </w:p>
        </w:tc>
        <w:tc>
          <w:tcPr>
            <w:tcW w:w="15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By:</w:t>
            </w:r>
          </w:p>
        </w:tc>
        <w:tc>
          <w:tcPr>
            <w:tcW w:w="7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Andrew W. Houston</w:t>
            </w:r>
          </w:p>
        </w:tc>
        <w:tc>
          <w:tcPr>
            <w:tcW w:w="4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W. Houston</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40" w:type="dxa"/>
            <w:vAlign w:val="bottom"/>
          </w:tcPr>
          <w:p>
            <w:pPr>
              <w:spacing w:after="0"/>
              <w:rPr>
                <w:sz w:val="19"/>
                <w:szCs w:val="19"/>
                <w:color w:val="auto"/>
              </w:rPr>
            </w:pPr>
          </w:p>
        </w:tc>
      </w:tr>
      <w:tr>
        <w:trPr>
          <w:trHeight w:val="693"/>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10, 2024</w:t>
            </w:r>
          </w:p>
        </w:tc>
        <w:tc>
          <w:tcPr>
            <w:tcW w:w="15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Timothy J. Regan</w:t>
            </w:r>
          </w:p>
        </w:tc>
        <w:tc>
          <w:tcPr>
            <w:tcW w:w="4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1240"/>
          </w:cols>
          <w:pgMar w:left="320" w:top="11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W. Houston, certify that:</w:t>
      </w:r>
    </w:p>
    <w:p>
      <w:pPr>
        <w:spacing w:after="0" w:line="223" w:lineRule="exact"/>
        <w:rPr>
          <w:sz w:val="20"/>
          <w:szCs w:val="20"/>
          <w:color w:val="auto"/>
        </w:rPr>
      </w:pPr>
    </w:p>
    <w:p>
      <w:pPr>
        <w:ind w:left="320" w:hanging="315"/>
        <w:spacing w:after="0"/>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222"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320" w:right="80" w:hanging="315"/>
        <w:spacing w:after="0" w:line="29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2024</w:t>
      </w:r>
    </w:p>
    <w:p>
      <w:pPr>
        <w:spacing w:after="0" w:line="14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DROPBOX, INC.</w:t>
      </w:r>
    </w:p>
    <w:p>
      <w:pPr>
        <w:spacing w:after="0" w:line="275" w:lineRule="exact"/>
        <w:rPr>
          <w:sz w:val="20"/>
          <w:szCs w:val="20"/>
          <w:color w:val="auto"/>
        </w:rPr>
      </w:pPr>
    </w:p>
    <w:tbl>
      <w:tblPr>
        <w:tblLayout w:type="fixed"/>
        <w:tblInd w:w="66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W. Houston</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W. Houston</w:t>
            </w:r>
          </w:p>
        </w:tc>
      </w:tr>
      <w:tr>
        <w:trPr>
          <w:trHeight w:val="22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060"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Timothy J. Regan, certify that:</w:t>
      </w:r>
    </w:p>
    <w:p>
      <w:pPr>
        <w:spacing w:after="0" w:line="223" w:lineRule="exact"/>
        <w:rPr>
          <w:sz w:val="20"/>
          <w:szCs w:val="20"/>
          <w:color w:val="auto"/>
        </w:rPr>
      </w:pPr>
    </w:p>
    <w:p>
      <w:pPr>
        <w:ind w:left="320" w:hanging="315"/>
        <w:spacing w:after="0"/>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222"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320" w:right="80" w:hanging="315"/>
        <w:spacing w:after="0" w:line="29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Times New Roman" w:cs="Times New Roman" w:eastAsia="Times New Roman" w:hAnsi="Times New Roman"/>
          <w:sz w:val="17"/>
          <w:szCs w:val="17"/>
          <w:color w:val="auto"/>
        </w:rPr>
      </w:pPr>
    </w:p>
    <w:p>
      <w:pPr>
        <w:ind w:left="640" w:right="240" w:hanging="322"/>
        <w:spacing w:after="0" w:line="276"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left="320" w:right="520" w:hanging="315"/>
        <w:spacing w:after="0" w:line="29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640" w:right="20" w:hanging="322"/>
        <w:spacing w:after="0" w:line="295"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640" w:right="260" w:hanging="322"/>
        <w:spacing w:after="0" w:line="295" w:lineRule="auto"/>
        <w:tabs>
          <w:tab w:leader="none" w:pos="6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2024</w:t>
      </w:r>
    </w:p>
    <w:p>
      <w:pPr>
        <w:spacing w:after="0" w:line="2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DROPBOX, INC.</w:t>
      </w:r>
    </w:p>
    <w:p>
      <w:pPr>
        <w:spacing w:after="0" w:line="223"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20320</wp:posOffset>
            </wp:positionV>
            <wp:extent cx="1419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spacing w:after="0" w:line="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Name: Timothy J. Regan</w:t>
      </w:r>
    </w:p>
    <w:p>
      <w:pPr>
        <w:spacing w:after="0" w:line="32"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40" w:lineRule="exact"/>
        <w:rPr>
          <w:sz w:val="20"/>
          <w:szCs w:val="20"/>
          <w:color w:val="auto"/>
        </w:rPr>
      </w:pPr>
    </w:p>
    <w:p>
      <w:pPr>
        <w:ind w:left="5440"/>
        <w:spacing w:after="0"/>
        <w:tabs>
          <w:tab w:leader="none" w:pos="6320" w:val="left"/>
          <w:tab w:leader="none" w:pos="7360" w:val="left"/>
        </w:tabs>
        <w:rPr>
          <w:sz w:val="20"/>
          <w:szCs w:val="20"/>
          <w:color w:val="auto"/>
        </w:rPr>
      </w:pPr>
      <w:r>
        <w:rPr>
          <w:rFonts w:ascii="Times New Roman" w:cs="Times New Roman" w:eastAsia="Times New Roman" w:hAnsi="Times New Roman"/>
          <w:sz w:val="17"/>
          <w:szCs w:val="17"/>
          <w:color w:val="auto"/>
        </w:rPr>
        <w:t>(Principal</w:t>
        <w:tab/>
        <w:t>Accounting</w:t>
      </w:r>
      <w:r>
        <w:rPr>
          <w:sz w:val="20"/>
          <w:szCs w:val="20"/>
          <w:color w:val="auto"/>
        </w:rPr>
        <w:tab/>
      </w:r>
      <w:r>
        <w:rPr>
          <w:rFonts w:ascii="Times New Roman" w:cs="Times New Roman" w:eastAsia="Times New Roman" w:hAnsi="Times New Roman"/>
          <w:sz w:val="16"/>
          <w:szCs w:val="16"/>
          <w:color w:val="auto"/>
        </w:rPr>
        <w:t>and</w:t>
      </w:r>
    </w:p>
    <w:p>
      <w:pPr>
        <w:spacing w:after="0" w:line="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Financial Officer)</w:t>
      </w:r>
    </w:p>
    <w:p>
      <w:pPr>
        <w:sectPr>
          <w:pgSz w:w="11900" w:h="16838" w:orient="portrait"/>
          <w:cols w:equalWidth="0" w:num="1">
            <w:col w:w="11240"/>
          </w:cols>
          <w:pgMar w:left="320" w:top="1060"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Andrew W. Houston, certify, pursuant to 18 U.S.C. Section 1350, as adopted pursuant to Section 906 of the Sarbanes-Oxley Act of 2002, that the Quarterly Report on Form 10-Q of Dropbox, Inc. for the fiscal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May 10, 2024</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Andrew W. Houston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Andrew W. Houston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67"/>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282"/>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380" w:type="dxa"/>
            <w:vAlign w:val="bottom"/>
            <w:shd w:val="clear" w:color="auto" w:fill="FEFEFE"/>
          </w:tcPr>
          <w:p>
            <w:pPr>
              <w:spacing w:after="0"/>
              <w:rPr>
                <w:sz w:val="24"/>
                <w:szCs w:val="24"/>
                <w:color w:val="auto"/>
              </w:rPr>
            </w:pPr>
          </w:p>
        </w:tc>
      </w:tr>
    </w:tbl>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 Timothy J. Regan, certify, pursuant to 18 U.S.C. Section 1350, as adopted pursuant to Section 906 of the Sarbanes-Oxley Act of 2002, that the Quarterly Report on Form 10-Q of Dropbox, Inc. for the fiscal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May 10, 2024</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Timothy J. Regan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Timothy J. Regan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43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2"/>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01"/>
    </w:lvl>
  </w:abstractNum>
  <w:abstractNum w:abstractNumId="31">
    <w:nsid w:val="4516DDE9"/>
    <w:multiLevelType w:val="hybridMultilevel"/>
    <w:lvl w:ilvl="0">
      <w:lvlJc w:val="left"/>
      <w:lvlText w:val="†"/>
      <w:numFmt w:val="bullet"/>
      <w:start w:val="1"/>
    </w:lvl>
    <w:lvl w:ilvl="1">
      <w:lvlJc w:val="left"/>
      <w:lvlText w:val="%2"/>
      <w:numFmt w:val="decimal"/>
      <w:start w:val="104"/>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2024-05-10T15:31:40Z</dcterms:created>
  <dcterms:modified xsi:type="dcterms:W3CDTF">2024-05-10T15:31:40Z</dcterms:modified>
</cp:coreProperties>
</file>