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September 30,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001-38434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26-0138832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1800 Owens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94158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930-7766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63" w:type="dxa"/>
        <w:jc w:val="left"/>
        <w:tblInd w:w="0" w:type="dxa"/>
        <w:tblLayout w:type="fixed"/>
        <w:tblCellMar>
          <w:top w:w="28" w:type="dxa"/>
          <w:left w:w="28" w:type="dxa"/>
          <w:bottom w:w="28" w:type="dxa"/>
          <w:right w:w="28" w:type="dxa"/>
        </w:tblCellMar>
      </w:tblPr>
      <w:tblGrid>
        <w:gridCol w:w="308"/>
        <w:gridCol w:w="270"/>
        <w:gridCol w:w="270"/>
        <w:gridCol w:w="270"/>
        <w:gridCol w:w="270"/>
        <w:gridCol w:w="274"/>
        <w:gridCol w:w="109"/>
        <w:gridCol w:w="109"/>
        <w:gridCol w:w="109"/>
        <w:gridCol w:w="109"/>
        <w:gridCol w:w="109"/>
        <w:gridCol w:w="109"/>
        <w:gridCol w:w="336"/>
        <w:gridCol w:w="336"/>
        <w:gridCol w:w="336"/>
        <w:gridCol w:w="336"/>
        <w:gridCol w:w="336"/>
        <w:gridCol w:w="346"/>
        <w:gridCol w:w="211"/>
        <w:gridCol w:w="211"/>
        <w:gridCol w:w="29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by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November 3, 2025, there were 182,734,460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44,853 shares of Class A common stock subject to restricted stock awards that were granted to other Dropbox executives and vest upon the satisfaction of a service condition and as applicable, achievement of certain stock price goals), 76,004,861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retain and upgrade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security breaches and our liability or other potential legal, regulatory, or reputational consequences of any unauthorized access to our data or our customer data;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expectations regarding general economic, political, and market trends and their respective impacts on our business;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expectations regarding the potential impacts of permanent global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retain, integrate, and manage key and other highly qualified personnel, including as a result of our Virtual First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Acquisitions of companies and assets, including our ability to successfully integrate and realize the anticipated benefits of such acquisitions.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495"/>
        <w:jc w:val="center"/>
        <w:rPr/>
      </w:pPr>
      <w:r>
        <w:rPr/>
      </w:r>
    </w:p>
    <w:p>
      <w:pPr>
        <w:pStyle w:val="TextBody"/>
        <w:bidi w:val="0"/>
        <w:spacing w:lineRule="auto" w:line="288" w:before="240" w:after="283"/>
        <w:ind w:left="0" w:right="0" w:firstLine="495"/>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rate of growth has declined and we have experienced negative growth in past periods. If we do not successfully execute our plan for future growth, our growth rate may continue to decline and we may experience negative growth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with a Virtual First workforce and the long-term impact of this model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Servicing our indebtedness under our term loan facility, 2026 Notes and 2028 Notes (as defined below) may require a significant amount of cash, and we may not have sufficient cash flow or the ability to raise the funds necessary to satisfy our obligations under the term loan facility, 2026 Notes, or 2028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8"/>
        <w:gridCol w:w="243"/>
        <w:gridCol w:w="246"/>
        <w:gridCol w:w="2973"/>
        <w:gridCol w:w="2973"/>
        <w:gridCol w:w="2978"/>
        <w:gridCol w:w="149"/>
        <w:gridCol w:w="149"/>
        <w:gridCol w:w="216"/>
      </w:tblGrid>
      <w:tr>
        <w:trPr/>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af12b3c4d04e959a903bd9332180f2_13">
              <w:r>
                <w:rPr>
                  <w:rStyle w:val="InternetLink"/>
                  <w:rFonts w:ascii="Times New Roman;serif" w:hAnsi="Times New Roman;serif"/>
                  <w:b w:val="false"/>
                  <w:color w:val="0000FF"/>
                  <w:sz w:val="18"/>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9">
              <w:r>
                <w:rPr>
                  <w:rStyle w:val="InternetLink"/>
                  <w:rFonts w:ascii="Times New Roman;serif" w:hAnsi="Times New Roman;serif"/>
                  <w:b w:val="false"/>
                  <w:color w:val="0000FF"/>
                  <w:sz w:val="18"/>
                  <w:u w:val="single"/>
                </w:rPr>
                <w:t>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6">
              <w:r>
                <w:rPr>
                  <w:rStyle w:val="InternetLink"/>
                  <w:rFonts w:ascii="Times New Roman;serif" w:hAnsi="Times New Roman;serif"/>
                  <w:b w:val="false"/>
                  <w:color w:val="0000FF"/>
                  <w:sz w:val="18"/>
                  <w:u w:val="single"/>
                </w:rPr>
                <w:t>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9">
              <w:r>
                <w:rPr>
                  <w:rStyle w:val="InternetLink"/>
                  <w:rFonts w:ascii="Times New Roman;serif" w:hAnsi="Times New Roman;serif"/>
                  <w:b w:val="false"/>
                  <w:color w:val="000080"/>
                  <w:sz w:val="18"/>
                  <w:u w:val="single"/>
                </w:rPr>
                <w:t xml:space="preserve">Condensed Consolidated Balance Sheets as of </w:t>
              </w:r>
            </w:hyperlink>
            <w:hyperlink w:anchor="i03af12b3c4d04e959a903bd9332180f2_19">
              <w:r>
                <w:rPr>
                  <w:rStyle w:val="InternetLink"/>
                  <w:rFonts w:ascii="Times New Roman;serif" w:hAnsi="Times New Roman;serif"/>
                  <w:b w:val="false"/>
                  <w:color w:val="000080"/>
                  <w:sz w:val="18"/>
                  <w:u w:val="single"/>
                </w:rPr>
                <w:t>September</w:t>
              </w:r>
            </w:hyperlink>
            <w:hyperlink w:anchor="i03af12b3c4d04e959a903bd9332180f2_19">
              <w:r>
                <w:rPr>
                  <w:rStyle w:val="InternetLink"/>
                  <w:rFonts w:ascii="Times New Roman;serif" w:hAnsi="Times New Roman;serif"/>
                  <w:b w:val="false"/>
                  <w:color w:val="000080"/>
                  <w:sz w:val="18"/>
                  <w:u w:val="single"/>
                </w:rPr>
                <w:t xml:space="preserve"> 30, 2025 and December 31,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9">
              <w:r>
                <w:rPr>
                  <w:rStyle w:val="InternetLink"/>
                  <w:rFonts w:ascii="Times New Roman;serif" w:hAnsi="Times New Roman;serif"/>
                  <w:b w:val="false"/>
                  <w:color w:val="0000FF"/>
                  <w:sz w:val="18"/>
                  <w:u w:val="single"/>
                </w:rPr>
                <w:t>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22">
              <w:r>
                <w:rPr>
                  <w:rStyle w:val="InternetLink"/>
                  <w:rFonts w:ascii="Times New Roman;serif" w:hAnsi="Times New Roman;serif"/>
                  <w:b w:val="false"/>
                  <w:color w:val="000080"/>
                  <w:sz w:val="18"/>
                  <w:u w:val="single"/>
                </w:rPr>
                <w:t xml:space="preserve">Condensed Consolidated Statements of Operations for the Three and </w:t>
              </w:r>
            </w:hyperlink>
            <w:hyperlink w:anchor="i03af12b3c4d04e959a903bd9332180f2_22">
              <w:r>
                <w:rPr>
                  <w:rStyle w:val="InternetLink"/>
                  <w:rFonts w:ascii="Times New Roman;serif" w:hAnsi="Times New Roman;serif"/>
                  <w:b w:val="false"/>
                  <w:color w:val="000080"/>
                  <w:sz w:val="18"/>
                  <w:u w:val="single"/>
                </w:rPr>
                <w:t>Nine</w:t>
              </w:r>
            </w:hyperlink>
            <w:hyperlink w:anchor="i03af12b3c4d04e959a903bd9332180f2_22">
              <w:r>
                <w:rPr>
                  <w:rStyle w:val="InternetLink"/>
                  <w:rFonts w:ascii="Times New Roman;serif" w:hAnsi="Times New Roman;serif"/>
                  <w:b w:val="false"/>
                  <w:color w:val="000080"/>
                  <w:sz w:val="18"/>
                  <w:u w:val="single"/>
                </w:rPr>
                <w:t xml:space="preserve"> Months Ended </w:t>
              </w:r>
            </w:hyperlink>
            <w:hyperlink w:anchor="i03af12b3c4d04e959a903bd9332180f2_22">
              <w:r>
                <w:rPr>
                  <w:rStyle w:val="InternetLink"/>
                  <w:rFonts w:ascii="Times New Roman;serif" w:hAnsi="Times New Roman;serif"/>
                  <w:b w:val="false"/>
                  <w:color w:val="000080"/>
                  <w:sz w:val="18"/>
                  <w:u w:val="single"/>
                </w:rPr>
                <w:t>September</w:t>
              </w:r>
            </w:hyperlink>
            <w:hyperlink w:anchor="i03af12b3c4d04e959a903bd9332180f2_22">
              <w:r>
                <w:rPr>
                  <w:rStyle w:val="InternetLink"/>
                  <w:rFonts w:ascii="Times New Roman;serif" w:hAnsi="Times New Roman;serif"/>
                  <w:b w:val="false"/>
                  <w:color w:val="000080"/>
                  <w:sz w:val="18"/>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22">
              <w:r>
                <w:rPr>
                  <w:rStyle w:val="InternetLink"/>
                  <w:rFonts w:ascii="Times New Roman;serif" w:hAnsi="Times New Roman;serif"/>
                  <w:b w:val="false"/>
                  <w:color w:val="0000FF"/>
                  <w:sz w:val="18"/>
                  <w:u w:val="single"/>
                </w:rPr>
                <w:t>7</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28">
              <w:r>
                <w:rPr>
                  <w:rStyle w:val="InternetLink"/>
                  <w:rFonts w:ascii="Times New Roman;serif" w:hAnsi="Times New Roman;serif"/>
                  <w:b w:val="false"/>
                  <w:color w:val="000080"/>
                  <w:sz w:val="18"/>
                  <w:u w:val="single"/>
                </w:rPr>
                <w:t xml:space="preserve">Condensed Consolidated Statements of Comprehensive Income for the Three and </w:t>
              </w:r>
            </w:hyperlink>
            <w:hyperlink w:anchor="i03af12b3c4d04e959a903bd9332180f2_28">
              <w:r>
                <w:rPr>
                  <w:rStyle w:val="InternetLink"/>
                  <w:rFonts w:ascii="Times New Roman;serif" w:hAnsi="Times New Roman;serif"/>
                  <w:b w:val="false"/>
                  <w:color w:val="000080"/>
                  <w:sz w:val="18"/>
                  <w:u w:val="single"/>
                </w:rPr>
                <w:t>Nine</w:t>
              </w:r>
            </w:hyperlink>
            <w:hyperlink w:anchor="i03af12b3c4d04e959a903bd9332180f2_28">
              <w:r>
                <w:rPr>
                  <w:rStyle w:val="InternetLink"/>
                  <w:rFonts w:ascii="Times New Roman;serif" w:hAnsi="Times New Roman;serif"/>
                  <w:b w:val="false"/>
                  <w:color w:val="000080"/>
                  <w:sz w:val="18"/>
                  <w:u w:val="single"/>
                </w:rPr>
                <w:t xml:space="preserve"> Months Ended </w:t>
              </w:r>
            </w:hyperlink>
            <w:hyperlink w:anchor="i03af12b3c4d04e959a903bd9332180f2_28">
              <w:r>
                <w:rPr>
                  <w:rStyle w:val="InternetLink"/>
                  <w:rFonts w:ascii="Times New Roman;serif" w:hAnsi="Times New Roman;serif"/>
                  <w:b w:val="false"/>
                  <w:color w:val="000080"/>
                  <w:sz w:val="18"/>
                  <w:u w:val="single"/>
                </w:rPr>
                <w:t>Septemb</w:t>
              </w:r>
            </w:hyperlink>
            <w:hyperlink w:anchor="i03af12b3c4d04e959a903bd9332180f2_28">
              <w:r>
                <w:rPr>
                  <w:rStyle w:val="InternetLink"/>
                  <w:rFonts w:ascii="Times New Roman;serif" w:hAnsi="Times New Roman;serif"/>
                  <w:b w:val="false"/>
                  <w:color w:val="000080"/>
                  <w:sz w:val="18"/>
                  <w:u w:val="single"/>
                </w:rPr>
                <w:t>er</w:t>
              </w:r>
            </w:hyperlink>
            <w:hyperlink w:anchor="i03af12b3c4d04e959a903bd9332180f2_28">
              <w:r>
                <w:rPr>
                  <w:rStyle w:val="InternetLink"/>
                  <w:rFonts w:ascii="Times New Roman;serif" w:hAnsi="Times New Roman;serif"/>
                  <w:b w:val="false"/>
                  <w:color w:val="000080"/>
                  <w:sz w:val="18"/>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28">
              <w:r>
                <w:rPr>
                  <w:rStyle w:val="InternetLink"/>
                  <w:rFonts w:ascii="Times New Roman;serif" w:hAnsi="Times New Roman;serif"/>
                  <w:b w:val="false"/>
                  <w:color w:val="0000FF"/>
                  <w:sz w:val="18"/>
                  <w:u w:val="single"/>
                </w:rPr>
                <w:t>8</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31">
              <w:r>
                <w:rPr>
                  <w:rStyle w:val="InternetLink"/>
                  <w:rFonts w:ascii="Times New Roman;serif" w:hAnsi="Times New Roman;serif"/>
                  <w:b w:val="false"/>
                  <w:color w:val="000080"/>
                  <w:sz w:val="18"/>
                  <w:u w:val="single"/>
                </w:rPr>
                <w:t xml:space="preserve">Condensed Consolidated Statements of Stockholders' Deficit for the Three and </w:t>
              </w:r>
            </w:hyperlink>
            <w:hyperlink w:anchor="i03af12b3c4d04e959a903bd9332180f2_31">
              <w:r>
                <w:rPr>
                  <w:rStyle w:val="InternetLink"/>
                  <w:rFonts w:ascii="Times New Roman;serif" w:hAnsi="Times New Roman;serif"/>
                  <w:b w:val="false"/>
                  <w:color w:val="000080"/>
                  <w:sz w:val="18"/>
                  <w:u w:val="single"/>
                </w:rPr>
                <w:t>Nine</w:t>
              </w:r>
            </w:hyperlink>
            <w:hyperlink w:anchor="i03af12b3c4d04e959a903bd9332180f2_31">
              <w:r>
                <w:rPr>
                  <w:rStyle w:val="InternetLink"/>
                  <w:rFonts w:ascii="Times New Roman;serif" w:hAnsi="Times New Roman;serif"/>
                  <w:b w:val="false"/>
                  <w:color w:val="000080"/>
                  <w:sz w:val="18"/>
                  <w:u w:val="single"/>
                </w:rPr>
                <w:t xml:space="preserve"> Months Ended </w:t>
              </w:r>
            </w:hyperlink>
            <w:hyperlink w:anchor="i03af12b3c4d04e959a903bd9332180f2_31">
              <w:r>
                <w:rPr>
                  <w:rStyle w:val="InternetLink"/>
                  <w:rFonts w:ascii="Times New Roman;serif" w:hAnsi="Times New Roman;serif"/>
                  <w:b w:val="false"/>
                  <w:color w:val="000080"/>
                  <w:sz w:val="18"/>
                  <w:u w:val="single"/>
                </w:rPr>
                <w:t>September</w:t>
              </w:r>
            </w:hyperlink>
            <w:hyperlink w:anchor="i03af12b3c4d04e959a903bd9332180f2_31">
              <w:r>
                <w:rPr>
                  <w:rStyle w:val="InternetLink"/>
                  <w:rFonts w:ascii="Times New Roman;serif" w:hAnsi="Times New Roman;serif"/>
                  <w:b w:val="false"/>
                  <w:color w:val="000080"/>
                  <w:sz w:val="18"/>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31">
              <w:r>
                <w:rPr>
                  <w:rStyle w:val="InternetLink"/>
                  <w:rFonts w:ascii="Times New Roman;serif" w:hAnsi="Times New Roman;serif"/>
                  <w:b w:val="false"/>
                  <w:color w:val="0000FF"/>
                  <w:sz w:val="18"/>
                  <w:u w:val="single"/>
                </w:rPr>
                <w:t>9</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34">
              <w:r>
                <w:rPr>
                  <w:rStyle w:val="InternetLink"/>
                  <w:rFonts w:ascii="Times New Roman;serif" w:hAnsi="Times New Roman;serif"/>
                  <w:b w:val="false"/>
                  <w:color w:val="000080"/>
                  <w:sz w:val="18"/>
                  <w:u w:val="single"/>
                </w:rPr>
                <w:t xml:space="preserve">Condensed Consolidated Statements of Cash Flows for the </w:t>
              </w:r>
            </w:hyperlink>
            <w:hyperlink w:anchor="i03af12b3c4d04e959a903bd9332180f2_34">
              <w:r>
                <w:rPr>
                  <w:rStyle w:val="InternetLink"/>
                  <w:rFonts w:ascii="Times New Roman;serif" w:hAnsi="Times New Roman;serif"/>
                  <w:b w:val="false"/>
                  <w:color w:val="000080"/>
                  <w:sz w:val="18"/>
                  <w:u w:val="single"/>
                </w:rPr>
                <w:t>Nine</w:t>
              </w:r>
            </w:hyperlink>
            <w:hyperlink w:anchor="i03af12b3c4d04e959a903bd9332180f2_34">
              <w:r>
                <w:rPr>
                  <w:rStyle w:val="InternetLink"/>
                  <w:rFonts w:ascii="Times New Roman;serif" w:hAnsi="Times New Roman;serif"/>
                  <w:b w:val="false"/>
                  <w:color w:val="000080"/>
                  <w:sz w:val="18"/>
                  <w:u w:val="single"/>
                </w:rPr>
                <w:t xml:space="preserve"> Months Ended </w:t>
              </w:r>
            </w:hyperlink>
            <w:hyperlink w:anchor="i03af12b3c4d04e959a903bd9332180f2_34">
              <w:r>
                <w:rPr>
                  <w:rStyle w:val="InternetLink"/>
                  <w:rFonts w:ascii="Times New Roman;serif" w:hAnsi="Times New Roman;serif"/>
                  <w:b w:val="false"/>
                  <w:color w:val="000080"/>
                  <w:sz w:val="18"/>
                  <w:u w:val="single"/>
                </w:rPr>
                <w:t>September</w:t>
              </w:r>
            </w:hyperlink>
            <w:hyperlink w:anchor="i03af12b3c4d04e959a903bd9332180f2_34">
              <w:r>
                <w:rPr>
                  <w:rStyle w:val="InternetLink"/>
                  <w:rFonts w:ascii="Times New Roman;serif" w:hAnsi="Times New Roman;serif"/>
                  <w:b w:val="false"/>
                  <w:color w:val="000080"/>
                  <w:sz w:val="18"/>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34">
              <w:r>
                <w:rPr>
                  <w:rStyle w:val="InternetLink"/>
                  <w:rFonts w:ascii="Times New Roman;serif" w:hAnsi="Times New Roman;serif"/>
                  <w:b w:val="false"/>
                  <w:color w:val="0000FF"/>
                  <w:sz w:val="18"/>
                  <w:u w:val="single"/>
                </w:rPr>
                <w:t>10</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37">
              <w:r>
                <w:rPr>
                  <w:rStyle w:val="InternetLink"/>
                  <w:rFonts w:ascii="Times New Roman;serif" w:hAnsi="Times New Roman;serif"/>
                  <w:b w:val="false"/>
                  <w:color w:val="0000FF"/>
                  <w:sz w:val="18"/>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37">
              <w:r>
                <w:rPr>
                  <w:rStyle w:val="InternetLink"/>
                  <w:rFonts w:ascii="Times New Roman;serif" w:hAnsi="Times New Roman;serif"/>
                  <w:b w:val="false"/>
                  <w:color w:val="0000FF"/>
                  <w:sz w:val="18"/>
                  <w:u w:val="single"/>
                </w:rPr>
                <w:t>12</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2.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0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06">
              <w:r>
                <w:rPr>
                  <w:rStyle w:val="InternetLink"/>
                  <w:rFonts w:ascii="Times New Roman;serif" w:hAnsi="Times New Roman;serif"/>
                  <w:b w:val="false"/>
                  <w:color w:val="0000FF"/>
                  <w:sz w:val="18"/>
                  <w:u w:val="single"/>
                </w:rPr>
                <w:t>40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3.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30">
              <w:r>
                <w:rPr>
                  <w:rStyle w:val="InternetLink"/>
                  <w:rFonts w:ascii="Times New Roman;serif" w:hAnsi="Times New Roman;serif"/>
                  <w:b w:val="false"/>
                  <w:color w:val="0000FF"/>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30">
              <w:r>
                <w:rPr>
                  <w:rStyle w:val="InternetLink"/>
                  <w:rFonts w:ascii="Times New Roman;serif" w:hAnsi="Times New Roman;serif"/>
                  <w:b w:val="false"/>
                  <w:color w:val="0000FF"/>
                  <w:sz w:val="18"/>
                  <w:u w:val="single"/>
                </w:rPr>
                <w:t>58</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4.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36">
              <w:r>
                <w:rPr>
                  <w:rStyle w:val="InternetLink"/>
                  <w:rFonts w:ascii="Times New Roman;serif" w:hAnsi="Times New Roman;serif"/>
                  <w:b w:val="false"/>
                  <w:color w:val="0000FF"/>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36">
              <w:r>
                <w:rPr>
                  <w:rStyle w:val="InternetLink"/>
                  <w:rFonts w:ascii="Times New Roman;serif" w:hAnsi="Times New Roman;serif"/>
                  <w:b w:val="false"/>
                  <w:color w:val="0000FF"/>
                  <w:sz w:val="18"/>
                  <w:u w:val="single"/>
                </w:rPr>
                <w:t>59</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af12b3c4d04e959a903bd9332180f2_142">
              <w:r>
                <w:rPr>
                  <w:rStyle w:val="InternetLink"/>
                  <w:rFonts w:ascii="Times New Roman;serif" w:hAnsi="Times New Roman;serif"/>
                  <w:b w:val="false"/>
                  <w:color w:val="0000FF"/>
                  <w:sz w:val="18"/>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45">
              <w:r>
                <w:rPr>
                  <w:rStyle w:val="InternetLink"/>
                  <w:rFonts w:ascii="Times New Roman;serif" w:hAnsi="Times New Roman;serif"/>
                  <w:b w:val="false"/>
                  <w:color w:val="0000FF"/>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45">
              <w:r>
                <w:rPr>
                  <w:rStyle w:val="InternetLink"/>
                  <w:rFonts w:ascii="Times New Roman;serif" w:hAnsi="Times New Roman;serif"/>
                  <w:b w:val="false"/>
                  <w:color w:val="0000FF"/>
                  <w:sz w:val="18"/>
                  <w:u w:val="single"/>
                </w:rPr>
                <w:t>60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1A.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48">
              <w:r>
                <w:rPr>
                  <w:rStyle w:val="InternetLink"/>
                  <w:rFonts w:ascii="Times New Roman;serif" w:hAnsi="Times New Roman;serif"/>
                  <w:b w:val="false"/>
                  <w:color w:val="0000FF"/>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48">
              <w:r>
                <w:rPr>
                  <w:rStyle w:val="InternetLink"/>
                  <w:rFonts w:ascii="Times New Roman;serif" w:hAnsi="Times New Roman;serif"/>
                  <w:b w:val="false"/>
                  <w:color w:val="0000FF"/>
                  <w:sz w:val="18"/>
                  <w:u w:val="single"/>
                </w:rPr>
                <w:t>61</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2.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51">
              <w:r>
                <w:rPr>
                  <w:rStyle w:val="InternetLink"/>
                  <w:rFonts w:ascii="Times New Roman;serif" w:hAnsi="Times New Roman;serif"/>
                  <w:b w:val="false"/>
                  <w:color w:val="0000FF"/>
                  <w:sz w:val="18"/>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60">
              <w:r>
                <w:rPr>
                  <w:rStyle w:val="InternetLink"/>
                  <w:rFonts w:ascii="Times New Roman;serif" w:hAnsi="Times New Roman;serif"/>
                  <w:b w:val="false"/>
                  <w:color w:val="0000FF"/>
                  <w:sz w:val="18"/>
                  <w:u w:val="single"/>
                </w:rPr>
                <w:t>91</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5.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54">
              <w:r>
                <w:rPr>
                  <w:rStyle w:val="InternetLink"/>
                  <w:rFonts w:ascii="Times New Roman;serif" w:hAnsi="Times New Roman;serif"/>
                  <w:b w:val="false"/>
                  <w:color w:val="0000FF"/>
                  <w:sz w:val="18"/>
                  <w:u w:val="single"/>
                </w:rPr>
                <w:t>Other Information</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54">
              <w:r>
                <w:rPr>
                  <w:rStyle w:val="InternetLink"/>
                  <w:rFonts w:ascii="Times New Roman;serif" w:hAnsi="Times New Roman;serif"/>
                  <w:b w:val="false"/>
                  <w:color w:val="0000FF"/>
                  <w:sz w:val="18"/>
                  <w:u w:val="single"/>
                </w:rPr>
                <w:t>91</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6.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60">
              <w:r>
                <w:rPr>
                  <w:rStyle w:val="InternetLink"/>
                  <w:rFonts w:ascii="Times New Roman;serif" w:hAnsi="Times New Roman;serif"/>
                  <w:b w:val="false"/>
                  <w:color w:val="0000FF"/>
                  <w:sz w:val="18"/>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60">
              <w:r>
                <w:rPr>
                  <w:rStyle w:val="InternetLink"/>
                  <w:rFonts w:ascii="Times New Roman;serif" w:hAnsi="Times New Roman;serif"/>
                  <w:b w:val="false"/>
                  <w:color w:val="0000FF"/>
                  <w:sz w:val="18"/>
                  <w:u w:val="single"/>
                </w:rPr>
                <w:t>91</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63">
              <w:r>
                <w:rPr>
                  <w:rStyle w:val="InternetLink"/>
                  <w:rFonts w:ascii="Times New Roman;serif" w:hAnsi="Times New Roman;serif"/>
                  <w:b w:val="false"/>
                  <w:color w:val="0000FF"/>
                  <w:sz w:val="18"/>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63">
              <w:r>
                <w:rPr>
                  <w:rStyle w:val="InternetLink"/>
                  <w:rFonts w:ascii="Times New Roman;serif" w:hAnsi="Times New Roman;serif"/>
                  <w:b w:val="false"/>
                  <w:color w:val="0000FF"/>
                  <w:sz w:val="18"/>
                  <w:u w:val="single"/>
                </w:rPr>
                <w:t>92</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f12b3c4d04e959a903bd9332180f2_166">
              <w:r>
                <w:rPr>
                  <w:rStyle w:val="InternetLink"/>
                  <w:rFonts w:ascii="Times New Roman;serif" w:hAnsi="Times New Roman;serif"/>
                  <w:b w:val="false"/>
                  <w:color w:val="0000FF"/>
                  <w:sz w:val="18"/>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f12b3c4d04e959a903bd9332180f2_166">
              <w:r>
                <w:rPr>
                  <w:rStyle w:val="InternetLink"/>
                  <w:rFonts w:ascii="Times New Roman;serif" w:hAnsi="Times New Roman;serif"/>
                  <w:b w:val="false"/>
                  <w:color w:val="0000FF"/>
                  <w:sz w:val="18"/>
                  <w:u w:val="singl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7932" w:type="dxa"/>
        <w:jc w:val="left"/>
        <w:tblInd w:w="0" w:type="dxa"/>
        <w:tblLayout w:type="fixed"/>
        <w:tblCellMar>
          <w:top w:w="28" w:type="dxa"/>
          <w:left w:w="28" w:type="dxa"/>
          <w:bottom w:w="28" w:type="dxa"/>
          <w:right w:w="28" w:type="dxa"/>
        </w:tblCellMar>
      </w:tblPr>
      <w:tblGrid>
        <w:gridCol w:w="1465"/>
        <w:gridCol w:w="1291"/>
        <w:gridCol w:w="1309"/>
        <w:gridCol w:w="344"/>
        <w:gridCol w:w="1249"/>
        <w:gridCol w:w="177"/>
        <w:gridCol w:w="109"/>
        <w:gridCol w:w="109"/>
        <w:gridCol w:w="109"/>
        <w:gridCol w:w="330"/>
        <w:gridCol w:w="1199"/>
        <w:gridCol w:w="241"/>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85"/>
        <w:gridCol w:w="1536"/>
        <w:gridCol w:w="151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share-basic and diluted: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per share attributable to common stockholders, diluted </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20" w:after="283"/>
        <w:jc w:val="left"/>
        <w:rPr/>
      </w:pPr>
      <w:r>
        <w:rPr/>
      </w:r>
    </w:p>
    <w:tbl>
      <w:tblPr>
        <w:tblW w:w="7304" w:type="dxa"/>
        <w:jc w:val="left"/>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recognized during the three and nine months ended September 30, 2025, related to the Company's reduction in workforce in the fourth quarter of 2024, such as severance, benefits and other related items.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969"/>
        <w:gridCol w:w="1724"/>
        <w:gridCol w:w="17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6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and losses on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58"/>
        <w:gridCol w:w="687"/>
        <w:gridCol w:w="201"/>
        <w:gridCol w:w="109"/>
        <w:gridCol w:w="109"/>
        <w:gridCol w:w="109"/>
        <w:gridCol w:w="218"/>
        <w:gridCol w:w="786"/>
        <w:gridCol w:w="12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18"/>
        <w:gridCol w:w="786"/>
        <w:gridCol w:w="12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009"/>
        <w:gridCol w:w="2530"/>
        <w:gridCol w:w="2550"/>
        <w:gridCol w:w="198"/>
        <w:gridCol w:w="563"/>
        <w:gridCol w:w="109"/>
        <w:gridCol w:w="109"/>
        <w:gridCol w:w="109"/>
        <w:gridCol w:w="109"/>
        <w:gridCol w:w="198"/>
        <w:gridCol w:w="563"/>
        <w:gridCol w:w="158"/>
      </w:tblGrid>
      <w:tr>
        <w:trPr/>
        <w:tc>
          <w:tcPr>
            <w:tcW w:w="300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8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 from operating activities </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real estate assets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equity investments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investing activities</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from equipment rebates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financing activities</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indemnification holdback</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amounts on condensed consolidated balance sheets - end of period</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 included in prepaid expenses and other current assets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 included in other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2024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2025 or any future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should be read in conjunction with the audited consolidated financial statements and the related notes thereto as of and for the year ended December 31, 2024, included in the Company's Annual Report on Form 10-K on file with the SEC (“Annual Report”). </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most significant estimates and judgments are related to the valuation of right-of-use and other lease related property and equipment assets as well as income taxes.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Financial information about segments and 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and allocates resources as a single operating segment. Further, the Company manages, monitors, and reports its financial information as a single reportable segment. See Note 14 "Segment Information and Geographic Areas" for additional information.</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transactions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Foreign currency transaction gains or losses were immaterial during the three and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Recognition of revenue when, or as, the Company satisfies a performance obligation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The Company recognized </w:t>
      </w:r>
      <w:r>
        <w:rPr>
          <w:rFonts w:ascii="Times New Roman;serif" w:hAnsi="Times New Roman;serif"/>
          <w:b w:val="false"/>
          <w:color w:val="000000"/>
          <w:sz w:val="20"/>
          <w:shd w:fill="FFFFFF" w:val="clear"/>
        </w:rPr>
        <w:t xml:space="preserve">$353.2 million and </w:t>
      </w:r>
      <w:r>
        <w:rPr>
          <w:rFonts w:ascii="Times New Roman;serif" w:hAnsi="Times New Roman;serif"/>
          <w:b w:val="false"/>
          <w:color w:val="000000"/>
          <w:sz w:val="20"/>
        </w:rPr>
        <w:t xml:space="preserve">$683.8 million of revenue during the three and nine months ended September 30, 2025 and </w:t>
      </w:r>
      <w:r>
        <w:rPr>
          <w:rFonts w:ascii="Times New Roman;serif" w:hAnsi="Times New Roman;serif"/>
          <w:b w:val="false"/>
          <w:color w:val="000000"/>
          <w:sz w:val="20"/>
          <w:shd w:fill="FFFFFF" w:val="clear"/>
        </w:rPr>
        <w:t>$353.8</w:t>
      </w:r>
      <w:r>
        <w:rPr>
          <w:color w:val="000000"/>
        </w:rPr>
        <w:t xml:space="preserve"> </w:t>
      </w:r>
      <w:r>
        <w:rPr>
          <w:rFonts w:ascii="Times New Roman;serif" w:hAnsi="Times New Roman;serif"/>
          <w:b w:val="false"/>
          <w:color w:val="000000"/>
          <w:sz w:val="20"/>
        </w:rPr>
        <w:t>million and $681.5 million during three and nine months ended September 30, 2024,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As of September 30, 2025, future estimated revenue related to performance obligations that were unsatisfied or partially unsatisfied was</w:t>
      </w:r>
      <w:r>
        <w:rPr>
          <w:color w:val="000000"/>
          <w:shd w:fill="FFFFFF" w:val="clear"/>
        </w:rPr>
        <w:t xml:space="preserve"> </w:t>
      </w:r>
      <w:r>
        <w:rPr>
          <w:rFonts w:ascii="Times New Roman;serif" w:hAnsi="Times New Roman;serif"/>
          <w:b w:val="false"/>
          <w:color w:val="000000"/>
          <w:sz w:val="20"/>
          <w:shd w:fill="FFFFFF" w:val="clear"/>
        </w:rPr>
        <w:t>$809.2 million</w:t>
      </w:r>
      <w:r>
        <w:rPr>
          <w:rFonts w:ascii="Times New Roman;serif" w:hAnsi="Times New Roman;serif"/>
          <w:b w:val="false"/>
          <w:color w:val="000000"/>
          <w:sz w:val="20"/>
        </w:rPr>
        <w:t>. The substantial majority of the unsatisfied performance obligations will be satisfied over the next twelve months.</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grants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a Co-Founder Grant of 10.3 million shares of Class A common stock in the form of restricted stock awards (“RSAs”) to Drew Houston, the Company's co-founder and Chief Executive Officer (the “Co-Founder Grant”).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0"/>
        <w:ind w:left="0" w:right="0" w:firstLine="495"/>
        <w:jc w:val="left"/>
        <w:rPr/>
      </w:pPr>
      <w:r>
        <w:rPr/>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Reduction in Workforce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announced a global workforce reduction of approximately 20% to streamline its team structure and better align with long-term growth and profitability objectives. As of September 30, 2025, total related cash expenditures were $65.2 million, which included the pro rata fiscal year 2024 annual employee bonus through October 30, 2024. As of September 30, 2025, the majority of related payments have been made, primarily during the fourth quarter of 2024. The Company paid $13.2 million during the nine months ended September 30, 2025, including $0.7 million paid during the three months ended September 30, 2025. The Company recognized $50.9 million of related expenses, primarily consisting of severance, employee benefits, and related costs, with the majority recognized in the fourth quarter of 2024 and $0.2 million and $3.7 million recognized during three and nine months ended September 30, 2025, respectively.</w:t>
      </w:r>
    </w:p>
    <w:p>
      <w:pPr>
        <w:pStyle w:val="TextBody"/>
        <w:bidi w:val="0"/>
        <w:spacing w:before="0" w:after="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severance and related charges are included within the Company's consolidated statement of operations as follows:</w:t>
      </w:r>
    </w:p>
    <w:p>
      <w:pPr>
        <w:pStyle w:val="TextBody"/>
        <w:bidi w:val="0"/>
        <w:spacing w:before="0" w:after="0"/>
        <w:ind w:left="0" w:right="0" w:firstLine="495"/>
        <w:jc w:val="left"/>
        <w:rPr/>
      </w:pPr>
      <w:r>
        <w:rPr/>
      </w:r>
    </w:p>
    <w:tbl>
      <w:tblPr>
        <w:tblW w:w="9730" w:type="dxa"/>
        <w:jc w:val="left"/>
        <w:tblInd w:w="0" w:type="dxa"/>
        <w:tblLayout w:type="fixed"/>
        <w:tblCellMar>
          <w:top w:w="28" w:type="dxa"/>
          <w:left w:w="28" w:type="dxa"/>
          <w:bottom w:w="28" w:type="dxa"/>
          <w:right w:w="28" w:type="dxa"/>
        </w:tblCellMar>
      </w:tblPr>
      <w:tblGrid>
        <w:gridCol w:w="835"/>
        <w:gridCol w:w="736"/>
        <w:gridCol w:w="739"/>
        <w:gridCol w:w="1040"/>
        <w:gridCol w:w="2003"/>
        <w:gridCol w:w="541"/>
        <w:gridCol w:w="109"/>
        <w:gridCol w:w="109"/>
        <w:gridCol w:w="109"/>
        <w:gridCol w:w="958"/>
        <w:gridCol w:w="1847"/>
        <w:gridCol w:w="70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Charges</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changes in liabilities resulting from the severance charges and related costs were as follows:</w:t>
      </w:r>
    </w:p>
    <w:tbl>
      <w:tblPr>
        <w:tblW w:w="5429" w:type="dxa"/>
        <w:jc w:val="left"/>
        <w:tblInd w:w="0" w:type="dxa"/>
        <w:tblLayout w:type="fixed"/>
        <w:tblCellMar>
          <w:top w:w="28" w:type="dxa"/>
          <w:left w:w="28" w:type="dxa"/>
          <w:bottom w:w="28" w:type="dxa"/>
          <w:right w:w="28" w:type="dxa"/>
        </w:tblCellMar>
      </w:tblPr>
      <w:tblGrid>
        <w:gridCol w:w="1038"/>
        <w:gridCol w:w="912"/>
        <w:gridCol w:w="914"/>
        <w:gridCol w:w="701"/>
        <w:gridCol w:w="1349"/>
        <w:gridCol w:w="515"/>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 and Related Costs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payments</w:t>
            </w:r>
            <w:r>
              <w:rPr>
                <w:rFonts w:ascii="Times New Roman;serif" w:hAnsi="Times New Roman;serif"/>
                <w:b w:val="false"/>
                <w:color w:val="000000"/>
                <w:sz w:val="13"/>
              </w:rPr>
              <w:t>(1)</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For the nine months ended September 30, 2025, total cash payments were $13.2</w:t>
      </w:r>
      <w:r>
        <w:rPr>
          <w:color w:val="000000"/>
        </w:rPr>
        <w:t xml:space="preserve"> </w:t>
      </w:r>
      <w:r>
        <w:rPr>
          <w:rFonts w:ascii="Times New Roman;serif" w:hAnsi="Times New Roman;serif"/>
          <w:b w:val="false"/>
          <w:color w:val="000000"/>
          <w:sz w:val="18"/>
        </w:rPr>
        <w:t>million when including the pro rata amount of the fiscal year 2024 annual employee bonus.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Restricted cash relates to cash collateral used to secure outstanding letters of credit primarily for the Company’s office lease agreements. The Company had restricted cash of $33.5 million and $32.2 million as of September 30, 2025 and December 31, 2024, respectively.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Short-term investments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primarily comprised of corporate notes and obligations, U.S. Treasury securities, asset-backed securities,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income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2025. As of September 30, 2025 and December 31, 2024,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Trade accounts receivable are typically unsecured and are derived from revenue earned from customers located around the world. One </w:t>
      </w:r>
      <w:r>
        <w:rPr>
          <w:rFonts w:ascii="Times New Roman;serif" w:hAnsi="Times New Roman;serif"/>
          <w:b w:val="false"/>
          <w:color w:val="000000"/>
          <w:sz w:val="20"/>
          <w:shd w:fill="FFFFFF" w:val="clear"/>
        </w:rPr>
        <w:t>distribution partner accounted for</w:t>
      </w:r>
      <w:r>
        <w:rPr>
          <w:color w:val="000000"/>
        </w:rPr>
        <w:t xml:space="preserve"> </w:t>
      </w:r>
      <w:r>
        <w:rPr>
          <w:rFonts w:ascii="Times New Roman;serif" w:hAnsi="Times New Roman;serif"/>
          <w:b w:val="false"/>
          <w:color w:val="000000"/>
          <w:sz w:val="20"/>
        </w:rPr>
        <w:t>49% of</w:t>
      </w:r>
      <w:r>
        <w:rPr>
          <w:color w:val="000000"/>
          <w:shd w:fill="FFFFFF" w:val="clear"/>
        </w:rPr>
        <w:t xml:space="preserve"> </w:t>
      </w:r>
      <w:r>
        <w:rPr>
          <w:rFonts w:ascii="Times New Roman;serif" w:hAnsi="Times New Roman;serif"/>
          <w:b w:val="false"/>
          <w:color w:val="000000"/>
          <w:sz w:val="20"/>
          <w:shd w:fill="FFFFFF" w:val="clear"/>
        </w:rPr>
        <w:t xml:space="preserve">total trade and other receivables, net as of September 30, 2025. </w:t>
      </w:r>
      <w:r>
        <w:rPr>
          <w:rFonts w:ascii="Times New Roman;serif" w:hAnsi="Times New Roman;serif"/>
          <w:b w:val="false"/>
          <w:color w:val="000000"/>
          <w:sz w:val="20"/>
        </w:rPr>
        <w:t>Two</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pPr>
      <w:r>
        <w:rPr>
          <w:rFonts w:ascii="Times New Roman;serif" w:hAnsi="Times New Roman;serif"/>
          <w:b w:val="false"/>
          <w:color w:val="000000"/>
          <w:sz w:val="20"/>
          <w:shd w:fill="FFFFFF" w:val="clear"/>
        </w:rPr>
        <w:t>distribution partners accounted for</w:t>
      </w:r>
      <w:r>
        <w:rPr>
          <w:color w:val="000000"/>
        </w:rPr>
        <w:t xml:space="preserve"> </w:t>
      </w:r>
      <w:r>
        <w:rPr>
          <w:rFonts w:ascii="Times New Roman;serif" w:hAnsi="Times New Roman;serif"/>
          <w:b w:val="false"/>
          <w:color w:val="000000"/>
          <w:sz w:val="20"/>
        </w:rPr>
        <w:t>11% and 48% o</w:t>
      </w:r>
      <w:r>
        <w:rPr>
          <w:rFonts w:ascii="Times New Roman;serif" w:hAnsi="Times New Roman;serif"/>
          <w:b w:val="false"/>
          <w:color w:val="000000"/>
          <w:sz w:val="20"/>
          <w:shd w:fill="FFFFFF" w:val="clear"/>
        </w:rPr>
        <w:t xml:space="preserve">f total trade and other receivables, net as of December 31, 2024. </w:t>
      </w:r>
      <w:r>
        <w:rPr>
          <w:rFonts w:ascii="Times New Roman;serif" w:hAnsi="Times New Roman;serif"/>
          <w:b w:val="false"/>
          <w:color w:val="000000"/>
          <w:sz w:val="20"/>
        </w:rPr>
        <w:t>No customer accounted for more than 10% of the Company’s revenue in the periods presented.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Deferred commissions,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$4.9 million and $13.5 million during the three and nine months ended September 30, 2025 and $6.8 million and $22.3 million during the three and nine months ended September 30,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commissions, net included in prepaid and other current assets were $17.4 million and $21.3 million as of September 30, 2025 and December 31, 2024, respectively. Deferred commissions, net included in other assets were $19.1 million and $21.9 million as of September 30, 2025 and December 31,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$6.2 million and $20.2 million for the three and nine months ended September 30, 2025 and $7.7 million and $22.6 million during the three and nine months ended September 30, 2024, respectively. Amortization of deferred commissions costs are included in sales and marketing expense in the accompanying condensed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3"/>
        <w:gridCol w:w="1313"/>
        <w:gridCol w:w="185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7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the Company's Virtual First strategy, Dropbox has retained a portion of its office space for in-person collaboration while the remainder will be subleased. The Company recorded total impairment charges of zero and $2.6 million during the three and nine months ended September 30, 2025 and did not recognize impairment charges during the three and nine months ended September 30, 2024. See Note 8 "Leases"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pStyle w:val="TextBody"/>
        <w:bidi w:val="0"/>
        <w:spacing w:lineRule="auto" w:line="288" w:before="24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Long-lived assets, including goodwill and other acquired intangible assets,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at least annually in the fourth quarter, or more frequently if events or changes in circumstances would more likely than not reduce the fair value of its single reporting unit below its carrying value.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material impairment charges related to goodwill or intangible assets for the periods presented in these condensed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Acquired property and equipment and finite-lived intangible assets are amortized over their useful lives. The Company evaluates the estimated remaining useful life of these assets when events or changes in circumstances warrant a revision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period of depreciation or amortization. If the Company revises the estimated useful life assumption for any asset, the remaining unamortized balance is amortized or depreciated over the revised estimated useful life on a prospective basis.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of 2017 ("TCJA") subjects a U.S. shareholder to current tax on global intangible low-taxed income ("GILTI") earned by foreign subsidiaries. The Company accounts for GILTI as a period cost as incurred.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TextBody"/>
        <w:bidi w:val="0"/>
        <w:spacing w:lineRule="auto" w:line="288" w:before="0" w:after="60"/>
        <w:jc w:val="left"/>
        <w:rPr/>
      </w:pPr>
      <w:r>
        <w:rPr>
          <w:rFonts w:ascii="Times New Roman;serif" w:hAnsi="Times New Roman;serif"/>
          <w:b w:val="false"/>
          <w:i/>
          <w:color w:val="000000"/>
          <w:sz w:val="20"/>
        </w:rPr>
        <w:t>Level 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erif" w:hAnsi="Times New Roman;serif"/>
          <w:b w:val="false"/>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erif" w:hAnsi="Times New Roman;serif"/>
          <w:b w:val="false"/>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to enhance income tax disclosures primarily through changes in rate reconciliation and income taxes paid disclosures. The amendments in ASU 2023-09 are effective for annual periods beginning after December 15, 2024 on a prospective basis. Early adoption is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of disaggregated information about the types of 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beginning after December 15, 2027, with early adoption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The amendments in ASU 2024-04 are effective for annual periods beginning after December 15, 2025, and interim periods within those annual reporting periods. Early adoption is permitted for all entities that have adopted the amendments in ASU 2020-06. The Company is currently evaluating the impact of this standard on the Company's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when estimating expected credit 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The amendments in ASU 2025-05 are effective for annual periods beginning after December 15, 2025, and interim periods within those annual reporting periods. Early adoption is permitted. The Company is currently evaluating the impact of this standard on the Company's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to current development practices, clarifies when to 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consolidated financial statements.</w:t>
      </w:r>
    </w:p>
    <w:p>
      <w:pPr>
        <w:pStyle w:val="TextBody"/>
        <w:bidi w:val="0"/>
        <w:spacing w:before="0" w:after="420"/>
        <w:ind w:left="0" w:right="0" w:firstLine="495"/>
        <w:jc w:val="left"/>
        <w:rPr/>
      </w:pPr>
      <w:r>
        <w:rPr/>
      </w:r>
    </w:p>
    <w:p>
      <w:pPr>
        <w:pStyle w:val="TextBody"/>
        <w:bidi w:val="0"/>
        <w:spacing w:before="0" w:after="4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amortized cost, unrealized gains and losses and estimated fair value of the Company's cash, cash equivalents and short-term investments as of September 30, 2025 and December 31, 2024 consisted of the following:</w:t>
      </w:r>
    </w:p>
    <w:p>
      <w:pPr>
        <w:pStyle w:val="TextBody"/>
        <w:bidi w:val="0"/>
        <w:spacing w:before="0" w:after="0"/>
        <w:ind w:left="0" w:right="0" w:firstLine="495"/>
        <w:jc w:val="left"/>
        <w:rPr/>
      </w:pPr>
      <w:r>
        <w:rPr/>
      </w:r>
    </w:p>
    <w:tbl>
      <w:tblPr>
        <w:tblW w:w="10070" w:type="dxa"/>
        <w:jc w:val="center"/>
        <w:tblInd w:w="0" w:type="dxa"/>
        <w:tblLayout w:type="fixed"/>
        <w:tblCellMar>
          <w:top w:w="28" w:type="dxa"/>
          <w:left w:w="28" w:type="dxa"/>
          <w:bottom w:w="28" w:type="dxa"/>
          <w:right w:w="28" w:type="dxa"/>
        </w:tblCellMar>
      </w:tblPr>
      <w:tblGrid>
        <w:gridCol w:w="986"/>
        <w:gridCol w:w="865"/>
        <w:gridCol w:w="879"/>
        <w:gridCol w:w="320"/>
        <w:gridCol w:w="938"/>
        <w:gridCol w:w="167"/>
        <w:gridCol w:w="109"/>
        <w:gridCol w:w="109"/>
        <w:gridCol w:w="109"/>
        <w:gridCol w:w="436"/>
        <w:gridCol w:w="838"/>
        <w:gridCol w:w="226"/>
        <w:gridCol w:w="109"/>
        <w:gridCol w:w="109"/>
        <w:gridCol w:w="109"/>
        <w:gridCol w:w="418"/>
        <w:gridCol w:w="834"/>
        <w:gridCol w:w="217"/>
        <w:gridCol w:w="109"/>
        <w:gridCol w:w="109"/>
        <w:gridCol w:w="109"/>
        <w:gridCol w:w="422"/>
        <w:gridCol w:w="1233"/>
        <w:gridCol w:w="31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069" w:type="dxa"/>
        <w:jc w:val="left"/>
        <w:tblInd w:w="0" w:type="dxa"/>
        <w:tblLayout w:type="fixed"/>
        <w:tblCellMar>
          <w:top w:w="28" w:type="dxa"/>
          <w:left w:w="28" w:type="dxa"/>
          <w:bottom w:w="28" w:type="dxa"/>
          <w:right w:w="28" w:type="dxa"/>
        </w:tblCellMar>
      </w:tblPr>
      <w:tblGrid>
        <w:gridCol w:w="986"/>
        <w:gridCol w:w="865"/>
        <w:gridCol w:w="879"/>
        <w:gridCol w:w="277"/>
        <w:gridCol w:w="1005"/>
        <w:gridCol w:w="143"/>
        <w:gridCol w:w="109"/>
        <w:gridCol w:w="109"/>
        <w:gridCol w:w="109"/>
        <w:gridCol w:w="436"/>
        <w:gridCol w:w="838"/>
        <w:gridCol w:w="226"/>
        <w:gridCol w:w="109"/>
        <w:gridCol w:w="109"/>
        <w:gridCol w:w="109"/>
        <w:gridCol w:w="418"/>
        <w:gridCol w:w="834"/>
        <w:gridCol w:w="217"/>
        <w:gridCol w:w="109"/>
        <w:gridCol w:w="109"/>
        <w:gridCol w:w="109"/>
        <w:gridCol w:w="366"/>
        <w:gridCol w:w="1331"/>
        <w:gridCol w:w="267"/>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cash and cash equivalents is cash in transit from payment processors for credit and debit card transactions of $12.7 million and $9.9 million as of September 30, 2025 and December 31, 2024,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short-term investments were designated as available-for-sale securities as of September 30, 2025 and December 31, 2024.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the Company’s short-term investments as of September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tbl>
      <w:tblPr>
        <w:tblW w:w="6360" w:type="dxa"/>
        <w:jc w:val="center"/>
        <w:tblInd w:w="0" w:type="dxa"/>
        <w:tblLayout w:type="fixed"/>
        <w:tblCellMar>
          <w:top w:w="28" w:type="dxa"/>
          <w:left w:w="28" w:type="dxa"/>
          <w:bottom w:w="28" w:type="dxa"/>
          <w:right w:w="28" w:type="dxa"/>
        </w:tblCellMar>
      </w:tblPr>
      <w:tblGrid>
        <w:gridCol w:w="957"/>
        <w:gridCol w:w="838"/>
        <w:gridCol w:w="845"/>
        <w:gridCol w:w="320"/>
        <w:gridCol w:w="938"/>
        <w:gridCol w:w="167"/>
        <w:gridCol w:w="110"/>
        <w:gridCol w:w="110"/>
        <w:gridCol w:w="110"/>
        <w:gridCol w:w="422"/>
        <w:gridCol w:w="1233"/>
        <w:gridCol w:w="310"/>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three years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three years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98 short-term investments in unrealized loss positions as of September 30, 2025. There were no material gains or losses from short-term investments that were reclassified out of accumulated other comprehensive income (loss) for the three and nine months ended September 30, 2025 or three and nine months ended September 30,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Company’s short-term investments portfolio consisted of six security types, four of which were in an unrealized loss position. The Company’s short-term investments had unrealized losses of approximately $1.9 million as of September 30, 2025. The following tables present the breakdown of the short-term investments that have been in a continuous unrealized loss position aggregated by investment category, as of September 30, 2025 and December 31, 2024: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574"/>
        <w:gridCol w:w="503"/>
        <w:gridCol w:w="506"/>
        <w:gridCol w:w="238"/>
        <w:gridCol w:w="458"/>
        <w:gridCol w:w="122"/>
        <w:gridCol w:w="109"/>
        <w:gridCol w:w="109"/>
        <w:gridCol w:w="109"/>
        <w:gridCol w:w="406"/>
        <w:gridCol w:w="781"/>
        <w:gridCol w:w="210"/>
        <w:gridCol w:w="109"/>
        <w:gridCol w:w="109"/>
        <w:gridCol w:w="109"/>
        <w:gridCol w:w="217"/>
        <w:gridCol w:w="633"/>
        <w:gridCol w:w="111"/>
        <w:gridCol w:w="109"/>
        <w:gridCol w:w="109"/>
        <w:gridCol w:w="109"/>
        <w:gridCol w:w="398"/>
        <w:gridCol w:w="793"/>
        <w:gridCol w:w="206"/>
        <w:gridCol w:w="109"/>
        <w:gridCol w:w="109"/>
        <w:gridCol w:w="109"/>
        <w:gridCol w:w="217"/>
        <w:gridCol w:w="633"/>
        <w:gridCol w:w="111"/>
        <w:gridCol w:w="109"/>
        <w:gridCol w:w="109"/>
        <w:gridCol w:w="109"/>
        <w:gridCol w:w="386"/>
        <w:gridCol w:w="772"/>
        <w:gridCol w:w="295"/>
      </w:tblGrid>
      <w:tr>
        <w:trPr/>
        <w:tc>
          <w:tcPr>
            <w:tcW w:w="57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701"/>
        <w:gridCol w:w="481"/>
        <w:gridCol w:w="484"/>
        <w:gridCol w:w="224"/>
        <w:gridCol w:w="543"/>
        <w:gridCol w:w="115"/>
        <w:gridCol w:w="109"/>
        <w:gridCol w:w="109"/>
        <w:gridCol w:w="109"/>
        <w:gridCol w:w="384"/>
        <w:gridCol w:w="767"/>
        <w:gridCol w:w="199"/>
        <w:gridCol w:w="109"/>
        <w:gridCol w:w="109"/>
        <w:gridCol w:w="109"/>
        <w:gridCol w:w="216"/>
        <w:gridCol w:w="631"/>
        <w:gridCol w:w="111"/>
        <w:gridCol w:w="109"/>
        <w:gridCol w:w="109"/>
        <w:gridCol w:w="109"/>
        <w:gridCol w:w="384"/>
        <w:gridCol w:w="767"/>
        <w:gridCol w:w="199"/>
        <w:gridCol w:w="109"/>
        <w:gridCol w:w="109"/>
        <w:gridCol w:w="109"/>
        <w:gridCol w:w="216"/>
        <w:gridCol w:w="631"/>
        <w:gridCol w:w="111"/>
        <w:gridCol w:w="109"/>
        <w:gridCol w:w="109"/>
        <w:gridCol w:w="109"/>
        <w:gridCol w:w="374"/>
        <w:gridCol w:w="748"/>
        <w:gridCol w:w="284"/>
      </w:tblGrid>
      <w:tr>
        <w:trPr/>
        <w:tc>
          <w:tcPr>
            <w:tcW w:w="7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recorded interest income from its cash, cash equivalents, and short-term investments of $7.8 million and $29.1 million during the three and nine months ended September 30, 2025, and $8.7 million and $30.2 million during the three and nine months ended September 30,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tbl>
      <w:tblPr>
        <w:tblW w:w="7297" w:type="dxa"/>
        <w:jc w:val="center"/>
        <w:tblInd w:w="0" w:type="dxa"/>
        <w:tblLayout w:type="fixed"/>
        <w:tblCellMar>
          <w:top w:w="28" w:type="dxa"/>
          <w:left w:w="28" w:type="dxa"/>
          <w:bottom w:w="28" w:type="dxa"/>
          <w:right w:w="28" w:type="dxa"/>
        </w:tblCellMar>
      </w:tblPr>
      <w:tblGrid>
        <w:gridCol w:w="988"/>
        <w:gridCol w:w="869"/>
        <w:gridCol w:w="872"/>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7597" w:type="dxa"/>
        <w:jc w:val="center"/>
        <w:tblInd w:w="0" w:type="dxa"/>
        <w:tblLayout w:type="fixed"/>
        <w:tblCellMar>
          <w:top w:w="28" w:type="dxa"/>
          <w:left w:w="28" w:type="dxa"/>
          <w:bottom w:w="28" w:type="dxa"/>
          <w:right w:w="28" w:type="dxa"/>
        </w:tblCellMar>
      </w:tblPr>
      <w:tblGrid>
        <w:gridCol w:w="988"/>
        <w:gridCol w:w="869"/>
        <w:gridCol w:w="872"/>
        <w:gridCol w:w="211"/>
        <w:gridCol w:w="76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restricted cash held at banks, accounts receivable and accounts payable approximate fair value due to their short-term maturities and are excluded from the fair value table above.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$695.8 million in aggregate principal amount of 0% convertible senior notes due in 2026 (the "2026 Notes"), and $693.3 million in aggregate principal amount of 0% convertible senior notes due in 2028 (the "2028 Notes"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together with the 2026 Notes, the "Notes"), outstanding as of September 30, 2025. See Note 7 "Debt"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2026 Notes and the 2028 Notes, based on a market approach as of September 30, 2025 was approximately $689.7 million and $713.9 million, respectively. The Notes were categorized as Level 2 instruments as the estimated fair value was determined based on the trading activity of the Notes in an over-the-counter market on the last business day of the period.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had $1,142.1 million of term loans outstanding with a carrying value of $1,113.8 million as of September 30, 2025. See Note 7 "Debt" for additional information. As of September 30, 2025, the fair value of the term loan approximated its carrying value as of such date. The term loans are categorized as Level 2 instruments as the estimated fair value was determined based on the borrowing rates currently available to the Company for bank loans with similar terms and maturities.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before="0" w:after="0"/>
        <w:ind w:left="0" w:right="0" w:firstLine="495"/>
        <w:jc w:val="left"/>
        <w:rPr/>
      </w:pPr>
      <w:r>
        <w:rPr/>
      </w:r>
    </w:p>
    <w:tbl>
      <w:tblPr>
        <w:tblW w:w="7389" w:type="dxa"/>
        <w:jc w:val="center"/>
        <w:tblInd w:w="0" w:type="dxa"/>
        <w:tblLayout w:type="fixed"/>
        <w:tblCellMar>
          <w:top w:w="28" w:type="dxa"/>
          <w:left w:w="28" w:type="dxa"/>
          <w:bottom w:w="28" w:type="dxa"/>
          <w:right w:w="28" w:type="dxa"/>
        </w:tblCellMar>
      </w:tblPr>
      <w:tblGrid>
        <w:gridCol w:w="1277"/>
        <w:gridCol w:w="1120"/>
        <w:gridCol w:w="1127"/>
        <w:gridCol w:w="397"/>
        <w:gridCol w:w="1165"/>
        <w:gridCol w:w="207"/>
        <w:gridCol w:w="109"/>
        <w:gridCol w:w="109"/>
        <w:gridCol w:w="109"/>
        <w:gridCol w:w="380"/>
        <w:gridCol w:w="1110"/>
        <w:gridCol w:w="279"/>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Company leases certain infrastructure and computer equipment from various third parties, through equipment finance leases. Infrastructure assets as of September 30, 2025 and December 31, 2024 included a total of</w:t>
      </w:r>
      <w:r>
        <w:rPr>
          <w:color w:val="000000"/>
          <w:shd w:fill="FFFFFF" w:val="clear"/>
        </w:rPr>
        <w:t xml:space="preserve"> </w:t>
      </w:r>
      <w:r>
        <w:rPr>
          <w:rFonts w:ascii="Times New Roman;serif" w:hAnsi="Times New Roman;serif"/>
          <w:b w:val="false"/>
          <w:color w:val="000000"/>
          <w:sz w:val="20"/>
        </w:rPr>
        <w:t>$463.7</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$501.1</w:t>
      </w:r>
      <w:r>
        <w:rPr>
          <w:color w:val="000000"/>
        </w:rPr>
        <w:t xml:space="preserve"> </w:t>
      </w:r>
      <w:r>
        <w:rPr>
          <w:rFonts w:ascii="Times New Roman;serif" w:hAnsi="Times New Roman;serif"/>
          <w:b w:val="false"/>
          <w:color w:val="000000"/>
          <w:sz w:val="20"/>
        </w:rPr>
        <w:t>million, respectively, of assets acquired under finance lease agreements. These leases are capitalized in property and equipment, and the related depreciation of assets under finance leases is included in depreciation expense. The accumulated depreciation of the equipment under finance leases totaled $188.5</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and $223.3 million as of September 30, 2025 and December 31,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Depreciation expense related to property and equipment was</w:t>
      </w:r>
      <w:r>
        <w:rPr>
          <w:color w:val="000000"/>
          <w:shd w:fill="FFFFFF" w:val="clear"/>
        </w:rPr>
        <w:t xml:space="preserve"> </w:t>
      </w:r>
      <w:r>
        <w:rPr>
          <w:rFonts w:ascii="Times New Roman;serif" w:hAnsi="Times New Roman;serif"/>
          <w:b w:val="false"/>
          <w:color w:val="000000"/>
          <w:sz w:val="20"/>
          <w:shd w:fill="FFFFFF" w:val="clear"/>
        </w:rPr>
        <w:t>$33.1 million and $97.4</w:t>
      </w:r>
      <w:r>
        <w:rPr>
          <w:color w:val="000000"/>
        </w:rPr>
        <w:t xml:space="preserve"> </w:t>
      </w:r>
      <w:r>
        <w:rPr>
          <w:rFonts w:ascii="Times New Roman;serif" w:hAnsi="Times New Roman;serif"/>
          <w:b w:val="false"/>
          <w:color w:val="000000"/>
          <w:sz w:val="20"/>
        </w:rPr>
        <w:t>million for the three and nine months ended September 30, 2025, respectively and $27.9 million and $78.5 million for the three and nine months ended September 30, 2024, respectively.</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5.Intangible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9548" w:type="dxa"/>
        <w:jc w:val="center"/>
        <w:tblInd w:w="0" w:type="dxa"/>
        <w:tblLayout w:type="fixed"/>
        <w:tblCellMar>
          <w:top w:w="28" w:type="dxa"/>
          <w:left w:w="28" w:type="dxa"/>
          <w:bottom w:w="28" w:type="dxa"/>
          <w:right w:w="28" w:type="dxa"/>
        </w:tblCellMar>
      </w:tblPr>
      <w:tblGrid>
        <w:gridCol w:w="1283"/>
        <w:gridCol w:w="1125"/>
        <w:gridCol w:w="1132"/>
        <w:gridCol w:w="448"/>
        <w:gridCol w:w="1087"/>
        <w:gridCol w:w="234"/>
        <w:gridCol w:w="109"/>
        <w:gridCol w:w="109"/>
        <w:gridCol w:w="109"/>
        <w:gridCol w:w="449"/>
        <w:gridCol w:w="1087"/>
        <w:gridCol w:w="234"/>
        <w:gridCol w:w="109"/>
        <w:gridCol w:w="109"/>
        <w:gridCol w:w="109"/>
        <w:gridCol w:w="530"/>
        <w:gridCol w:w="530"/>
        <w:gridCol w:w="755"/>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useful life</w:t>
              <w:br/>
              <w:t>(In years)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September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 in asset acquisitions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$6.5 million and $19.2 million for the three and nine months ended September 30, 2025 and $7.5 million and $20.6 million for the three and nine months ended September 30, 2024,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Expected future amortization expense for intangible assets as of September 30, 2025 is as follows:</w:t>
      </w:r>
    </w:p>
    <w:p>
      <w:pPr>
        <w:pStyle w:val="TextBody"/>
        <w:bidi w:val="0"/>
        <w:spacing w:before="0" w:after="0"/>
        <w:ind w:left="0" w:right="0" w:firstLine="495"/>
        <w:jc w:val="left"/>
        <w:rPr/>
      </w:pPr>
      <w:r>
        <w:rPr/>
      </w:r>
    </w:p>
    <w:tbl>
      <w:tblPr>
        <w:tblW w:w="3224" w:type="dxa"/>
        <w:jc w:val="center"/>
        <w:tblInd w:w="0" w:type="dxa"/>
        <w:tblLayout w:type="fixed"/>
        <w:tblCellMar>
          <w:top w:w="28" w:type="dxa"/>
          <w:left w:w="28" w:type="dxa"/>
          <w:bottom w:w="28" w:type="dxa"/>
          <w:right w:w="28" w:type="dxa"/>
        </w:tblCellMar>
      </w:tblPr>
      <w:tblGrid>
        <w:gridCol w:w="608"/>
        <w:gridCol w:w="534"/>
        <w:gridCol w:w="538"/>
        <w:gridCol w:w="370"/>
        <w:gridCol w:w="900"/>
        <w:gridCol w:w="27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6.Goodwill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bidi w:val="0"/>
        <w:spacing w:before="0" w:after="0"/>
        <w:ind w:left="0" w:right="0" w:firstLine="495"/>
        <w:jc w:val="left"/>
        <w:rPr/>
      </w:pPr>
      <w:r>
        <w:rPr/>
      </w:r>
    </w:p>
    <w:tbl>
      <w:tblPr>
        <w:tblW w:w="4086" w:type="dxa"/>
        <w:jc w:val="left"/>
        <w:tblInd w:w="0" w:type="dxa"/>
        <w:tblLayout w:type="fixed"/>
        <w:tblCellMar>
          <w:top w:w="28" w:type="dxa"/>
          <w:left w:w="28" w:type="dxa"/>
          <w:bottom w:w="28" w:type="dxa"/>
          <w:right w:w="28" w:type="dxa"/>
        </w:tblCellMar>
      </w:tblPr>
      <w:tblGrid>
        <w:gridCol w:w="1125"/>
        <w:gridCol w:w="989"/>
        <w:gridCol w:w="991"/>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amounts are not amortized, but tested for impairment on an annual basis. There was no impairment of goodwill during the periods ended September 30, 2025 and December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7.Debt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the Company entered into a Credit and Guaranty Agreement (the “initial Credit Agreement”), with certain counterparties which provided for, among other things, a secured five-year term loan facility in an aggregate principal amount of up to $2.0 billion, consisting of initial term loans (the "initial term loans") and initial delayed draw term loan commitments (the "initial delayed draw term loan commitments") each in an aggregate principal amount of up to $1.0 billion, respectively. The initial Credit Agreement also provides for a secured letter of credit facility in an aggregate amount of up to $35.0 million. </w:t>
      </w:r>
    </w:p>
    <w:p>
      <w:pPr>
        <w:pStyle w:val="TextBody"/>
        <w:bidi w:val="0"/>
        <w:spacing w:before="0" w:after="0"/>
        <w:ind w:left="0" w:right="0" w:firstLine="450"/>
        <w:jc w:val="left"/>
        <w:rPr/>
      </w:pPr>
      <w:r>
        <w:rPr/>
      </w:r>
    </w:p>
    <w:p>
      <w:pPr>
        <w:pStyle w:val="TextBody"/>
        <w:bidi w:val="0"/>
        <w:spacing w:lineRule="auto" w:line="25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entered into Amendment No. 1 (the “First Amendment”) to its initial Credit Agreement (collectively, the “Amended Credit Agreement”). The First Amendment provided for additional secured delayed draw term loan commitments in an aggregate principal amount of up to $700.0 million (the “2025 delayed draw term loans”). The Amended Credit Agreement now includes a secured term loan facility in an aggregate principal amount of up to $2.7 billion, consisting of $1.0 billion of initial term loans, $1.0 billion of initial delayed draw term loan commitments, and the new $700.0 million 2025 delayed draw term loans (collectively, the “term loan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Amended Credit Agreement are guaranteed by certain material subsidiaries of the Company and are secured by substantially all of the assets of the Company and such subsidiary guarantors. In December 2024, the Company borrowed $1.0 billion of term loans under its term loan facility, measured at amortized cost. In accounting for the term loans, issuance costs of $27.6 million were deducted from the carrying value of the term loan in the consolidated balance sheet. Issuance costs are amortized and recognized as a component of interest expense over the five-year term using the effective interest method. Furthermore, there were $23.4 million, $0.2 million, and $8.3 million of deferred issuance costs related to the initial delayed draw term loan commitments, secured letter of credit facility, and 2025 delayed draw term loans, respectively, which will be recognized initially as deferred assets and subsequently reclassified and presented as a direct deduction to the carrying value of the related debt upon an eventual draw, and amortized over the remaining term on an effective interest method basis from the time of draw.</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delayed draw term loan commitments of $1.0 billion may be borrowed, subject to the satisfaction of certain conditions, from the closing date of the initial Credit Agreement through December 11, 2026, provided that the initial delayed draw term loan commitments shall be reduced to $500.0 million as of December 11, 2025, if the undrawn delayed draw term loan commitments exceed $500.0 million at that date. The initial delayed draw term loan commitments can be drawn in increments of $5.0 million or greater and up to ten draws can be made. The initial term loans and the initial delayed draw term loans (if and when funded) shall have the same terms and shall be treated as a single fungible class of term loans for all purposes under the Amended Credit Agreement, except that interest on any initial delayed draw term loan shall commence from the applicable date of draw. As of September 30, 2025, $150.0 million was drawn on the initial delayed draw term loan commitments and $850.0 million remained available. As of September 30, 2025, no letters of credit were issued under the letter of credit facility.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2025 delayed draw term loans commitment of $700.0 million may be borrowed solely for the purpose of prepaying, repaying, repurchasing, redeeming, exchanging or settling upon conversion the 2026 Notes during the period from the closing date of the First Amendment through March 15, 2026. The outstanding principal amount of any 2025 delayed draw term loans, along with accrued interest, is due on September 9, 2030. As of September 30, 2025, no amounts were drawn on the 2025 delayed draw term loans.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Amended Credit Agreement, the Company is required to pay quarterly commitment fees that accrue at a rate of 1.00% per annum on both the unused portion of the initial delayed draw term loan commitments and the unused portion of the 2025 delayed draw term loans. The 1.00% fee will be capitalized each reporting period, as the draws are probable as of the issuance date, and reclassified against the carrying value of the respective debt upon draw and amortized over the respective debt terms on an effective interest method basis from the time of draw. The 2025 delayed draw term loans commitment fees will start accruing on the unused portion three months after the effective date of the First Amendment. As of September 30, 2025, $1.2 million of the deferred issuance cost asset related to the commitment fee was reclassified and presented as a direct deduction from the carrying value of the related debt. As of September 30, 2025, the remaining deferred issuance asset related to the commitment fee was $6.9 million.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loans have a maturity date of December 11, 2029. Quarterly principal payments began on March 31, 2025 and will continue on the last business day of each quarter thereafter, equal to 0.25% of the original principal amount of such term loans or such greater percentage as may be required to make the delayed draw term loans fungible with any then-outstanding term loans. The Company is permitted to prepay the term loans at any time in whole or in part, subject to a prepayment premium equal to 2.00% of the aggregate principal amount prepaid on or prior to the first anniversary of the closing date and 1.00% of the aggregate principal amount prepaid after the first anniversary of the closing date but on or prior to the second anniversary of the closing date. Term loans repaid or prepaid may not be reborrowed. The 2025 delayed draw term loans have a maturity date of September 9, 2030. Quarterly repayments of 0.25% of the original principal amount of the 2025 delayed draw term loans are required beginning on the last business day of the quarter after the funding of such loans and continuing thereafter. The Company may prepay the 2025 delayed draw term loans at any time, subject to prepayment premiums of 2.00% if made on or prior to the first anniversary of the effective date of the First Amendment, and 1.00% if made after that date but on or prior to the second anniversary of the effective date of the First Amendment, with no reborrowing permitted. In addition, the term loan facility is subject to mandatory prepayments upon the occurrence of certain events as defined in the Amended Credit Agreement, including excess cash flows generated by the Company's operating activities, the proceeds of certain asset sales and the incurrence of certain indebtedness. The Company believes the occurrence of any such events is remote as of September 30, 2025.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term loan facility as of September 30, 2025 and December 31, 2024.</w:t>
      </w:r>
    </w:p>
    <w:p>
      <w:pPr>
        <w:pStyle w:val="TextBody"/>
        <w:bidi w:val="0"/>
        <w:spacing w:before="0" w:after="0"/>
        <w:ind w:left="0" w:right="0" w:firstLine="450"/>
        <w:jc w:val="left"/>
        <w:rPr/>
      </w:pPr>
      <w:r>
        <w:rPr/>
      </w:r>
    </w:p>
    <w:tbl>
      <w:tblPr>
        <w:tblW w:w="3485" w:type="dxa"/>
        <w:jc w:val="left"/>
        <w:tblInd w:w="0" w:type="dxa"/>
        <w:tblLayout w:type="fixed"/>
        <w:tblCellMar>
          <w:top w:w="28" w:type="dxa"/>
          <w:left w:w="28" w:type="dxa"/>
          <w:bottom w:w="28" w:type="dxa"/>
          <w:right w:w="28" w:type="dxa"/>
        </w:tblCellMar>
      </w:tblPr>
      <w:tblGrid>
        <w:gridCol w:w="853"/>
        <w:gridCol w:w="749"/>
        <w:gridCol w:w="752"/>
        <w:gridCol w:w="211"/>
        <w:gridCol w:w="76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 the alternative base rate on the last business day of an interest period, but at most monthly and at least quarterly, with respect to overnight and term SOFR rate borrowings.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associated with the term loan facility for the three and nine months ended September 30, 2025 was $22.5 million and $65.8 million, respectively, with such interest expense consisting of interest expense on the outstanding principal of the term loan facility and amortization of issuance costs.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permits the Company, subject to satisfaction of certain conditions, including obtaining commitments from new or existing lenders, to add new term loan facilities or increase the term loan commitments under the Amended Credit Agreement, in each case, subject to certain limits. Additionally, the Amended Credit Agreement contains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September 30, 2025.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on the Company's term loan debt are as follows:</w:t>
      </w:r>
    </w:p>
    <w:p>
      <w:pPr>
        <w:pStyle w:val="TextBody"/>
        <w:bidi w:val="0"/>
        <w:spacing w:before="0" w:after="0"/>
        <w:ind w:left="0" w:right="0" w:firstLine="495"/>
        <w:jc w:val="left"/>
        <w:rPr/>
      </w:pPr>
      <w:r>
        <w:rPr/>
      </w:r>
    </w:p>
    <w:tbl>
      <w:tblPr>
        <w:tblW w:w="2811" w:type="dxa"/>
        <w:jc w:val="left"/>
        <w:tblInd w:w="0" w:type="dxa"/>
        <w:tblLayout w:type="fixed"/>
        <w:tblCellMar>
          <w:top w:w="28" w:type="dxa"/>
          <w:left w:w="28" w:type="dxa"/>
          <w:bottom w:w="28" w:type="dxa"/>
          <w:right w:w="28" w:type="dxa"/>
        </w:tblCellMar>
      </w:tblPr>
      <w:tblGrid>
        <w:gridCol w:w="608"/>
        <w:gridCol w:w="534"/>
        <w:gridCol w:w="538"/>
        <w:gridCol w:w="211"/>
        <w:gridCol w:w="7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September 30, 2025. The 2026 Notes will mature on March 1, 2026, and the 2028 Notes will mature on March 1, 2028, in each case,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September 30,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September 30, 2025. In addition, during the three and nine months ended September 30, 2025 the conditions allowing holders of the Notes to convert during the following fiscal quarter were not met.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Notes as of September 30, 2025 and December 31, 2024.</w:t>
      </w:r>
    </w:p>
    <w:p>
      <w:pPr>
        <w:pStyle w:val="TextBody"/>
        <w:bidi w:val="0"/>
        <w:spacing w:before="0" w:after="0"/>
        <w:ind w:left="0" w:right="0" w:firstLine="495"/>
        <w:jc w:val="left"/>
        <w:rPr/>
      </w:pPr>
      <w:r>
        <w:rPr/>
      </w:r>
    </w:p>
    <w:tbl>
      <w:tblPr>
        <w:tblW w:w="6207" w:type="dxa"/>
        <w:jc w:val="left"/>
        <w:tblInd w:w="0" w:type="dxa"/>
        <w:tblLayout w:type="fixed"/>
        <w:tblCellMar>
          <w:top w:w="28" w:type="dxa"/>
          <w:left w:w="28" w:type="dxa"/>
          <w:bottom w:w="28" w:type="dxa"/>
          <w:right w:w="28" w:type="dxa"/>
        </w:tblCellMar>
      </w:tblPr>
      <w:tblGrid>
        <w:gridCol w:w="853"/>
        <w:gridCol w:w="749"/>
        <w:gridCol w:w="752"/>
        <w:gridCol w:w="233"/>
        <w:gridCol w:w="681"/>
        <w:gridCol w:w="120"/>
        <w:gridCol w:w="109"/>
        <w:gridCol w:w="109"/>
        <w:gridCol w:w="109"/>
        <w:gridCol w:w="233"/>
        <w:gridCol w:w="681"/>
        <w:gridCol w:w="120"/>
        <w:gridCol w:w="109"/>
        <w:gridCol w:w="109"/>
        <w:gridCol w:w="109"/>
        <w:gridCol w:w="211"/>
        <w:gridCol w:w="76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and 2024, the Company recognized $0.6 million and $0.6 million in interest expense for the 2026 Notes and $0.4 million and $0.4 million in interest expense for the 2028 Notes, respectively, with such interest expense solely consisting of amortization of issuance costs. During the nine months ended September 30, 2025 and 2024, the Company recognized $1.7 million and $1.7 million in interest expense for the 2026 Notes and $1.1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 million in interest expense for the 2028 Notes, respectively, with such interest expense solely consisting of amortization of issuance costs. The effective interest rate for the 2026 Notes and the 2028 Notes was 0.32% and 0.22%, respectively, as of September 30, 2025.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on the Company's convertible debt are as follows:</w:t>
      </w:r>
    </w:p>
    <w:p>
      <w:pPr>
        <w:pStyle w:val="TextBody"/>
        <w:bidi w:val="0"/>
        <w:spacing w:before="0" w:after="0"/>
        <w:ind w:left="0" w:right="0" w:firstLine="495"/>
        <w:jc w:val="left"/>
        <w:rPr/>
      </w:pPr>
      <w:r>
        <w:rPr/>
      </w:r>
    </w:p>
    <w:tbl>
      <w:tblPr>
        <w:tblW w:w="3269" w:type="dxa"/>
        <w:jc w:val="left"/>
        <w:tblInd w:w="0" w:type="dxa"/>
        <w:tblLayout w:type="fixed"/>
        <w:tblCellMar>
          <w:top w:w="28" w:type="dxa"/>
          <w:left w:w="28" w:type="dxa"/>
          <w:bottom w:w="28" w:type="dxa"/>
          <w:right w:w="28" w:type="dxa"/>
        </w:tblCellMar>
      </w:tblPr>
      <w:tblGrid>
        <w:gridCol w:w="608"/>
        <w:gridCol w:w="534"/>
        <w:gridCol w:w="538"/>
        <w:gridCol w:w="295"/>
        <w:gridCol w:w="1076"/>
        <w:gridCol w:w="218"/>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Convertible Debt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series of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September 30, 2025, the Company’s stock price was below the exercise price of the respective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September 30, 2025, the Company’s Class A common stock price was below the exercise price of the Warrants.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Taken together, the purchase of the Note Hedges and the sale of the Warrants are intended to reduce potential dilution from the conversion of the 2026 Notes and the 2028 Notes and/or reduce any cash payments the Company is required to make in excess of the principal amount of such converted Notes, as the case may be, and to effectively increase the overall conversion price from $38.25 per share to $46.36 per share and from $35.35 per share to $46.36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8.Leases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datacenters and finance leases for infrastructure and computer equipment. The Company’s leases have remaining lease terms of under 1 year to 11 years, some of which include options to extend the leases for up to 5 years.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has subleases for several floors of its corporate offices. The Company classifies its subleases as operating leases. The subleases have remaining lease terms of under 1 year to 8 years, some of which include tenant options to extend the sublease for up to approximately 4 years. Sublease income, which is recorded as a reduction of rental expense, was $2.8 million and $8.4 million during the three and nine months ended September 30, 2025, and $3.5 million and $10.5 million during the three and nine months ended September 30, 2024, respectively.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September 30, 2025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1"/>
        <w:gridCol w:w="1011"/>
        <w:gridCol w:w="1018"/>
        <w:gridCol w:w="378"/>
        <w:gridCol w:w="1105"/>
        <w:gridCol w:w="196"/>
        <w:gridCol w:w="109"/>
        <w:gridCol w:w="109"/>
        <w:gridCol w:w="109"/>
        <w:gridCol w:w="293"/>
        <w:gridCol w:w="857"/>
        <w:gridCol w:w="21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non-cancelable rent payments from the Company's subtenants as of September 30, 2025 were as follows: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tbl>
      <w:tblPr>
        <w:tblW w:w="4903" w:type="dxa"/>
        <w:jc w:val="left"/>
        <w:tblInd w:w="0" w:type="dxa"/>
        <w:tblLayout w:type="fixed"/>
        <w:tblCellMar>
          <w:top w:w="28" w:type="dxa"/>
          <w:left w:w="28" w:type="dxa"/>
          <w:bottom w:w="28" w:type="dxa"/>
          <w:right w:w="28" w:type="dxa"/>
        </w:tblCellMar>
      </w:tblPr>
      <w:tblGrid>
        <w:gridCol w:w="1210"/>
        <w:gridCol w:w="1063"/>
        <w:gridCol w:w="1071"/>
        <w:gridCol w:w="374"/>
        <w:gridCol w:w="909"/>
        <w:gridCol w:w="276"/>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sublease rent payments, net</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2017, the Company signed a 15 year lease agreement for office space in San Francisco, California, to serve as its corporate headquarters which commenced in 2018. The Company's obligations under the lease are supported by a $17.5 million letter of credit, which is secured by cash collateral. As of September 30, 2025, the Company's remaining minimum obligation under the lease for its headquarters was $142.5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2020, the Company moved to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recorded total impairment charges of zero and $2.6 million during the three and nine months ended September 30, 2025 and did not recognize any impairment charges during the three and nine months ended September 30, 2024.</w:t>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Other commitments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hanging="720"/>
        <w:jc w:val="left"/>
        <w:rPr/>
      </w:pPr>
      <w:r>
        <w:rPr>
          <w:rFonts w:ascii="Times New Roman;serif" w:hAnsi="Times New Roman;serif"/>
          <w:b/>
          <w:color w:val="000000"/>
          <w:sz w:val="20"/>
        </w:rPr>
        <w:t>Note 10.</w:t>
      </w:r>
      <w:r>
        <w:rPr>
          <w:color w:val="000000"/>
        </w:rPr>
        <w:t xml:space="preserve"> </w:t>
      </w:r>
      <w:r>
        <w:rPr>
          <w:rFonts w:ascii="Times New Roman;serif" w:hAnsi="Times New Roman;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7345" w:type="dxa"/>
        <w:jc w:val="center"/>
        <w:tblInd w:w="0" w:type="dxa"/>
        <w:tblLayout w:type="fixed"/>
        <w:tblCellMar>
          <w:top w:w="28" w:type="dxa"/>
          <w:left w:w="28" w:type="dxa"/>
          <w:bottom w:w="28" w:type="dxa"/>
          <w:right w:w="28" w:type="dxa"/>
        </w:tblCellMar>
      </w:tblPr>
      <w:tblGrid>
        <w:gridCol w:w="1261"/>
        <w:gridCol w:w="1107"/>
        <w:gridCol w:w="1112"/>
        <w:gridCol w:w="397"/>
        <w:gridCol w:w="1165"/>
        <w:gridCol w:w="207"/>
        <w:gridCol w:w="109"/>
        <w:gridCol w:w="109"/>
        <w:gridCol w:w="109"/>
        <w:gridCol w:w="380"/>
        <w:gridCol w:w="1110"/>
        <w:gridCol w:w="27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 payable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other external fees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indemnification holdbacks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and current liabilities </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11.Stockholders’ Deficit</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authorized 2,400.0 million shares of Class A common stock, 475.0 million shares of Class B common stock, and 800.0 million shares of Class C common stock, each at par value of $0.00001. Holders of Class B common stock voluntarily converted 0.5 million and 1.4 million shares during the three and nine months ended September 30, 2025, respectively. Holders of Class B common stock voluntarily converted 0.6 million and 1.6 million shares during the three and nine months ended September 30, 2024,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As of September 30, 2025, 179.4 million shares of Class A common stock, 76.1 million shares of Class B common stock, and no shares of Class C common stock were issued and outstanding. As of December 31, 2024, 218.4 million shares of Class A common stock, 77.5 million shares of Class B common stock, and no shares of Class C common stock were issued and outstanding. Class A shares issued and outstanding as of September 30, 2025 and December 31, 2024 exclude unvested restricted stock awards granted to certain executives. Class A shares issued and outstanding also exclude 8.3 million unvested restricted stock awards granted to one of the Company's co-founders as of September 30, 2025 and December 31, 2024, resp</w:t>
      </w:r>
      <w:r>
        <w:rPr>
          <w:rFonts w:ascii="Times New Roman;serif" w:hAnsi="Times New Roman;serif"/>
          <w:b w:val="false"/>
          <w:color w:val="000000"/>
          <w:sz w:val="20"/>
          <w:shd w:fill="FFFFFF" w:val="clear"/>
        </w:rPr>
        <w:t xml:space="preserve">ectively. See "Co-Founder Grant" section below for additional information.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the Board of Directors authorized a $1.2 billion share repurchase program, which the Company completed during the three months ended March 31, 2024. In July 2023, the Board of Directors authorized an additional $1.2 billion share repurchase program, which the Company completed during the three months ended March 31, 2025. In December 2024, the Board of Directors authorized a third $1.2 billion program, under which the Company continues to repurchase shares. In August 2025, the Board of Directors authorized a fourth $1.5 billion share repurchase program. Share repurchases are made from time-to-time in private transactions or open market purchases, as permitted by securities laws and other legal requirements and are subject to a review of the circumstances in place at that time, including prevailing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prices. The program does not obligate the Company to repurchase any specific number of shares and may be discontinued at any time.</w:t>
      </w:r>
    </w:p>
    <w:p>
      <w:pPr>
        <w:pStyle w:val="TextBody"/>
        <w:bidi w:val="0"/>
        <w:spacing w:lineRule="auto" w:line="288" w:before="0" w:after="0"/>
        <w:ind w:left="0" w:right="0" w:firstLine="450"/>
        <w:jc w:val="left"/>
        <w:rPr/>
      </w:pPr>
      <w:r>
        <w:rPr>
          <w:rFonts w:ascii="Times New Roman;serif" w:hAnsi="Times New Roman;serif"/>
          <w:b w:val="false"/>
          <w:color w:val="000000"/>
          <w:sz w:val="20"/>
        </w:rPr>
        <w:t>During the three and nine months ended September 30, 2025, the Company repurchased and subsequently retired 13.8 million and 46.0 million shares of its Class A common stock, for aggregate amounts of $393.3 million and $1,300.3 million,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During the three and nine months ended September 30, 2024, the Company repurchased and subsequently retired 14.6 million and 37.0 million shares of its Class A common stock, for aggregate amounts of $351.8 million and $895.6 million, respectively</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 xml:space="preserve">three and nine months ended September 30, 2025 and 2024, </w:t>
      </w:r>
      <w:r>
        <w:rPr>
          <w:rFonts w:ascii="Times New Roman;serif" w:hAnsi="Times New Roman;serif"/>
          <w:b w:val="false"/>
          <w:color w:val="000000"/>
          <w:sz w:val="20"/>
          <w:shd w:fill="FFFFFF" w:val="clear"/>
        </w:rPr>
        <w:t xml:space="preserve">the 1% excise tax imposed as part of the Inflation Reduction Act is </w:t>
      </w:r>
      <w:r>
        <w:rPr>
          <w:rFonts w:ascii="Times New Roman;serif" w:hAnsi="Times New Roman;serif"/>
          <w:b w:val="false"/>
          <w:color w:val="000000"/>
          <w:sz w:val="20"/>
        </w:rPr>
        <w:t>i</w:t>
      </w:r>
      <w:r>
        <w:rPr>
          <w:rFonts w:ascii="Times New Roman;serif" w:hAnsi="Times New Roman;serif"/>
          <w:b w:val="false"/>
          <w:color w:val="000000"/>
          <w:sz w:val="20"/>
          <w:shd w:fill="FFFFFF" w:val="clear"/>
        </w:rPr>
        <w:t xml:space="preserve">ncluded in the cost of treasury stock acquired pursuant to common share repurchases. Additionally, repurchases during the </w:t>
      </w:r>
      <w:r>
        <w:rPr>
          <w:rFonts w:ascii="Times New Roman;serif" w:hAnsi="Times New Roman;serif"/>
          <w:b w:val="false"/>
          <w:color w:val="000000"/>
          <w:sz w:val="20"/>
        </w:rPr>
        <w:t>three and 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included repurchase execution costs incurred in connection with the Company’s share repurchase program.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September 30, 2025, there were </w:t>
      </w:r>
      <w:r>
        <w:rPr>
          <w:rFonts w:ascii="Times New Roman;serif" w:hAnsi="Times New Roman;serif"/>
          <w:b w:val="false"/>
          <w:color w:val="000000"/>
          <w:sz w:val="20"/>
        </w:rPr>
        <w:t>25.8</w:t>
      </w:r>
      <w:r>
        <w:rPr>
          <w:color w:val="000000"/>
          <w:shd w:fill="FFFFFF" w:val="clear"/>
        </w:rPr>
        <w:t xml:space="preserve"> </w:t>
      </w:r>
      <w:r>
        <w:rPr>
          <w:rFonts w:ascii="Times New Roman;serif" w:hAnsi="Times New Roman;serif"/>
          <w:b w:val="false"/>
          <w:color w:val="000000"/>
          <w:sz w:val="20"/>
          <w:shd w:fill="FFFFFF" w:val="clear"/>
        </w:rPr>
        <w:t xml:space="preserve">million stock-based awards issued and outstanding and </w:t>
      </w:r>
      <w:r>
        <w:rPr>
          <w:rFonts w:ascii="Times New Roman;serif" w:hAnsi="Times New Roman;serif"/>
          <w:b w:val="false"/>
          <w:color w:val="000000"/>
          <w:sz w:val="20"/>
        </w:rPr>
        <w:t>131.9</w:t>
      </w:r>
      <w:r>
        <w:rPr>
          <w:color w:val="000000"/>
          <w:shd w:fill="FFFFFF" w:val="clear"/>
        </w:rPr>
        <w:t xml:space="preserve"> </w:t>
      </w:r>
      <w:r>
        <w:rPr>
          <w:rFonts w:ascii="Times New Roman;serif" w:hAnsi="Times New Roman;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and restricted stock activity for the Plans was as follows for the nine months ended September 30, 2025: </w:t>
      </w:r>
    </w:p>
    <w:p>
      <w:pPr>
        <w:pStyle w:val="TextBody"/>
        <w:bidi w:val="0"/>
        <w:spacing w:before="0" w:after="0"/>
        <w:ind w:left="0" w:right="0" w:firstLine="495"/>
        <w:jc w:val="left"/>
        <w:rPr/>
      </w:pPr>
      <w:r>
        <w:rPr/>
      </w:r>
    </w:p>
    <w:tbl>
      <w:tblPr>
        <w:tblW w:w="10460" w:type="dxa"/>
        <w:jc w:val="center"/>
        <w:tblInd w:w="0" w:type="dxa"/>
        <w:tblLayout w:type="fixed"/>
        <w:tblCellMar>
          <w:top w:w="28" w:type="dxa"/>
          <w:left w:w="28" w:type="dxa"/>
          <w:bottom w:w="28" w:type="dxa"/>
          <w:right w:w="28" w:type="dxa"/>
        </w:tblCellMar>
      </w:tblPr>
      <w:tblGrid>
        <w:gridCol w:w="491"/>
        <w:gridCol w:w="392"/>
        <w:gridCol w:w="393"/>
        <w:gridCol w:w="375"/>
        <w:gridCol w:w="375"/>
        <w:gridCol w:w="376"/>
        <w:gridCol w:w="109"/>
        <w:gridCol w:w="109"/>
        <w:gridCol w:w="109"/>
        <w:gridCol w:w="360"/>
        <w:gridCol w:w="360"/>
        <w:gridCol w:w="361"/>
        <w:gridCol w:w="109"/>
        <w:gridCol w:w="109"/>
        <w:gridCol w:w="109"/>
        <w:gridCol w:w="244"/>
        <w:gridCol w:w="590"/>
        <w:gridCol w:w="127"/>
        <w:gridCol w:w="109"/>
        <w:gridCol w:w="109"/>
        <w:gridCol w:w="109"/>
        <w:gridCol w:w="340"/>
        <w:gridCol w:w="340"/>
        <w:gridCol w:w="341"/>
        <w:gridCol w:w="109"/>
        <w:gridCol w:w="109"/>
        <w:gridCol w:w="109"/>
        <w:gridCol w:w="274"/>
        <w:gridCol w:w="529"/>
        <w:gridCol w:w="143"/>
        <w:gridCol w:w="109"/>
        <w:gridCol w:w="109"/>
        <w:gridCol w:w="109"/>
        <w:gridCol w:w="360"/>
        <w:gridCol w:w="360"/>
        <w:gridCol w:w="361"/>
        <w:gridCol w:w="109"/>
        <w:gridCol w:w="109"/>
        <w:gridCol w:w="109"/>
        <w:gridCol w:w="216"/>
        <w:gridCol w:w="631"/>
        <w:gridCol w:w="159"/>
      </w:tblGrid>
      <w:tr>
        <w:trPr/>
        <w:tc>
          <w:tcPr>
            <w:tcW w:w="4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w:t>
              <w:br/>
              <w:t>outstanding</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exercise</w:t>
              <w:br/>
              <w:t>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fair value</w:t>
              <w:br/>
              <w:t>per share</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at September 30, 2025</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pre-tax intrinsic value of options exercised during the three and nine months ended September 30, 2025 and 2024:</w:t>
      </w:r>
    </w:p>
    <w:p>
      <w:pPr>
        <w:pStyle w:val="TextBody"/>
        <w:bidi w:val="0"/>
        <w:spacing w:before="0" w:after="0"/>
        <w:ind w:left="0" w:right="0" w:firstLine="495"/>
        <w:jc w:val="left"/>
        <w:rPr/>
      </w:pPr>
      <w:r>
        <w:rPr/>
      </w:r>
    </w:p>
    <w:tbl>
      <w:tblPr>
        <w:tblW w:w="6990" w:type="dxa"/>
        <w:jc w:val="left"/>
        <w:tblInd w:w="0" w:type="dxa"/>
        <w:tblLayout w:type="fixed"/>
        <w:tblCellMar>
          <w:top w:w="28" w:type="dxa"/>
          <w:left w:w="28" w:type="dxa"/>
          <w:bottom w:w="28" w:type="dxa"/>
          <w:right w:w="28" w:type="dxa"/>
        </w:tblCellMar>
      </w:tblPr>
      <w:tblGrid>
        <w:gridCol w:w="1076"/>
        <w:gridCol w:w="945"/>
        <w:gridCol w:w="948"/>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exercised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September 30, 2025, unamortized stock-based compensation related to unvested stock options, restricted stock awards, and RSUs was </w:t>
      </w:r>
      <w:r>
        <w:rPr>
          <w:rFonts w:ascii="Times New Roman;serif" w:hAnsi="Times New Roman;serif"/>
          <w:b w:val="false"/>
          <w:color w:val="000000"/>
          <w:sz w:val="20"/>
        </w:rPr>
        <w:t>$640.5</w:t>
      </w:r>
      <w:r>
        <w:rPr>
          <w:color w:val="000000"/>
          <w:shd w:fill="FFFFFF" w:val="clear"/>
        </w:rPr>
        <w:t xml:space="preserve"> </w:t>
      </w:r>
      <w:r>
        <w:rPr>
          <w:rFonts w:ascii="Times New Roman;serif" w:hAnsi="Times New Roman;serif"/>
          <w:b w:val="false"/>
          <w:color w:val="000000"/>
          <w:sz w:val="20"/>
          <w:shd w:fill="FFFFFF" w:val="clear"/>
        </w:rPr>
        <w:t>millio</w:t>
      </w:r>
      <w:r>
        <w:rPr>
          <w:rFonts w:ascii="Times New Roman;serif" w:hAnsi="Times New Roman;serif"/>
          <w:b w:val="false"/>
          <w:color w:val="000000"/>
          <w:sz w:val="20"/>
        </w:rPr>
        <w:t>n. The weighted-average period over which such compensation expense will be recognized if the requisite service is provided is approximately 2.8 years as of September 30, 2025.</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Co-Founder Grant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the Co-Founder Grant, consisting of 10.3 million shares of Class A common stock in the form of RSAs granted to Drew Houston, the Company’s co-founder and 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Co-Founder Grant vests over ten years following the Company’s IPO, based on the achievement of stock price targets during a consecutive thirty-day trading period within the Performance Period, which began on January 1, 2019.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related to the Co-Founder Grant of $0.4 million and $2.3 million during the three and nine months ended September 30, 2024. The stock-based compensation expense related to the Co-Founder Grant was fully recognized as of the fourth quarter of 2024.</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EPS computations for the Company's common stock are calculated as follows (in millions, except for per share amounts):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2286"/>
        <w:gridCol w:w="1671"/>
        <w:gridCol w:w="168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2256"/>
        <w:gridCol w:w="1633"/>
        <w:gridCol w:w="164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56"/>
      </w:tblGrid>
      <w:tr>
        <w:trPr/>
        <w:tc>
          <w:tcPr>
            <w:tcW w:w="225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tbl>
      <w:tblPr>
        <w:tblW w:w="8174" w:type="dxa"/>
        <w:jc w:val="center"/>
        <w:tblInd w:w="0" w:type="dxa"/>
        <w:tblLayout w:type="fixed"/>
        <w:tblCellMar>
          <w:top w:w="28" w:type="dxa"/>
          <w:left w:w="28" w:type="dxa"/>
          <w:bottom w:w="28" w:type="dxa"/>
          <w:right w:w="28" w:type="dxa"/>
        </w:tblCellMar>
      </w:tblPr>
      <w:tblGrid>
        <w:gridCol w:w="1345"/>
        <w:gridCol w:w="1184"/>
        <w:gridCol w:w="1191"/>
        <w:gridCol w:w="255"/>
        <w:gridCol w:w="256"/>
        <w:gridCol w:w="206"/>
        <w:gridCol w:w="206"/>
        <w:gridCol w:w="206"/>
        <w:gridCol w:w="206"/>
        <w:gridCol w:w="258"/>
        <w:gridCol w:w="253"/>
        <w:gridCol w:w="220"/>
        <w:gridCol w:w="109"/>
        <w:gridCol w:w="109"/>
        <w:gridCol w:w="109"/>
        <w:gridCol w:w="255"/>
        <w:gridCol w:w="256"/>
        <w:gridCol w:w="190"/>
        <w:gridCol w:w="190"/>
        <w:gridCol w:w="190"/>
        <w:gridCol w:w="190"/>
        <w:gridCol w:w="255"/>
        <w:gridCol w:w="256"/>
        <w:gridCol w:w="279"/>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shares of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Grant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pPr>
      <w:r>
        <w:rPr>
          <w:rFonts w:ascii="Times New Roman;serif" w:hAnsi="Times New Roman;serif"/>
          <w:b/>
          <w:color w:val="000000"/>
          <w:sz w:val="20"/>
        </w:rPr>
        <w:t>Note 13.</w:t>
      </w:r>
      <w:r>
        <w:rPr>
          <w:color w:val="000000"/>
        </w:rPr>
        <w:t xml:space="preserve"> </w:t>
      </w: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Company computed the year-to-date income tax provision by applying the estimated annual effective tax rate to the year-to-date pre-tax income and adjusting for discrete tax items in the period. The Company's provision for income taxes was</w:t>
      </w:r>
      <w:r>
        <w:rPr>
          <w:color w:val="000000"/>
          <w:shd w:fill="FFFFFF" w:val="clear"/>
        </w:rPr>
        <w:t xml:space="preserve"> </w:t>
      </w:r>
      <w:r>
        <w:rPr>
          <w:rFonts w:ascii="Times New Roman;serif" w:hAnsi="Times New Roman;serif"/>
          <w:b w:val="false"/>
          <w:color w:val="000000"/>
          <w:sz w:val="20"/>
          <w:shd w:fill="FFFFFF" w:val="clear"/>
        </w:rPr>
        <w:t xml:space="preserve">$33.4 million and </w:t>
      </w:r>
      <w:r>
        <w:rPr>
          <w:rFonts w:ascii="Times New Roman;serif" w:hAnsi="Times New Roman;serif"/>
          <w:b w:val="false"/>
          <w:color w:val="000000"/>
          <w:sz w:val="20"/>
        </w:rPr>
        <w:t>$74.8 million</w:t>
      </w:r>
      <w:r>
        <w:rPr>
          <w:color w:val="000000"/>
          <w:shd w:fill="FFFFFF" w:val="clear"/>
        </w:rPr>
        <w:t xml:space="preserve"> </w:t>
      </w:r>
      <w:r>
        <w:rPr>
          <w:rFonts w:ascii="Times New Roman;serif" w:hAnsi="Times New Roman;serif"/>
          <w:b w:val="false"/>
          <w:color w:val="000000"/>
          <w:sz w:val="20"/>
        </w:rPr>
        <w:t>for the three and nine months ended September 30, 2025, respectively, and $26.0 million and $67.9 million for the three and nine months ended September 30, 2024, respectively.</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 months ended September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the difference between the U.S. statutory rate and the Company's effective tax rate was primarily due to the jurisdictional mix of earnings, tax credits, and state income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2025, the Company continues to maintain valuation allowances against its deferred tax assets in certain states and one foreign jurisdiction.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subject to income tax audits in the U.S. and foreign jurisdictions. The Company records liabilities related to uncertain tax positions and believes that it has provided adequate reserves for income tax uncertainties in all open tax years.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Unrecognized tax benefits increased by $11.4 million</w:t>
      </w:r>
      <w:r>
        <w:rPr>
          <w:color w:val="000000"/>
        </w:rPr>
        <w:t xml:space="preserve"> </w:t>
      </w:r>
      <w:r>
        <w:rPr>
          <w:rFonts w:ascii="Times New Roman;serif" w:hAnsi="Times New Roman;serif"/>
          <w:b w:val="false"/>
          <w:color w:val="000000"/>
          <w:sz w:val="20"/>
        </w:rPr>
        <w:t>during the nine months ended September 30, 2025. The increase was driven by a gross increase in unrecognized tax benefits related to tax positions taken in the period, of which $8.8 million, if recognized, would affect the Company's effective tax rate and $2.6 million would result in adjustment to deferred tax assets with corresponding adjustments to the valuation allowance.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impacts of OBBBA are reflected in the results for the </w:t>
      </w:r>
      <w:r>
        <w:rPr>
          <w:rFonts w:ascii="Times New Roman;serif" w:hAnsi="Times New Roman;serif"/>
          <w:b w:val="false"/>
          <w:color w:val="000000"/>
          <w:sz w:val="20"/>
        </w:rPr>
        <w:t>three and nine months ended September 30, 2025</w:t>
      </w:r>
      <w:r>
        <w:rPr>
          <w:rFonts w:ascii="Times New Roman;serif" w:hAnsi="Times New Roman;serif"/>
          <w:b w:val="false"/>
          <w:color w:val="000000"/>
          <w:sz w:val="20"/>
          <w:shd w:fill="FFFFFF" w:val="clear"/>
        </w:rPr>
        <w:t>. The legislation currently reduces U.S. cash tax payments for 2025 but increases tax expense, primarily due to the reinstatement of immediate expensing for U.S. research expenditures, which substantially lowers taxable income and limits the availability of certain credits and deductions. The Company will continue to evaluate the full impact of these legislative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Segment Information and Geographic Areas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the Chief Executive Officer, manages the Company's business activities as a single operating and reportable segment at the consolidated level. Accordingly, the CODM uses consolidated net income, as reported on the condensed consolidated statements of operations, to allocate resources as part of the annual planning process and to assess the performance of the Company's single reportable segment, primarily by monitoring actual results versus the annual plan.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expenses reviewed by the CODM are cost of revenue, research and development, sales and marketing, general and administrative, and stock-based compensation, as presented in the condensed consolidated statements of operations. Cost of revenue, research and development, sales and marketing, and general and administrative expenses include depreciation and amortization expenses, which are disclosed in Note 4 "Property and Equipment, Net" and Note 5 "Intangible Assets", respectively. Other segment items consist of interest (expense) income, net, other income, net, and provision for income taxes, as presented in the condensed consolidated statements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CODM does not evaluate segment performance using balance sheet information.</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Long-lived assets and revenue by geographic region, based on the physical location of the operations recording the asset or the sale, are as follows: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w:t>
      </w:r>
    </w:p>
    <w:p>
      <w:pPr>
        <w:pStyle w:val="TextBody"/>
        <w:bidi w:val="0"/>
        <w:spacing w:before="0" w:after="0"/>
        <w:ind w:left="0" w:right="0" w:firstLine="495"/>
        <w:jc w:val="left"/>
        <w:rPr/>
      </w:pPr>
      <w:r>
        <w:rPr/>
      </w:r>
    </w:p>
    <w:tbl>
      <w:tblPr>
        <w:tblW w:w="6760" w:type="dxa"/>
        <w:jc w:val="center"/>
        <w:tblInd w:w="0" w:type="dxa"/>
        <w:tblLayout w:type="fixed"/>
        <w:tblCellMar>
          <w:top w:w="28" w:type="dxa"/>
          <w:left w:w="28" w:type="dxa"/>
          <w:bottom w:w="28" w:type="dxa"/>
          <w:right w:w="28" w:type="dxa"/>
        </w:tblCellMar>
      </w:tblPr>
      <w:tblGrid>
        <w:gridCol w:w="1051"/>
        <w:gridCol w:w="919"/>
        <w:gridCol w:w="925"/>
        <w:gridCol w:w="397"/>
        <w:gridCol w:w="1165"/>
        <w:gridCol w:w="207"/>
        <w:gridCol w:w="109"/>
        <w:gridCol w:w="109"/>
        <w:gridCol w:w="109"/>
        <w:gridCol w:w="380"/>
        <w:gridCol w:w="1110"/>
        <w:gridCol w:w="279"/>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 xml:space="preserve">No single country other than the United States had a property and equipment balance greater than 10% of total property and equipment, net, as of September 30, 2025 and December 31, 2024. </w:t>
      </w:r>
    </w:p>
    <w:p>
      <w:pPr>
        <w:pStyle w:val="TextBody"/>
        <w:bidi w:val="0"/>
        <w:spacing w:before="60" w:after="283"/>
        <w:jc w:val="left"/>
        <w:rPr/>
      </w:pPr>
      <w:r>
        <w:rPr/>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is generally based on the address of the customer as defined in the Company’s subscription agreement. The following table sets forth revenue by geographic area for the three and nine months ended September 30, 2025 and 2024. </w:t>
      </w:r>
    </w:p>
    <w:tbl>
      <w:tblPr>
        <w:tblW w:w="6450" w:type="dxa"/>
        <w:jc w:val="center"/>
        <w:tblInd w:w="0" w:type="dxa"/>
        <w:tblLayout w:type="fixed"/>
        <w:tblCellMar>
          <w:top w:w="28" w:type="dxa"/>
          <w:left w:w="28" w:type="dxa"/>
          <w:bottom w:w="28" w:type="dxa"/>
          <w:right w:w="28" w:type="dxa"/>
        </w:tblCellMar>
      </w:tblPr>
      <w:tblGrid>
        <w:gridCol w:w="501"/>
        <w:gridCol w:w="438"/>
        <w:gridCol w:w="441"/>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No single country outside of the United States accounted for more than 10% of total revenue during the three and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By solving these universal problems, we’ve become invaluable to our users. The popularity of our platform allows us to scale efficiently. We’ve built a thriving global business with 18.07 million paying users.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Subscription Plans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individuals, families, teams, and organizations by selling subscriptions to our platform, which serve the varying needs of our diverse customer base. Our subscriptions include individual licenses through our Plus, Professional or Essentials plans, or multiple licenses through our Family plan or our Standard, Advanced, Business, Business Plus and Enterprise team plans. We also offer Dash for Business,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premium subscription plans, such as Professional and Advanced, provide more functionality than our other subscription plans and have higher per user prices. Our Standard, Advanced, Business and Business Plus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 which has negatively impacted our annual recurring revenue ("ARR"), revenue and paying users in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Our Customers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offer a range of paid subscription plans, from Plus,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Impact of Macroeconomic and Geopolitical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our overall performance exceeded expectations, with business trends reflecting steady execution amid ongoing macroeconomic uncertainty. We saw better than expected improvements in customer retention and engagement across both Individual and Teams plans. While Teams performance improved, it continues to be affected by cautious customer spend amid broader macroeconomic uncertainty. Additionally, DocSend delivered another strong quarter of growth, while both Sign and FormSwift modestly exceeded expectations.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Reduction in Workforce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we announced a reduction of our global workforce by approximately 20% to streamline our team structure to better align with our long-term growth and profitability objectives. During the three and nine months ended September 30, 2025, we incurred $0.2 million and $3.7 million, respectively, of expenses related to severance, benefits, and other related items.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Total annual recurring 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ARR fluctuates and may decrease in some periods as compared to prior periods. In the near term, ARR has experienced and may continue to experience a slight decline, reflecting our strategic decision to significantly reduce investments in FormSwift at the beginning of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ARR decreased for the period ended September 30, 2025, compared to the periods ended December 31, 2024 and September 30, 2024, primarily driven by our strategic decision to significantly reduce our investment in FormSwift at the beginning of 2025 and a challenging operating environment across our Teams plans.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below tables set forth our Total ARR using the exchange rates set at the beginning of the applicable year, as well as on a constant currency basis relative to the exchange rates used in 2025.</w:t>
      </w:r>
    </w:p>
    <w:p>
      <w:pPr>
        <w:pStyle w:val="TextBody"/>
        <w:bidi w:val="0"/>
        <w:spacing w:before="0" w:after="0"/>
        <w:ind w:left="0" w:right="0" w:firstLine="495"/>
        <w:jc w:val="left"/>
        <w:rPr/>
      </w:pPr>
      <w:r>
        <w:rPr/>
      </w:r>
    </w:p>
    <w:tbl>
      <w:tblPr>
        <w:tblW w:w="6967" w:type="dxa"/>
        <w:jc w:val="center"/>
        <w:tblInd w:w="0" w:type="dxa"/>
        <w:tblLayout w:type="fixed"/>
        <w:tblCellMar>
          <w:top w:w="28" w:type="dxa"/>
          <w:left w:w="28" w:type="dxa"/>
          <w:bottom w:w="28" w:type="dxa"/>
          <w:right w:w="28" w:type="dxa"/>
        </w:tblCellMar>
      </w:tblPr>
      <w:tblGrid>
        <w:gridCol w:w="363"/>
        <w:gridCol w:w="320"/>
        <w:gridCol w:w="322"/>
        <w:gridCol w:w="589"/>
        <w:gridCol w:w="589"/>
        <w:gridCol w:w="591"/>
        <w:gridCol w:w="109"/>
        <w:gridCol w:w="109"/>
        <w:gridCol w:w="109"/>
        <w:gridCol w:w="574"/>
        <w:gridCol w:w="574"/>
        <w:gridCol w:w="576"/>
        <w:gridCol w:w="109"/>
        <w:gridCol w:w="109"/>
        <w:gridCol w:w="109"/>
        <w:gridCol w:w="530"/>
        <w:gridCol w:w="530"/>
        <w:gridCol w:w="75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w:t>
            </w:r>
          </w:p>
        </w:tc>
      </w:tr>
    </w:tbl>
    <w:p>
      <w:pPr>
        <w:pStyle w:val="TextBody"/>
        <w:bidi w:val="0"/>
        <w:spacing w:before="0" w:after="0"/>
        <w:ind w:left="0" w:right="0" w:firstLine="495"/>
        <w:jc w:val="center"/>
        <w:rPr/>
      </w:pPr>
      <w:r>
        <w:rPr/>
      </w:r>
    </w:p>
    <w:tbl>
      <w:tblPr>
        <w:tblW w:w="7686" w:type="dxa"/>
        <w:jc w:val="center"/>
        <w:tblInd w:w="0" w:type="dxa"/>
        <w:tblLayout w:type="fixed"/>
        <w:tblCellMar>
          <w:top w:w="28" w:type="dxa"/>
          <w:left w:w="28" w:type="dxa"/>
          <w:bottom w:w="28" w:type="dxa"/>
          <w:right w:w="28" w:type="dxa"/>
        </w:tblCellMar>
      </w:tblPr>
      <w:tblGrid>
        <w:gridCol w:w="624"/>
        <w:gridCol w:w="548"/>
        <w:gridCol w:w="552"/>
        <w:gridCol w:w="589"/>
        <w:gridCol w:w="589"/>
        <w:gridCol w:w="591"/>
        <w:gridCol w:w="109"/>
        <w:gridCol w:w="109"/>
        <w:gridCol w:w="109"/>
        <w:gridCol w:w="574"/>
        <w:gridCol w:w="574"/>
        <w:gridCol w:w="576"/>
        <w:gridCol w:w="109"/>
        <w:gridCol w:w="109"/>
        <w:gridCol w:w="109"/>
        <w:gridCol w:w="530"/>
        <w:gridCol w:w="530"/>
        <w:gridCol w:w="755"/>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Constant Currency</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r>
    </w:tbl>
    <w:p>
      <w:pPr>
        <w:pStyle w:val="TextBody"/>
        <w:bidi w:val="0"/>
        <w:spacing w:before="0" w:after="120"/>
        <w:ind w:left="0" w:right="0" w:firstLine="495"/>
        <w:jc w:val="left"/>
        <w:rPr/>
      </w:pPr>
      <w:r>
        <w:rPr/>
      </w:r>
    </w:p>
    <w:p>
      <w:pPr>
        <w:pStyle w:val="TextBody"/>
        <w:bidi w:val="0"/>
        <w:spacing w:before="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Paying users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DocSend, FormSwift and Reclaim, we define paying users as the number of users who have active paid licenses for access to our platform as of the end of the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number of paying users as of September 30, 2025 declined as compared to December 31, 2024 and September 30, 2024, largely due to a challenging operating environment across our Teams plans and our strategic decision to significantly reduce our investments in FormSwift at the beginning of 2025. We expect that the total number of paying users will continue to fluctuate from period to period and may continue to decrease in some periods as compared to prior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sets forth the number of paying users as of September 30, 2025, December 31, 2024, and September 30, 2024. </w:t>
      </w:r>
    </w:p>
    <w:p>
      <w:pPr>
        <w:pStyle w:val="TextBody"/>
        <w:bidi w:val="0"/>
        <w:spacing w:before="0" w:after="0"/>
        <w:ind w:left="0" w:right="0" w:firstLine="495"/>
        <w:jc w:val="left"/>
        <w:rPr/>
      </w:pPr>
      <w:r>
        <w:rPr/>
      </w:r>
    </w:p>
    <w:tbl>
      <w:tblPr>
        <w:tblW w:w="7101" w:type="dxa"/>
        <w:jc w:val="left"/>
        <w:tblInd w:w="0" w:type="dxa"/>
        <w:tblLayout w:type="fixed"/>
        <w:tblCellMar>
          <w:top w:w="28" w:type="dxa"/>
          <w:left w:w="28" w:type="dxa"/>
          <w:bottom w:w="28" w:type="dxa"/>
          <w:right w:w="28" w:type="dxa"/>
        </w:tblCellMar>
      </w:tblPr>
      <w:tblGrid>
        <w:gridCol w:w="412"/>
        <w:gridCol w:w="363"/>
        <w:gridCol w:w="364"/>
        <w:gridCol w:w="589"/>
        <w:gridCol w:w="589"/>
        <w:gridCol w:w="591"/>
        <w:gridCol w:w="109"/>
        <w:gridCol w:w="109"/>
        <w:gridCol w:w="109"/>
        <w:gridCol w:w="574"/>
        <w:gridCol w:w="574"/>
        <w:gridCol w:w="576"/>
        <w:gridCol w:w="109"/>
        <w:gridCol w:w="109"/>
        <w:gridCol w:w="109"/>
        <w:gridCol w:w="530"/>
        <w:gridCol w:w="530"/>
        <w:gridCol w:w="755"/>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users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Average revenue per paying user</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average revenue per paying user increased for the three months ended September 30, 2025 as compared to the three months ended September 30, 2024, as a result of the favorable impact of changes in foreign exchange rates across multiple currencies relative to the U.S. dollar offset by our strategic decision to significantly reduce our investment in FormSwift. The average revenue per paying user for the nine months ended September 30, 2025 decreased as compared to the nine months ended September 30, 2024 as a result of our strategic decision to significantly reduce our investment in FormSwift and an increased mix of sales towards our lower priced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below table sets forth our ARPU for the three and nine months ended September 30, 2025 and 2024.</w:t>
      </w:r>
    </w:p>
    <w:tbl>
      <w:tblPr>
        <w:tblW w:w="5821" w:type="dxa"/>
        <w:jc w:val="left"/>
        <w:tblInd w:w="0" w:type="dxa"/>
        <w:tblLayout w:type="fixed"/>
        <w:tblCellMar>
          <w:top w:w="28" w:type="dxa"/>
          <w:left w:w="28" w:type="dxa"/>
          <w:bottom w:w="28" w:type="dxa"/>
          <w:right w:w="28" w:type="dxa"/>
        </w:tblCellMar>
      </w:tblPr>
      <w:tblGrid>
        <w:gridCol w:w="228"/>
        <w:gridCol w:w="201"/>
        <w:gridCol w:w="2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FCF increased for the nine months ended September 30, 2025, compared to the nine months ended September 30, 2024, primarily due to an increase in cash provided by operating activities, in addition to a decrease in capital expenditures. The increase in cash provided by operating activities was primarily due to an increase in net income, as adjusted for stock-based compensation and depreciation and amortization expenses, partially offset by an increase in cash outflows from changes in operating assets and liabilities. The increase in cash outflows from operating assets and liabilities was primarily driven by the payment for the third tranche termination fee for the partial termination of our lease for our San Francisco, California corporate headquarters and payments related to our reduction in workforce announced in the fourth quarter of 2024.</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FCF to generally increase in the near term as we drive operating efficiencies, partly due to our reduction in workforce in the fourth quarter of 2024. We expect to continue purchasing infrastructure equipment to support our user base and anticipate that our capital expenditures will increase in the last quarter of 2025. However, we expect overall spend in future periods to remain consistent with prior years as we continue to invest in our internal infrastructure, network and security. The timing of our operating expenses as described below, may cause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is driven primarily by conversions and upsells to our paid plans. We also generate revenue from transaction based products.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growth is impacted by both the number of paying users and our ability to increase the average revenue per paying user. Our overall paying user growth rate has declined, and we expect growth in paying users to fluctuate from period to period in the future. Given that our revenue and average revenue per paying user have declined, if we do not successfully increase the average revenue per paying user, for example, through pricing and packaging changes or increased sales of our higher-priced subscription plans, or otherwise offset slower growth or declines in paying users, we expect our revenue and revenue growth rate to continue decreasing.</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0"/>
        <w:ind w:left="0" w:right="0" w:firstLine="45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in the fourth quarter of 2024,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 xml:space="preserve">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expect gross margin to remain relatively constant in both the near term and long term.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450"/>
        <w:jc w:val="left"/>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employee-related costs for our engineering, product, and design teams, expenses related to our reduction in workforce in the fourth quarter of 2024,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research and development costs will decrease in absolute dollars and as a percentage of revenue in both the near term and long term as a result of our reduction in workforce in the fourth quarter of 2024, partially offset by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hiring for our engineering, product, and design teams in roles critical to our future growth initiatives. The trend and timing of research and development expenses will depend in part on the timing for these new hires.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relate to both self-serve and outbound sales activities, and consist primarily of employee-related costs, expenses related to our reduction in workforce in the fourth quarter of 2024,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sales and marketing expenses will decrease in absolute dollars and as a percentage of revenue in both the near term and long term as a result of our reduction in workforce in the fourth quarter of 2024, partially offset by continued investment in sales and marketing in the long term, in order to grow our user base and increase our brand awareness. The trend and timing of sales and marketing expenses will depend in part on the timing of marketing campaigns.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expenses related to our reduction in workforce in the fourth quarter of 2024, such as severance, benefits and other related items, allocated overhead, outside legal, accounting and other professional fees, and non income-based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Net loss on real estate assets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consists of impairment charges in 2025. See Note 8, "Leases" for additional information.</w:t>
      </w:r>
    </w:p>
    <w:p>
      <w:pPr>
        <w:pStyle w:val="TextBody"/>
        <w:bidi w:val="0"/>
        <w:spacing w:before="20" w:after="283"/>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Subsequent to the term loan issuance in the fourth quarter of 2024, we expect interest (expense) income, net to remain relatively constant in both the near term and the long term, assuming no significant changes in market rates.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consists of U.S. federal, state and foreign jurisdiction income taxes. For 2025 and 2024, the difference between the U.S. statutory rate and our effective tax rate is primarily due to the jurisdictional mix of earnings, tax credits, state income taxes, and changes to our unrecognized tax benefits.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w:t>
      </w:r>
    </w:p>
    <w:tbl>
      <w:tblPr>
        <w:tblW w:w="7709" w:type="dxa"/>
        <w:jc w:val="left"/>
        <w:tblInd w:w="0" w:type="dxa"/>
        <w:tblLayout w:type="fixed"/>
        <w:tblCellMar>
          <w:top w:w="28" w:type="dxa"/>
          <w:left w:w="28" w:type="dxa"/>
          <w:bottom w:w="28" w:type="dxa"/>
          <w:right w:w="28" w:type="dxa"/>
        </w:tblCellMar>
      </w:tblPr>
      <w:tblGrid>
        <w:gridCol w:w="953"/>
        <w:gridCol w:w="840"/>
        <w:gridCol w:w="846"/>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0" w:after="0"/>
        <w:jc w:val="left"/>
        <w:rPr/>
      </w:pPr>
      <w:r>
        <w:rPr/>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recognized during the three and nine months ended September 30, 2025, related to our reduction in workforce in the fourth quarter of 2024, such as severance, benefits and other related items.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revenue:</w:t>
      </w:r>
    </w:p>
    <w:tbl>
      <w:tblPr>
        <w:tblW w:w="7353" w:type="dxa"/>
        <w:jc w:val="left"/>
        <w:tblInd w:w="0" w:type="dxa"/>
        <w:tblLayout w:type="fixed"/>
        <w:tblCellMar>
          <w:top w:w="28" w:type="dxa"/>
          <w:left w:w="28" w:type="dxa"/>
          <w:bottom w:w="28" w:type="dxa"/>
          <w:right w:w="28" w:type="dxa"/>
        </w:tblCellMar>
      </w:tblPr>
      <w:tblGrid>
        <w:gridCol w:w="975"/>
        <w:gridCol w:w="859"/>
        <w:gridCol w:w="865"/>
        <w:gridCol w:w="266"/>
        <w:gridCol w:w="200"/>
        <w:gridCol w:w="389"/>
        <w:gridCol w:w="156"/>
        <w:gridCol w:w="156"/>
        <w:gridCol w:w="156"/>
        <w:gridCol w:w="266"/>
        <w:gridCol w:w="200"/>
        <w:gridCol w:w="389"/>
        <w:gridCol w:w="109"/>
        <w:gridCol w:w="109"/>
        <w:gridCol w:w="109"/>
        <w:gridCol w:w="264"/>
        <w:gridCol w:w="202"/>
        <w:gridCol w:w="361"/>
        <w:gridCol w:w="145"/>
        <w:gridCol w:w="145"/>
        <w:gridCol w:w="145"/>
        <w:gridCol w:w="264"/>
        <w:gridCol w:w="202"/>
        <w:gridCol w:w="421"/>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a percentage of revenue as follows:</w:t>
      </w:r>
    </w:p>
    <w:p>
      <w:pPr>
        <w:pStyle w:val="TextBody"/>
        <w:bidi w:val="0"/>
        <w:spacing w:before="0" w:after="0"/>
        <w:jc w:val="left"/>
        <w:rPr/>
      </w:pPr>
      <w:r>
        <w:rPr/>
      </w:r>
    </w:p>
    <w:tbl>
      <w:tblPr>
        <w:tblW w:w="6982" w:type="dxa"/>
        <w:jc w:val="center"/>
        <w:tblInd w:w="0" w:type="dxa"/>
        <w:tblLayout w:type="fixed"/>
        <w:tblCellMar>
          <w:top w:w="28" w:type="dxa"/>
          <w:left w:w="28" w:type="dxa"/>
          <w:bottom w:w="28" w:type="dxa"/>
          <w:right w:w="28" w:type="dxa"/>
        </w:tblCellMar>
      </w:tblPr>
      <w:tblGrid>
        <w:gridCol w:w="992"/>
        <w:gridCol w:w="874"/>
        <w:gridCol w:w="878"/>
        <w:gridCol w:w="207"/>
        <w:gridCol w:w="156"/>
        <w:gridCol w:w="389"/>
        <w:gridCol w:w="156"/>
        <w:gridCol w:w="156"/>
        <w:gridCol w:w="156"/>
        <w:gridCol w:w="207"/>
        <w:gridCol w:w="156"/>
        <w:gridCol w:w="389"/>
        <w:gridCol w:w="109"/>
        <w:gridCol w:w="109"/>
        <w:gridCol w:w="109"/>
        <w:gridCol w:w="204"/>
        <w:gridCol w:w="157"/>
        <w:gridCol w:w="361"/>
        <w:gridCol w:w="145"/>
        <w:gridCol w:w="145"/>
        <w:gridCol w:w="145"/>
        <w:gridCol w:w="204"/>
        <w:gridCol w:w="157"/>
        <w:gridCol w:w="421"/>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recognized during the three and nine months ended September 30, 2025, related to our reduction in workforce in the fourth quarter of 2024, such as severance, benefits and other related items. See Note 1, "Description of the Business and Summary of Significant Accounting Policies - Reduction in Workforce" for additional information.</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w:t>
      </w:r>
    </w:p>
    <w:p>
      <w:pPr>
        <w:pStyle w:val="TextBody"/>
        <w:bidi w:val="0"/>
        <w:spacing w:before="0" w:after="0"/>
        <w:ind w:left="0" w:right="0" w:firstLine="180"/>
        <w:jc w:val="left"/>
        <w:rPr/>
      </w:pPr>
      <w:r>
        <w:rPr/>
      </w:r>
    </w:p>
    <w:p>
      <w:pPr>
        <w:pStyle w:val="TextBody"/>
        <w:bidi w:val="0"/>
        <w:spacing w:lineRule="auto" w:line="288" w:before="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689"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decreased $4.4 million or 0.7% during the three months ended September 30, 2025, as compared to the three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our strategic decision to significantly reduce our investment in FormSwift as well as weakness in Teams plans as a result of churn and fewer customers upgrading, offset by growth in our Individuals plans</w:t>
      </w:r>
      <w:r>
        <w:rPr>
          <w:rFonts w:ascii="Times New Roman;serif" w:hAnsi="Times New Roman;serif"/>
          <w:b w:val="false"/>
          <w:color w:val="000000"/>
          <w:sz w:val="20"/>
          <w:shd w:fill="FFFFFF" w:val="clear"/>
        </w:rPr>
        <w:t xml:space="preserve">. In addition, revenue was positively impacted by </w:t>
      </w:r>
      <w:r>
        <w:rPr>
          <w:rFonts w:ascii="Times New Roman;serif" w:hAnsi="Times New Roman;serif"/>
          <w:b w:val="false"/>
          <w:color w:val="000000"/>
          <w:sz w:val="20"/>
        </w:rPr>
        <w:t>$3.1</w:t>
      </w:r>
      <w:r>
        <w:rPr>
          <w:color w:val="000000"/>
          <w:shd w:fill="FFFFFF" w:val="clear"/>
        </w:rPr>
        <w:t xml:space="preserve"> </w:t>
      </w:r>
      <w:r>
        <w:rPr>
          <w:rFonts w:ascii="Times New Roman;serif" w:hAnsi="Times New Roman;serif"/>
          <w:b w:val="false"/>
          <w:color w:val="000000"/>
          <w:sz w:val="20"/>
          <w:shd w:fill="FFFFFF" w:val="clear"/>
        </w:rPr>
        <w:t>million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9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55"/>
        <w:gridCol w:w="256"/>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increased $16.8 million or 15.1% during the three months ended September 30, 2025, as compared to the three months ended September 30, 2024. This increase was primarily driven by a $16.7 million increase in infrastructure costs due to increased depreciation resulting from our datacenter refresh cycle.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margin decreased during the three months ended September 30, 2025 compared to the three months ended September 30, 2024, primarily due to a 15.1% increase in our cost of revenue, along with a 0.7% decrease in revenue during the period,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268"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$43.4 million or 19.2% during the three months ended September 30, 2025, as compared to the three months ended September 30, 2024, primarily due to decreases of $34.2 million in employee-related costs driven by a decrease in headcount and $10.2 million in allocated overhead.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608" w:type="dxa"/>
        <w:jc w:val="left"/>
        <w:tblInd w:w="0" w:type="dxa"/>
        <w:tblLayout w:type="fixed"/>
        <w:tblCellMar>
          <w:top w:w="28" w:type="dxa"/>
          <w:left w:w="28" w:type="dxa"/>
          <w:bottom w:w="28" w:type="dxa"/>
          <w:right w:w="28" w:type="dxa"/>
        </w:tblCellMar>
      </w:tblPr>
      <w:tblGrid>
        <w:gridCol w:w="634"/>
        <w:gridCol w:w="558"/>
        <w:gridCol w:w="562"/>
        <w:gridCol w:w="211"/>
        <w:gridCol w:w="511"/>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$19.0 million or 17.2% during the three months ended September 30, 2025, as compared to the three months ended September 30, 2024, primarily due to a decrease of $11.6 million related to advertising due to our strategic decision to significantly reduce our investments in FormSwift and other marketing related expenses as well as a $5.1 million decrease in employee-related costs driven by a decrease in headcount.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947" w:type="dxa"/>
        <w:jc w:val="left"/>
        <w:tblInd w:w="0" w:type="dxa"/>
        <w:tblLayout w:type="fixed"/>
        <w:tblCellMar>
          <w:top w:w="28" w:type="dxa"/>
          <w:left w:w="28" w:type="dxa"/>
          <w:bottom w:w="28" w:type="dxa"/>
          <w:right w:w="28" w:type="dxa"/>
        </w:tblCellMar>
      </w:tblPr>
      <w:tblGrid>
        <w:gridCol w:w="837"/>
        <w:gridCol w:w="735"/>
        <w:gridCol w:w="737"/>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$5.7 million or 9.0% during the three months ended September 30, 2025, as compared to the three months ended September 30, 2024, primarily due to a decrease of $4.1 million in outside services.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increased by $24.1 million during the three months ended September 30, 2025, as compared to the three months ended September 30, 2024, primarily due to interest expense related to our term loan facility entered into in the fourth quarter of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increased by $1.7 million during the three months ended September 30, 2025, as compared to the three months ended September 30, 2024, primarily due to $1.2 million in gains related to equity investments.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Provision for income taxes increased</w:t>
      </w:r>
      <w:r>
        <w:rPr>
          <w:color w:val="000000"/>
        </w:rPr>
        <w:t xml:space="preserve"> </w:t>
      </w:r>
      <w:r>
        <w:rPr>
          <w:rFonts w:ascii="Times New Roman;serif" w:hAnsi="Times New Roman;serif"/>
          <w:b w:val="false"/>
          <w:color w:val="000000"/>
          <w:sz w:val="20"/>
        </w:rPr>
        <w:t>$7.4 million</w:t>
      </w:r>
      <w:r>
        <w:rPr>
          <w:color w:val="000000"/>
          <w:shd w:fill="FFFFFF" w:val="clear"/>
        </w:rPr>
        <w:t xml:space="preserve"> </w:t>
      </w:r>
      <w:r>
        <w:rPr>
          <w:rFonts w:ascii="Times New Roman;serif" w:hAnsi="Times New Roman;serif"/>
          <w:b w:val="false"/>
          <w:color w:val="000000"/>
          <w:sz w:val="20"/>
          <w:shd w:fill="FFFFFF" w:val="clear"/>
        </w:rPr>
        <w:t>during the three months ended September 30, 2025, as compared to the three months ended September 30, 2024,</w:t>
      </w:r>
      <w:r>
        <w:rPr>
          <w:color w:val="000000"/>
        </w:rPr>
        <w:t xml:space="preserve"> </w:t>
      </w:r>
      <w:r>
        <w:rPr>
          <w:rFonts w:ascii="Times New Roman;serif" w:hAnsi="Times New Roman;serif"/>
          <w:b w:val="false"/>
          <w:color w:val="000000"/>
          <w:sz w:val="20"/>
        </w:rPr>
        <w:t xml:space="preserve">primarily due an increase in income before income taxes and the cumulative impact of the One Big Beautiful Bill Act reflected in the </w:t>
      </w:r>
      <w:r>
        <w:rPr>
          <w:rFonts w:ascii="Times New Roman;serif" w:hAnsi="Times New Roman;serif"/>
          <w:b w:val="false"/>
          <w:color w:val="000000"/>
          <w:sz w:val="20"/>
          <w:shd w:fill="FFFFFF" w:val="clear"/>
        </w:rPr>
        <w:t>three months ended September 30, 2025</w:t>
      </w:r>
      <w:r>
        <w:rPr>
          <w:rFonts w:ascii="Times New Roman;serif" w:hAnsi="Times New Roman;serif"/>
          <w:b w:val="false"/>
          <w:color w:val="000000"/>
          <w:sz w:val="20"/>
        </w:rPr>
        <w:t>.</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before="0" w:after="0"/>
        <w:ind w:left="0" w:right="0" w:firstLine="180"/>
        <w:jc w:val="left"/>
        <w:rPr/>
      </w:pPr>
      <w:r>
        <w:rPr/>
      </w:r>
    </w:p>
    <w:p>
      <w:pPr>
        <w:pStyle w:val="TextBody"/>
        <w:bidi w:val="0"/>
        <w:spacing w:lineRule="auto" w:line="288" w:before="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994"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586"/>
        <w:gridCol w:w="109"/>
        <w:gridCol w:w="109"/>
        <w:gridCol w:w="109"/>
        <w:gridCol w:w="109"/>
        <w:gridCol w:w="240"/>
        <w:gridCol w:w="240"/>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decreased $19.8 million or 1.0% during the nine months ended September 30, 2025, as compared to the nine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our strategic decision to significantly reduce our investment in FormSwift and</w:t>
      </w:r>
      <w:r>
        <w:rPr>
          <w:color w:val="000000"/>
          <w:shd w:fill="FFFFFF" w:val="clear"/>
        </w:rPr>
        <w:t xml:space="preserve"> </w:t>
      </w:r>
      <w:r>
        <w:rPr>
          <w:rFonts w:ascii="Times New Roman;serif" w:hAnsi="Times New Roman;serif"/>
          <w:b w:val="false"/>
          <w:color w:val="000000"/>
          <w:sz w:val="20"/>
          <w:shd w:fill="FFFFFF" w:val="clear"/>
        </w:rPr>
        <w:t>a challenging Teams environment, offset by growth in our Individuals Plans.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9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55"/>
        <w:gridCol w:w="256"/>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increased $44.4 million or 13.7% during the nine months ended September 30, 2025, as compared to the nine months ended September 30, 2024. This increase was primarily driven by a $40.3 million increase in infrastructure costs as we continue to add equipment in support of our datacenter refresh cycle. Additionally, we saw a smaller depreciation benefit compared to the 2024 period as a result of the change in useful lives from four to five years of certain infrastructure and component assets which was effective January 1, 2024.</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margin decreased during the nine months ended September 30, 2025 compared to the nine months ended September 30, 2024, primarily due to a 13.7% increase in our cost of revenue, along with a 1.0% decrease in revenue during the period,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373"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$126.8 million or 18.9% during the nine months ended September 30, 2025, as compared to the nine months ended September 30, 2024, primarily due to decreases of $100.0 million in employee-related costs driven by a decrease in headcount and $25.9 million in allocated overhead.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tbl>
      <w:tblPr>
        <w:tblW w:w="6713"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$60.5 million or 18.2% during the nine months ended September 30, 2025, as compared to the nine months ended September 30, 2024, primarily due to a decrease of $39.1 million related to advertising due to our strategic decision to significantly reduce our investments in FormSwift and other marketing related expenses as well as a decrease of $16.3 million in employee-related costs driven by a decrease in headcount.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157"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$8.1 million or 4.5% during the nine months ended September 30, 2025, as compared to the nine months ended September 30, 2024, primarily due to decreases of $5.3 million in allocated overhead and $4.7 million in outside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was $2.6 million during the nine months ended September 30, 2025 and we did not record any gain or loss on real estate assets during the nine months ended September 30,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increased by $69.3 million during the nine months ended September 30, 2025, as compared to the nine months ended September 30, 2024, primarily due to interest expense related to our term loan facility entered into in the fourth quarter of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$2.2 million during the nine months ended September 30, 2025, as compared to the nine months ended September 30, 2024, primarily due to a $2.8 million increase in foreign currency transaction losses.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Provision for income taxes increased</w:t>
      </w:r>
      <w:r>
        <w:rPr>
          <w:color w:val="000000"/>
        </w:rPr>
        <w:t xml:space="preserve"> </w:t>
      </w:r>
      <w:r>
        <w:rPr>
          <w:rFonts w:ascii="Times New Roman;serif" w:hAnsi="Times New Roman;serif"/>
          <w:b w:val="false"/>
          <w:color w:val="000000"/>
          <w:sz w:val="20"/>
        </w:rPr>
        <w:t>$6.9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xml:space="preserve">, as compared to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primarily due to an increase in income before income taxes and the cumulative impact of the One Big Beautiful Bill Act reflected 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and cash equivalents of $730.7 million and short-term investments of $194.6 million, which were held for working capital purposes. Our cash, cash equivalents, and short-term investments consist primarily of cash, money market funds, corporate notes and obligations, U.S. Treasury securities, asset-backed securities, U.S. agency obligations, supranational securities, and municipal securities. As of September 30, 2025, $351.2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primarily through cash generated from our operations, the Notes issuance, borrowings from our term loan facility,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delayed draw term loan commitments as part of the term loan facility for additional working capital flexibility, as described below.</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2021, we issued approximately $1.4 billion in aggregate principal amount of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we entered into a secured five-year term loan facility in an aggregate principal amount of up to $2.0 billion, consisting of initial term loans and initial delayed draw term loan commitments each in an aggregate principal amount of up to $1.0 billion, respectively. The terms of the initial Credit Agreement also provide for a secured letter of credit facility in an aggregate amount of up to $35.0 million. In September 2025, we entered into the First Amendment to the term loan facility which provided for additional secured delayed draw term loan commitments in an aggregate principal amount of up to $700.0 million. The 2025 delayed draw term loans may be borrowed solely for the purpose of prepaying, repaying, repurchasing, redeeming, exchanging or settling upon conversion the 2026 Notes. We expect to pay the 2026 Notes using proceeds from the loans prior to or at maturity in 2026.</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loans have a maturity date of December 11, 2029 and the 2025 delayed draw term loans have a maturity date of September 9, 2030. Quarterly principal payments for the initial term loan began on March 31, 2025 and will continue on the last business day of each quarter thereafter, equal to 0.25% of the original principal amount of such term loans or such greater percentage as may be required to make the initial delayed draw term loans fungible with any then-outstanding term loans. Quarterly repayments of 0.25% of the original principal amount of the 2025 delayed draw term loans are required beginning on the last business day of the quarter after the funding of such loans and continuing thereafter. As of September 30, 2025, we had $1,142.1 million outstanding and $1,550.0 million available to draw on the term loan facility. </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borrowings under the term loan facility accrues at either an alternate base rate or a term SOFR rate (further described in Note 7 "Debt") at the Company's option. Pursuant to the terms of the Amended Credit Agreement, we are required to pay a quarterly commitment fee that accrues at a rate of 1.00% per annum on both the unused portion of the initial delayed draw term loan commitments and the unused portion of the 2025 delayed draw term loans. The 2025 delayed draw term loans commitment fees will start accruing on the unused portion three months after the effective date of the First Amendment.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permits the Company, subject to satisfaction of certain conditions, including obtaining commitments from new or existing lenders, to add new term loan facilities or increase the term loan commitments under the term loan agreement, in each case, subject to certain limits. Additionally, the Amended Credit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September 30, 2025.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uses of cash in recent periods have been funding our operations, repurchases of our Class A common stock, the satisfaction of tax withholding obligations in connection with the settlement of restricted stock units and awards, making principal payments on our finance lease obligations, and capital expenditures. Our Board of Directors has authorized three separate $1.2 billion Class A common stock repurchase programs since February 2022, with authorizations in February 2022, July 2023 and December 2024. We completed the February 2022 and July 2023 authorizations during the three months ended March 31, 2024, and March 31, 2025, respectively. In August 2025, our Board of Directors authorized a new repurchase program for the purchase of an additional $1.5 billion shares of our Class A common stock.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2025, we repurchased and subsequently retired 13.8 million and 46.0 million, respectively, of our Class A common stock for an aggregate amount of $393.3 million and $1,300.3 million, respectively.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7416" w:type="dxa"/>
        <w:jc w:val="left"/>
        <w:tblInd w:w="0" w:type="dxa"/>
        <w:tblLayout w:type="fixed"/>
        <w:tblCellMar>
          <w:top w:w="28" w:type="dxa"/>
          <w:left w:w="28" w:type="dxa"/>
          <w:bottom w:w="28" w:type="dxa"/>
          <w:right w:w="28" w:type="dxa"/>
        </w:tblCellMar>
      </w:tblPr>
      <w:tblGrid>
        <w:gridCol w:w="1840"/>
        <w:gridCol w:w="1620"/>
        <w:gridCol w:w="1624"/>
        <w:gridCol w:w="211"/>
        <w:gridCol w:w="691"/>
        <w:gridCol w:w="109"/>
        <w:gridCol w:w="109"/>
        <w:gridCol w:w="109"/>
        <w:gridCol w:w="109"/>
        <w:gridCol w:w="214"/>
        <w:gridCol w:w="6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net cash provided by operating activities was $716.4 million, which primarily consisted of our net income of $399.7 million, adjusted for stock-based compensation expense of $223.4 million, depreciation and amortization expenses of $116.7 million, and net cash outflow of $109.6 million from operating assets and liabilities. The outflow from operating assets and liabilities was primarily due to the payment of our 2024 corporate bonus, the payment for the third tranche termination fee for the partial termination of our lease for our San Francisco, California corporate headquarters, and payments related to our reduction in workforce that we announced in the fourth quarter of 2024, offset by an increase in deferred revenue, as a majority of our paying users are invoiced in advance. </w:t>
      </w:r>
    </w:p>
    <w:p>
      <w:pPr>
        <w:pStyle w:val="TextBody"/>
        <w:bidi w:val="0"/>
        <w:spacing w:before="0" w:after="0"/>
        <w:ind w:left="0" w:right="0" w:firstLine="450"/>
        <w:jc w:val="left"/>
        <w:rPr/>
      </w:pPr>
      <w:r>
        <w:rPr/>
      </w:r>
    </w:p>
    <w:p>
      <w:pPr>
        <w:pStyle w:val="TextBody"/>
        <w:bidi w:val="0"/>
        <w:spacing w:lineRule="auto" w:line="26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$36.1 million in net cash provided by operating activities during the nine months ended September 30, 2025, compared to the nine months ended September 30, 2024, was primarily due to an increase of $65.7 million in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as adjusted for stock-based compensation, depreciation and amortization expenses, and other non-cash losses (gains), partially offset by an increase of $29.6 million in cash outflows from changes in operating assets and liabilities, primarily driven by the payment for the third tranche termination fee for the partial termination of our lease for our San Francisco, California corporate headquarters and payments related to our reduction in workforce announced in the fourth quarter of 2024.</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provided by investing activities was $66.0 million, which primarily related to $76.1 million in net investment activity inflows, driven by the maturities of short-term investments. The increase was partially offset by cash paid for acquisitions of $13.1 million.</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of $264.0 million in net cash provided by investing activities during the nine months ended September 30, 2025, compared to the nine months ended September 30, 2024, was primarily due to a decrease of $309.1 million in net investment activity inflows, offset by a decrease of $44.7 million in cash paid for acquisitions and $8.7 million in cash paid for capital expenditures.</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is primarily impacted by cash used for repurchases of common stock, tax withholding obligations for the release of restricted stock units ("RSUs") and restricted stock awards ("RSAs"), principal payments on finance lease obligations for our infrastructure equipment, principal payments on amounts drawn upon the term loan facility, payments of debt issuance costs and loan commitment fees related to the term loan facility, and payments of acquisition-related indemnity holdback amounts, offset by proceeds from the term loan facility.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financing activities was $1,389.9 million, which primarily consisted of $1,298.9 million for the repurchase of our common stock, $113.9 million for the satisfaction of tax withholding obligations for the release of restricted stock units and awards, $101.9 million in principal payments on finance lease obligations, and $7.9 million for the principal payments against the term loan facility. The outflow was offset by $132.6 million in proceeds from the term loan facility, net of debt issuance costs and loan commitment fees.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$279.4 million in net cash used in financing activities during the nine months ended September 30, 2025, compared to the nine months ended September 30, 2024, was primarily due to an increase of $410.6 million in repurchases of our common stock, an increase of $7.9 million in principal payments against the term loan facility, and an increase of $5.7 million in principal payments on finance lease obligations, offset by an increase of $132.6 million in proceeds from the term loan facility, net of debt issuance costs and loan commitment fees, and a decrease of $17.1 million in cash paid for the release of acquisition-related indemnity holdback payments after the acquisition date in accordance with the merger agreement.</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Part II, Item 7, “Critical Accounting Estimates” in our Annual Report on Form 10-K for the year ended December 31, 2024. There have been no material changes to our critical accounting policies and estimates since our Annual Report on Form 10-K for the year ended December 31, 2024.</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$730.7 million and short-term investments of $194.6 million as of September 30, 2025. We hold our cash and cash equivalents and short-term investments for working capital purposes. Our cash, cash equivalents, and short-term investments consist primarily of cash, money market funds, corporate notes and obligations, U.S. Treasury securities, asset-backed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As of September 30, 2025, we had $1,142.1 million outstanding under the term loan facility. We do not have any other long-term debt or financial liabilities with floating interest rates that would subject us to interest rate fluctuations. For the three and nine months ended September 30, 2025, a hypothetical 100 basis point increase or decrease in interest rates would have resulted in a $2.6 million and $7.6 million change, respectively, in interest expense related to the term loan facility.</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nine months ended September 30, 2025,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or losses were immaterial during the nine months ended September 30, 2025 and 2024. A hypothetical 10% change in foreign currency rates would not have resulted in material gains or losses for the nine months ended September 30, 2025 and 2024.</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Inherent Limitations on Effectiveness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19, 2019 and July 23, 2021, Motion Offense, LLC (“Motion Offense”) filed patent infringement suits in the Western District of Texas (Waco Division) asserting infringement of a total of six patents. These lawsuits were consolidated in September 2021 (“the Consolidated Action”). In April 2023, Motion Offense filed a third patent infringement lawsuit involving one patent, which was not consolidated into the Consolidated Action.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Consolidated Action had a jury trial in May 2023, and the jury found in favor of Dropbox on all counts including non-infringement and invalidity of the patents and awarded no damages to Motion Offense. In August 2024, the court entered judgment in line with the May 2023 verdict. The parties completed briefing on Motion Offense’s post-trial motions and are awaiting the court to schedule a hearing and issue a decision. The final judgment in the district court may be appealed to the Federal Circuit.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Motion Offense’s third patent infringement suit, the parties filed their initial pleadings but the case is currently stayed pending Dropbox’s Inter Partes Review (“IPR”) of the asserted patent. On June 30 and July 1, 2025, the Patent Trial and Appeal Board issued Final Written Decisions in the IPRs determining the challenged and asserted claims unpatentable. Motion Offense filed Notices of Appeal with the Federal Circuit and its opening appeal briefs are due in December 2025. Dropbox believes Motion Offense’s allegations in the third lawsuit are similarly without merit and will vigorously defend against them.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December 2022, Entangled Media, LLC filed a patent infringement suit against Dropbox in the Western District of Texas (Austin Division). The complaint alleges that Dropbox infringes two patents (U.S. Patent Nos. 8,296,338 and 8,484,260). In June 2023, the case was transferred to the Northern District of California (San Jose Division). In August 2025, the court granted-in-part Dropbox’s Motion for Summary Judgment, finding that Dropbox does not infringe one of the asserted patents (No. 8,484,260). One patent remains for trial. The trial is currently set for March 16, 2026. Dropbox believes it has meritorious defenses and plans to vigorously defend this matter.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remain confident in the Company’s defenses to the asserted allegations in these cases, it is not possible to determine the ultimate outcome at this time, however, we do not believe any potential loss would be material to our financial position or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of our revenue from self-serve channels. Our self-service channel revenue is driven by word-of-mouth referrals,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recommendations, and positive brand recognition in the marketplace. Any decrease in user satisfaction with our products or support could harm our brand, word-of-mouth referrals, and ability to grow.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2025, we served over 700 million registered users but only 18.07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events or conditions that financially impact our registered users and other prospective paying users, such as macroeconomic factors, layoffs, inflation, fluctuating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contractors and other individuals (some of whom our intelligence indicates are supported by nation states) have in the past gained, and in the future may gain, access to our systems.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prevent integration of software and services that may compromise personal information, we can provide no assurances those systems will be effective in every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rate of growth has declined and we have experienced negative growth in past periods. If we do not successfully execute our plan for future growth, our growth rate may continue to decline and we may experience negative growth in future periods.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The rate of growth of our business and revenue has declined in recent periods and we have experienced negative growth. If we are unable to execute on our new product initiatives and plans for growth in the future, we may be unable to reverse this trend. Our new product </w:t>
      </w:r>
      <w:r>
        <w:rPr>
          <w:rFonts w:ascii="Times New Roman;serif" w:hAnsi="Times New Roman;serif"/>
          <w:b w:val="false"/>
          <w:color w:val="000000"/>
          <w:sz w:val="20"/>
        </w:rPr>
        <w:t>initiatives, including any AI-based initiatives, are intended to result in growth, but such initiatives require a period of investment and ultimately may not succeed on the timelines we expect or at all. Any additional revenue our new initiatives generate may be insufficient to offset the amounts we have invested or the declining rates of growth in other areas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In addition, our challenges may be heightened in connection with our Virtual First work model, as we engage an increasingly distributed employee base in countries around the world, as well as our focus on aligning our resources to create a more nimble and streamlined organization. These issues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return to growth or reaccelerate our growth, we must effectively allocate our resources and if we invest in future growth,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user-centric design;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scale of user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accessibility across several devices, operating systems, and applications;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third-party integration;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innovation;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Failure to respond to rapid technological changes, extend our platform, or develop new features or products may harm our ability to compete effectively, which would adversely affect our business</w:t>
      </w:r>
      <w:r>
        <w:rPr>
          <w:rFonts w:ascii="Times New Roman;serif" w:hAnsi="Times New Roman;serif"/>
          <w:b/>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We have made, and intend to continue making, significant investments in developing products that will incorporate AI, and while we are optimistic that such new products have the potential to drive future growth of our business, the development of such new features will incur significant costs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as compared to a fully in-office model. The risk of such disruptions and decreased productivity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persist as our workforce operates under a Virtual First model. We have also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business may be significantly impacted by general economic, political, and market conditions, including any resulting effect on consumer or business spending</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awareness of the content collaboration category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scale, and duration, of trends towards or away from remote or distributed 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gives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operate with a Virtual First workforce and the long-term impact of this model on our financial results and business operations remains uncertain</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October 2020, we have operated as a Virtual First work model pursuant to which remote work has become the primary experience for all of our employees and our intention is for our workforce to continue being more distributed over time. However,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we continue to operate with our Virtual First model,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Historically, our business model has been driven by organic adoption and viral growth, with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shd w:fill="FFFFFF" w:val="clear"/>
        </w:rPr>
        <w:t>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operations outside the United States and our efforts to expand, subject us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paying users across approximately 180 countries and approximately 43% of our revenue in the year ended December 31, 2024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an employee base in jurisdictions that may not give us the same employment and retention flexibility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natural disasters and public health epidemics on employees, travel and the global economy.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Datacenter leases and agreements with the providers of datacenter services expire at various times. The owners of these datacenters and providers of these datacenter services may have no obligation to renew their agreements with us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w:t>
      </w:r>
      <w:r>
        <w:rPr>
          <w:rFonts w:ascii="Times New Roman;serif" w:hAnsi="Times New Roman;serif"/>
          <w:b w:val="false"/>
          <w:color w:val="000000"/>
          <w:sz w:val="20"/>
          <w:shd w:fill="FFFFFF" w:val="clear"/>
        </w:rPr>
        <w:t>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depend on our ecosystem of developers to create applications that will integrate with our platform. As of December 31, 2024, Dropbox was receiving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sell subscriptions to our platform and retain users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a reduction in revenue or delay in market acceptance of our 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issue refunds to our users or expose us to claims for damages;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harm our reputation and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integrating and retaining key employees of acquired businesses and related challenges motivating and retaining our key employees after such acquisition;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offer, price, and support multiple product lines or services offerings of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 of resources that are needed in other parts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indebtedness, including our 2026 Notes, 2028 Notes and our term loan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it more difficult for us to satisfy our debt obligations, including our term loan facility, the 2026 Notes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 us at a competitive disadvantage compared to our competitors that have less indebtedness or are not subject to restrictive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or otherwise impact the pace and timing of repurchases under our stock repurchase program;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have a material adverse effect on our business,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operations may be interrupted and our business, results of operations, and financial condition could be adversely affected if we default on our leasing or credit obligations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finance a significant portion of our expenditures through leasing arrangements, and we may enter into additional similar arrangements in the future. As of December 31, 2024, we had an aggregate of $1,088.6 million of commitments to settle contractual obligations. In particular, we utilize both finance and operating leases to finance some of our equipment, datacenters and offices. In addition, in December 2024, we borrowed $1.0 billion of term loans under our term loan facility for general corporate purposes, including repurchases of our stock.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any outstanding lease obligations or loans;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the outstanding term loans borrowed under our term loan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term loan facility and exercise rights and remedies against the collateral securing our term loan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pay increased and significant interest,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profitability may fluctuate in certain periods, or we may fail to meet our profitability targets. 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Servicing our indebtedness under our term loan facility, 2026 Notes, and 2028 Notes may require a significant amount of cash, and we may not have sufficient cash flow or the ability to raise the funds necessary to satisfy our obligations under our term loan facility, 2026 Notes, or 2028 Notes.</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shd w:fill="FFFFFF" w:val="clear"/>
        </w:rPr>
        <w:t>Our ability to make scheduled payments of the principal of, to pay interest on or to refinance our indebtedness, including our term loan facility,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The delayed draw features may also impose additional commitment or unused-facility fees, amortization or prepayment obligations, which will require additional cash outflows.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quarterly results may fluctuate significantly and may not fully reflect the underlying performance of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new paying users and convert registered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and timing of operating expenses, including expenses related to the maintenance and expansion of our business, operations, and infrastructure, hiring expenses, and expenses relating to sales and marketing campaigns, as well as entry into or exit of operating and finance leases;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catastrophic events, including earthquakes, fires, floods, tsunamis, or other weather events, power loss, telecommunications failures, software or hardware malfunctions, cyber-attacks, war,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impacts from our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may not immediately reflect downturns or upturns in sales because we recognize revenue from our users over the term of their subscriptions with us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shd w:fill="FFFFFF" w:val="clear"/>
        </w:rPr>
        <w:t>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which are reported in U.S. dollars, could be adversely affected if currency exchange rates fluctuate substantially in the future</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are exposed to the effects of fluctuations in currency exchange rates within our international operations. This exposure is the result of selling in multiple currencies and operating in foreign countries where the functional currency is the local currency. </w:t>
      </w:r>
      <w:r>
        <w:rPr>
          <w:rFonts w:ascii="Times New Roman;serif" w:hAnsi="Times New Roman;serif"/>
          <w:b w:val="false"/>
          <w:color w:val="000000"/>
          <w:sz w:val="20"/>
        </w:rPr>
        <w:t>In 2024, 26%</w:t>
      </w:r>
      <w:r>
        <w:rPr>
          <w:color w:val="000000"/>
          <w:shd w:fill="FFFFFF" w:val="clear"/>
        </w:rPr>
        <w:t xml:space="preserve"> </w:t>
      </w:r>
      <w:r>
        <w:rPr>
          <w:rFonts w:ascii="Times New Roman;serif" w:hAnsi="Times New Roman;serif"/>
          <w:b w:val="false"/>
          <w:color w:val="000000"/>
          <w:sz w:val="20"/>
          <w:shd w:fill="FFFFFF" w:val="clear"/>
        </w:rPr>
        <w:t>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pricing of the 2026 Notes and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ability to use our net operating loss carryforwards and certain other tax attributes may be limited</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we had U.S. federal and state and non-U.S. net operating loss carryforwards and U.S. federal and state and non-U.S.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operating results may be harmed if we are required to collect or pay sales, value-added, or other related taxes for our services or in jurisdictions where we have not historically done so</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and financial condition could be materially affected by the enactment of legislation implementing changes in the U.S. or non-U.S. taxation of international business activities or the adoption of other tax reform policies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July 4, 2025,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expect OBBBA will reduce our U.S. cash tax payments in 2025 but increase tax expense, primarily due to the reinstatement of immediate expensing for U.S. research expenditures which substantially lowers taxable income and limits the availability of certain credits and deductions. The issuance of future regulatory or accounting guidance related to OBBBA may adversely affect our tax provision.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changes to U.S. or non-U.S. tax laws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erif" w:hAnsi="Times New Roman;serif"/>
          <w:b/>
          <w:color w:val="000000"/>
          <w:sz w:val="20"/>
        </w:rPr>
      </w:pPr>
      <w:r>
        <w:rPr>
          <w:rFonts w:ascii="Times New Roman;serif" w:hAnsi="Times New Roman;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export and import control laws and regulations that could impair our ability to compete in international markets or subject us to liability if we violate such laws and regulations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expect that there will continue to be new laws, regulations, and industry standards concerning privacy, data protection, AI, and information security proposed and enacted in various jurisdictions.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U.S. As we continued to participate in Privacy Shield, we transitioned automatically to the DPF. The DPF also applies to transfers from the UK and Switzerland to the U.S.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have gone into effect in 2025, and Indiana, Kentucky, and Rhode Island have enacted similar laws that will go into effect in 2026.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 that will apply to entities in the financial sector and their third-party cloud service providers.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countries are also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usage-based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materially change their pricing rates or schemes;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try to monetize or control access to their networks.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(the “Motion Offense Litigation”) and Entangled Media (the “Entangled Media Litigation”), each of which have alleged that Dropbox infringes certain of their respective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Motion Offense Litigation, a jury trial was conducted in May 2023. The jury found in favor of Dropbox on all counts including non-infringement and invalidity of the patents and awarded no damages to Motion Offense. In August 2024, the court entered judgment in line with the May 2023 jury verdict. On September 27, 2024, Motion Offense filed a Motion for Judgment as a Matter of Law and a renewed Motion for a New Trial. As of December 31, 2024, briefing is complete and Dropbox has requested a hearing on the Motions. The final judgment may be appealed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Entangled Media Litigation, trial is currently set for March 16, 2026. Any final judgment in the district court may be appealed by either party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not possible presently, with respect to either the Motion Offense Litigation or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w:t>
      </w:r>
      <w:r>
        <w:rPr>
          <w:rFonts w:ascii="Times New Roman;serif" w:hAnsi="Times New Roman;serif"/>
          <w:b w:val="false"/>
          <w:color w:val="000000"/>
          <w:sz w:val="20"/>
        </w:rPr>
        <w:t>1,800</w:t>
      </w:r>
      <w:r>
        <w:rPr>
          <w:color w:val="000000"/>
          <w:shd w:fill="FFFFFF" w:val="clear"/>
        </w:rPr>
        <w:t xml:space="preserve"> </w:t>
      </w:r>
      <w:r>
        <w:rPr>
          <w:rFonts w:ascii="Times New Roman;serif" w:hAnsi="Times New Roman;serif"/>
          <w:b w:val="false"/>
          <w:color w:val="000000"/>
          <w:sz w:val="20"/>
          <w:shd w:fill="FFFFFF" w:val="clear"/>
        </w:rPr>
        <w:t xml:space="preserve">issued patents and more than </w:t>
      </w:r>
      <w:r>
        <w:rPr>
          <w:rFonts w:ascii="Times New Roman;serif" w:hAnsi="Times New Roman;serif"/>
          <w:b w:val="false"/>
          <w:color w:val="000000"/>
          <w:sz w:val="20"/>
        </w:rPr>
        <w:t>250</w:t>
      </w:r>
      <w:r>
        <w:rPr>
          <w:color w:val="000000"/>
          <w:shd w:fill="FFFFFF" w:val="clear"/>
        </w:rPr>
        <w:t xml:space="preserve"> </w:t>
      </w:r>
      <w:r>
        <w:rPr>
          <w:rFonts w:ascii="Times New Roman;serif" w:hAnsi="Times New Roman;serif"/>
          <w:b w:val="false"/>
          <w:color w:val="000000"/>
          <w:sz w:val="20"/>
          <w:shd w:fill="FFFFFF" w:val="clear"/>
        </w:rPr>
        <w:t xml:space="preserve">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time-to-time;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sales or announcements of 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or completed transactions, which may include acquisitions of businesses, products, services, or technologies, financing arrangements, or joint ventures or partnerships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inclusion, exclusion, or deletion of our stock from any trading indices;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cyber-attacks, wars or other armed conflicts,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The multi-class structure of our common stock has the effect of concentrating voting control with those stockholders who held our capital stock prior to the completion of our IPO, and it may depress the trading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ten votes per share, and our Class C common stock has no voting rights, except as otherwise required by law and subject to any limitations provided in our articles of incorporation. As of September 30, 2025, our directors and executive officers, and their respective affiliates, held in the aggregate 80.5% of the voting power of our capital stock, with Mr. Houston holding approximately 80.4% of the voting power of our capital stock. We are including the Co-Founder Grant (as defined in “Stock-based compensation” included in Part 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Substantial future sales could depress the market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relating to our 2026 Notes and 2028 Notes may dilute the ownership interest of stockholders, or may otherwise depress the price of our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Nevada law and provisions in our articles of incorporation and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status as a Nevada corporation and the anti-takeover provisions of the Nevada Revised Statutes may discourage, delay, or prevent a change in control by prohibiting us from engaging in a business combination with an interested stockholder for a period of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until the Class B common stock, as a class, converts to Class A common stock, any amendments to our articles of incorporation will require the approval of two-thirds of the combined vote of our then-outstanding shares of Class A common stock and Class B common stock; and following the conversion of our Class B common stock, as a class, to Class A common stock, certain amendments to our articles of incorporation will require the approval of two-thirds of our then outstanding voting power;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bylaws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after the Voting Threshold Date our stockholders will only be able to take action at a meeting of stockholders, and will not be able to take action by written consent for any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litigation against us may be required to be brought in Nevada;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articles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cannot guarantee that our stock repurchase program will be fully implemented or that it will enhance long-term stockholder value.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initially implemented a stock repurchase program in 2020. In December 2024, the Board of Directors authorized the repurchase of up to an additional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the outstanding shares of our Class A common stock and in August 2025, the Board of Directors authorized the repurchase of up to an additional $1.5 billion.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we have repurchased approximately</w:t>
      </w:r>
      <w:r>
        <w:rPr>
          <w:color w:val="000000"/>
        </w:rPr>
        <w:t xml:space="preserve"> </w:t>
      </w:r>
      <w:r>
        <w:rPr>
          <w:rFonts w:ascii="Times New Roman;serif" w:hAnsi="Times New Roman;serif"/>
          <w:b w:val="false"/>
          <w:color w:val="000000"/>
          <w:sz w:val="20"/>
        </w:rPr>
        <w:t>$5.3 billion of outstanding shares of</w:t>
      </w:r>
      <w:r>
        <w:rPr>
          <w:color w:val="000000"/>
          <w:shd w:fill="FFFFFF" w:val="clear"/>
        </w:rPr>
        <w:t xml:space="preserve"> </w:t>
      </w:r>
      <w:r>
        <w:rPr>
          <w:rFonts w:ascii="Times New Roman;serif" w:hAnsi="Times New Roman;serif"/>
          <w:b w:val="false"/>
          <w:color w:val="000000"/>
          <w:sz w:val="20"/>
          <w:shd w:fill="FFFFFF" w:val="clear"/>
        </w:rPr>
        <w:t>our Class A common stock, including under prior authorizations.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or other distributions for the foreseeable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contains restrictions on our ability to pay dividends.</w:t>
      </w:r>
    </w:p>
    <w:p>
      <w:pPr>
        <w:pStyle w:val="TextBody"/>
        <w:bidi w:val="0"/>
        <w:spacing w:before="0" w:after="0"/>
        <w:jc w:val="left"/>
        <w:rPr/>
      </w:pPr>
      <w:r>
        <w:rPr/>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review and audit by U.S. federal, state and local, and non-U.S.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are also required to provide an annual management report on the effectiveness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including as a result of our 2024 reduction in workforce,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will depend in part on the research and reports that securities or industry analysts publish about us or our business. The analysts’ estimates are based upon their own opinions and are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with respect to Dropbox's repurchases of Class A common stock during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 ended September 30, 2025. </w:t>
      </w:r>
    </w:p>
    <w:tbl>
      <w:tblPr>
        <w:tblW w:w="10205" w:type="dxa"/>
        <w:jc w:val="center"/>
        <w:tblInd w:w="0" w:type="dxa"/>
        <w:tblLayout w:type="fixed"/>
        <w:tblCellMar>
          <w:top w:w="28" w:type="dxa"/>
          <w:left w:w="28" w:type="dxa"/>
          <w:bottom w:w="28" w:type="dxa"/>
          <w:right w:w="28" w:type="dxa"/>
        </w:tblCellMar>
      </w:tblPr>
      <w:tblGrid>
        <w:gridCol w:w="464"/>
        <w:gridCol w:w="379"/>
        <w:gridCol w:w="261"/>
        <w:gridCol w:w="109"/>
        <w:gridCol w:w="109"/>
        <w:gridCol w:w="109"/>
        <w:gridCol w:w="519"/>
        <w:gridCol w:w="519"/>
        <w:gridCol w:w="521"/>
        <w:gridCol w:w="109"/>
        <w:gridCol w:w="109"/>
        <w:gridCol w:w="109"/>
        <w:gridCol w:w="291"/>
        <w:gridCol w:w="851"/>
        <w:gridCol w:w="150"/>
        <w:gridCol w:w="109"/>
        <w:gridCol w:w="109"/>
        <w:gridCol w:w="109"/>
        <w:gridCol w:w="702"/>
        <w:gridCol w:w="702"/>
        <w:gridCol w:w="704"/>
        <w:gridCol w:w="109"/>
        <w:gridCol w:w="109"/>
        <w:gridCol w:w="109"/>
        <w:gridCol w:w="482"/>
        <w:gridCol w:w="1994"/>
        <w:gridCol w:w="358"/>
      </w:tblGrid>
      <w:tr>
        <w:trPr/>
        <w:tc>
          <w:tcPr>
            <w:tcW w:w="4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Total Number of Shares Purchased (in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Average Price Paid per Share</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r>
      <w:tr>
        <w:trPr/>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4.80</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 February 2022, our Board of Directors authorized a $1.2 billion share repurchase program, which we completed during the three months ended March 31, 2024. In July 2023, the Board of Directors authorized an additional $1.2 billion program, completed during the three months ended March 31, 2025. In December 2024, the Board of Directors authorized a third $1.2 billion program, under which we continue to repurchase shares. In August 2025, the Board of Directors authorized a new share repurchase program for the purchase of an additional $1.5 billion of shares.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11 "Stockholders' Deficit" for additional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per share includes costs associated with the repurchases, excluding the 1% excise tax imposed as part of the Inflation Reduction 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18"/>
        </w:rPr>
        <w:t>Includes 11,354 shares of restricted common stock withheld by the Company upon vesting of restricted stock awards to satisfy tax withholding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the following directors and officers, as defined in Rule 16a-1(f), adopted a “Rule 10b5-1 trading arrangement” as defined in Regulation S-K Item 408, as follows: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10, 2025, Lisa Campbell, a member of our Board of Directors, adopted a Rule 10b5-1 trading arrangement providing for the sale from time-to-time of an aggregate of up to 4,222 shares of our Class A common stock. The trading arrangement is intended to satisfy the affirmative defense in Rule 10b5-1(c). The duration of the trading arrangement is until May 22, 2026,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other directors or officers, as defined in Rule 16a-1(f), adopted and/or terminated a “Rule 10b5-1 trading arrangement” or a “non-Rule 10b5-1 trading arrangement,” as defined in Regulation S-K Item 408.</w:t>
      </w:r>
    </w:p>
    <w:p>
      <w:pPr>
        <w:pStyle w:val="TextBody"/>
        <w:bidi w:val="0"/>
        <w:spacing w:before="0" w:after="0"/>
        <w:ind w:left="0" w:right="0" w:firstLine="45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31"/>
        <w:gridCol w:w="1422"/>
        <w:gridCol w:w="1438"/>
        <w:gridCol w:w="109"/>
        <w:gridCol w:w="109"/>
        <w:gridCol w:w="109"/>
        <w:gridCol w:w="170"/>
        <w:gridCol w:w="170"/>
        <w:gridCol w:w="171"/>
        <w:gridCol w:w="109"/>
        <w:gridCol w:w="109"/>
        <w:gridCol w:w="109"/>
        <w:gridCol w:w="239"/>
        <w:gridCol w:w="239"/>
        <w:gridCol w:w="240"/>
        <w:gridCol w:w="109"/>
        <w:gridCol w:w="109"/>
        <w:gridCol w:w="109"/>
        <w:gridCol w:w="433"/>
        <w:gridCol w:w="433"/>
        <w:gridCol w:w="434"/>
        <w:gridCol w:w="109"/>
        <w:gridCol w:w="109"/>
        <w:gridCol w:w="109"/>
        <w:gridCol w:w="364"/>
        <w:gridCol w:w="325"/>
        <w:gridCol w:w="2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from 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16"/>
                  <w:u w:val="single"/>
                </w:rPr>
                <w:t>Amendment No. 1 to Credit and Guaranty Agreement, dated as of September 9, 2025, by and among the Company, the guarantors party thereto, the lenders party thereto, the issuing bank and the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9,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5.htm">
              <w:r>
                <w:rPr>
                  <w:rStyle w:val="InternetLink"/>
                  <w:rFonts w:ascii="Times New Roman;serif" w:hAnsi="Times New Roman;serif"/>
                  <w:b w:val="false"/>
                  <w:color w:val="0000FF"/>
                  <w:sz w:val="16"/>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5.htm">
              <w:r>
                <w:rPr>
                  <w:rStyle w:val="InternetLink"/>
                  <w:rFonts w:ascii="Times New Roman;serif" w:hAnsi="Times New Roman;serif"/>
                  <w:b w:val="false"/>
                  <w:color w:val="0000FF"/>
                  <w:sz w:val="16"/>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5.htm">
              <w:r>
                <w:rPr>
                  <w:rStyle w:val="InternetLink"/>
                  <w:rFonts w:ascii="Times New Roman;serif" w:hAnsi="Times New Roman;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Quarterly Report on Form 10-Q for the quarter ended September 30, 2025,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47" w:before="0" w:after="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3af12b3c4d04e959a903bd9332180f2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66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67"/>
        <w:gridCol w:w="167"/>
        <w:gridCol w:w="167"/>
        <w:gridCol w:w="167"/>
        <w:gridCol w:w="167"/>
        <w:gridCol w:w="167"/>
        <w:gridCol w:w="717"/>
        <w:gridCol w:w="717"/>
        <w:gridCol w:w="10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09"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109"/>
        <w:gridCol w:w="109"/>
        <w:gridCol w:w="109"/>
        <w:gridCol w:w="738"/>
        <w:gridCol w:w="738"/>
        <w:gridCol w:w="10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W. Houston,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bl>
      <w:tblPr>
        <w:tblW w:w="35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Timothy J. Regan,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bl>
      <w:tblPr>
        <w:tblW w:w="3471" w:type="dxa"/>
        <w:jc w:val="left"/>
        <w:tblInd w:w="0" w:type="dxa"/>
        <w:tblLayout w:type="fixed"/>
        <w:tblCellMar>
          <w:top w:w="28" w:type="dxa"/>
          <w:left w:w="28" w:type="dxa"/>
          <w:bottom w:w="28" w:type="dxa"/>
          <w:right w:w="28" w:type="dxa"/>
        </w:tblCellMar>
      </w:tblPr>
      <w:tblGrid>
        <w:gridCol w:w="124"/>
        <w:gridCol w:w="109"/>
        <w:gridCol w:w="109"/>
        <w:gridCol w:w="238"/>
        <w:gridCol w:w="238"/>
        <w:gridCol w:w="238"/>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Andrew W. Houston, certify, pursuant to 18 U.S.C. Section 1350, as adopted pursuant to Section 906 of the Sarbanes-Oxley Act of 2002, that the Quarterly Report on Form 10-Q of Dropbox, Inc.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6102" w:type="dxa"/>
        <w:jc w:val="center"/>
        <w:tblInd w:w="0" w:type="dxa"/>
        <w:tblLayout w:type="fixed"/>
        <w:tblCellMar>
          <w:top w:w="28" w:type="dxa"/>
          <w:left w:w="28" w:type="dxa"/>
          <w:bottom w:w="28" w:type="dxa"/>
          <w:right w:w="28" w:type="dxa"/>
        </w:tblCellMar>
      </w:tblPr>
      <w:tblGrid>
        <w:gridCol w:w="244"/>
        <w:gridCol w:w="215"/>
        <w:gridCol w:w="216"/>
        <w:gridCol w:w="624"/>
        <w:gridCol w:w="624"/>
        <w:gridCol w:w="626"/>
        <w:gridCol w:w="238"/>
        <w:gridCol w:w="238"/>
        <w:gridCol w:w="243"/>
        <w:gridCol w:w="829"/>
        <w:gridCol w:w="829"/>
        <w:gridCol w:w="1176"/>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874"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November 7,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p>
            <w:pPr>
              <w:pStyle w:val="TableContents"/>
              <w:bidi w:val="0"/>
              <w:spacing w:before="20" w:after="283"/>
              <w:jc w:val="left"/>
              <w:rPr/>
            </w:pPr>
            <w:r>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Timothy J. Regan, certify, pursuant to 18 U.S.C. Section 1350, as adopted pursuant to Section 906 of the Sarbanes-Oxley Act of 2002, that the Quarterly Report on Form 10-Q of Dropbox, Inc.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6027" w:type="dxa"/>
        <w:jc w:val="center"/>
        <w:tblInd w:w="0" w:type="dxa"/>
        <w:tblLayout w:type="fixed"/>
        <w:tblCellMar>
          <w:top w:w="28" w:type="dxa"/>
          <w:left w:w="28" w:type="dxa"/>
          <w:bottom w:w="28" w:type="dxa"/>
          <w:right w:w="28" w:type="dxa"/>
        </w:tblCellMar>
      </w:tblPr>
      <w:tblGrid>
        <w:gridCol w:w="244"/>
        <w:gridCol w:w="215"/>
        <w:gridCol w:w="216"/>
        <w:gridCol w:w="624"/>
        <w:gridCol w:w="624"/>
        <w:gridCol w:w="626"/>
        <w:gridCol w:w="238"/>
        <w:gridCol w:w="238"/>
        <w:gridCol w:w="243"/>
        <w:gridCol w:w="808"/>
        <w:gridCol w:w="808"/>
        <w:gridCol w:w="114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874"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November 7,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5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7623/000146762325000123/dropbox-amendmentno1toc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54373</Words>
  <Characters>297747</Characters>
  <CharactersWithSpaces>349898</CharactersWithSpaces>
  <Paragraphs>3776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