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309168.xml.htm"/>
      <w:bookmarkStart w:id="1" w:name="kswkform4_177930916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Houston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OWENS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DROPBOX,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DBX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5"/>
        <w:gridCol w:w="904"/>
        <w:gridCol w:w="774"/>
        <w:gridCol w:w="600"/>
        <w:gridCol w:w="343"/>
        <w:gridCol w:w="917"/>
        <w:gridCol w:w="439"/>
        <w:gridCol w:w="658"/>
        <w:gridCol w:w="1305"/>
        <w:gridCol w:w="979"/>
        <w:gridCol w:w="107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30,332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3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30,332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30,332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27.5</w:t>
            </w:r>
            <w:r>
              <w:rPr/>
              <w:t xml:space="preserve"> </w:t>
            </w:r>
          </w:p>
        </w:tc>
        <w:tc>
          <w:tcPr>
            <w:tcW w:w="13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8,266,666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716,728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444,444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</w:tr>
    </w:tbl>
    <w:tbl>
      <w:tblPr>
        <w:tblW w:w="126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1101"/>
        <w:gridCol w:w="801"/>
        <w:gridCol w:w="1071"/>
        <w:gridCol w:w="831"/>
        <w:gridCol w:w="951"/>
      </w:tblGrid>
      <w:tr>
        <w:trPr>
          <w:tblHeader w:val="true"/>
        </w:trPr>
        <w:tc>
          <w:tcPr>
            <w:tcW w:w="126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30,332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30,332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66,328,629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7,608,764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7,608,764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30,332 shares of Class B Common Stock were converted into 30,332 shares of Class A Common Stock at the election of the Reporting Person and had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held by the Andrew Houston Revocable Trust u/a/d 9/7/2011, for which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were sold pursuant to a Rule 10b5-1 trading plan adopted by the Reporting Person on March 12,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Shares held by the Houston Remainder Trust u/a/d 12/30/2010, for which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Shares held by The Erin Yu Houston Revocable Trust u/a/d 1/18/2024, for which the Reporting Person's spouse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Issuer's Class B Common Stock is convertible into the Issuer's Class A Common Stock on a one-for-one basis at the Reporting Person's election and has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Shares held by the Houston 2012 Irrevocable Children's Trust u/a/d 4/12/2012, for which Reporting Person serves as trustee.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Cara Angelmar,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0"/>
        <w:jc w:val="center"/>
        <w:rPr/>
      </w:pPr>
      <w:bookmarkStart w:id="2" w:name="section16powerofattorney.htm"/>
      <w:bookmarkStart w:id="3" w:name="kssection16powerofattorney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7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 xml:space="preserve">1/22/2021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34563" TargetMode="External"/><Relationship Id="rId5" Type="http://schemas.openxmlformats.org/officeDocument/2006/relationships/hyperlink" Target="http://www.sec.gov/cgi-bin/browse-edgar?action=getcompany&amp;CIK=00014676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image" Target="media/image1.jpeg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863</Words>
  <Characters>4580</Characters>
  <CharactersWithSpaces>5342</CharactersWithSpaces>
  <Paragraphs>161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section16powerofattorney</dc:title>
</cp:coreProperties>
</file>