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23"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0"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November 2, 2023</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28"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4" w:right="239" w:bottom="1440" w:gutter="0" w:footer="0" w:header="0"/>
        </w:sectPr>
      </w:pP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4"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4" w:right="239" w:bottom="1440" w:gutter="0" w:footer="0" w:header="0"/>
          <w:type w:val="continuous"/>
        </w:sectPr>
      </w:pPr>
    </w:p>
    <w:p>
      <w:pPr>
        <w:spacing w:after="0" w:line="31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4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6"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85"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86995</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55"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2180" w:type="dxa"/>
            <w:vAlign w:val="bottom"/>
          </w:tcPr>
          <w:p>
            <w:pPr>
              <w:spacing w:after="0"/>
              <w:rPr>
                <w:sz w:val="14"/>
                <w:szCs w:val="14"/>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Trading Symbol(s)</w:t>
            </w:r>
          </w:p>
        </w:tc>
        <w:tc>
          <w:tcPr>
            <w:tcW w:w="3100" w:type="dxa"/>
            <w:vAlign w:val="bottom"/>
            <w:gridSpan w:val="2"/>
          </w:tcPr>
          <w:p>
            <w:pPr>
              <w:jc w:val="center"/>
              <w:ind w:left="709"/>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Arial" w:cs="Arial" w:eastAsia="Arial" w:hAnsi="Arial"/>
                <w:sz w:val="14"/>
                <w:szCs w:val="14"/>
                <w:color w:val="auto"/>
                <w:w w:val="90"/>
              </w:rPr>
              <w:t>Class A Common Stock, par value $0.00001 per share</w:t>
            </w: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3"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312" w:lineRule="exact"/>
        <w:rPr>
          <w:sz w:val="24"/>
          <w:szCs w:val="24"/>
          <w:color w:val="auto"/>
        </w:rPr>
      </w:pPr>
    </w:p>
    <w:p>
      <w:pPr>
        <w:ind w:right="260"/>
        <w:spacing w:after="0" w:line="26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657860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2, 2023, Dropbox, Inc. (“Dropbox” or the "Company") issued a press release and will hold a conference call announcing its financial results for the quarter ended September 30, 2023. A copy of the press release is attached as Exhibit 99.1 to this current report on Form 8-K and is incorporated by reference herein.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November 2, 2023,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16" w:lineRule="exact"/>
        <w:rPr>
          <w:sz w:val="20"/>
          <w:szCs w:val="20"/>
          <w:color w:val="auto"/>
        </w:rPr>
      </w:pPr>
    </w:p>
    <w:p>
      <w:pPr>
        <w:ind w:right="260"/>
        <w:spacing w:after="0" w:line="330"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5"/>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00" w:type="dxa"/>
            <w:vAlign w:val="bottom"/>
            <w:gridSpan w:val="2"/>
          </w:tcPr>
          <w:p>
            <w:pPr>
              <w:jc w:val="right"/>
              <w:ind w:right="292"/>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
          </w:tcPr>
          <w:p>
            <w:pPr>
              <w:spacing w:after="0" w:line="180" w:lineRule="exact"/>
              <w:rPr>
                <w:sz w:val="20"/>
                <w:szCs w:val="20"/>
                <w:color w:val="auto"/>
              </w:rPr>
            </w:pPr>
            <w:r>
              <w:rPr>
                <w:rFonts w:ascii="Arial" w:cs="Arial" w:eastAsia="Arial" w:hAnsi="Arial"/>
                <w:sz w:val="18"/>
                <w:szCs w:val="18"/>
                <w:color w:val="0000FF"/>
              </w:rPr>
              <w:t>Press Release entitled "Dropbox Announces Fiscal 2023 Third Quarter Results" dated November 2, 2023</w:t>
            </w:r>
          </w:p>
        </w:tc>
      </w:tr>
      <w:tr>
        <w:trPr>
          <w:trHeight w:val="1207"/>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40" w:type="dxa"/>
            <w:vAlign w:val="bottom"/>
            <w:tcBorders>
              <w:top w:val="single" w:sz="8" w:color="0000FF"/>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2023</w:t>
      </w:r>
    </w:p>
    <w:p>
      <w:pPr>
        <w:spacing w:after="0" w:line="34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80"/>
          </w:cols>
          <w:pgMar w:left="320" w:top="877" w:right="499" w:bottom="1440" w:gutter="0" w:footer="0" w:header="0"/>
        </w:sectPr>
      </w:pPr>
    </w:p>
    <w:bookmarkStart w:id="3" w:name="page4"/>
    <w:bookmarkEnd w:id="3"/>
    <w:p>
      <w:pPr>
        <w:ind w:left="3860"/>
        <w:spacing w:after="0"/>
        <w:rPr>
          <w:sz w:val="20"/>
          <w:szCs w:val="20"/>
          <w:color w:val="auto"/>
        </w:rPr>
      </w:pPr>
      <w:r>
        <w:rPr>
          <w:rFonts w:ascii="Arial" w:cs="Arial" w:eastAsia="Arial" w:hAnsi="Arial"/>
          <w:sz w:val="18"/>
          <w:szCs w:val="18"/>
          <w:b w:val="1"/>
          <w:bCs w:val="1"/>
          <w:color w:val="auto"/>
        </w:rPr>
        <w:t>Dropbox Announces Fiscal 2023 Third Quarter Results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Third Quarter Revenue of $633.0 Million, up 7.1% year-over-year; on a constant currency basis, up 8.3% year-over-year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Net Cash Provided by Operating Activities of $255.9 Million and Free Cash Flow of $246.5 Million</w:t>
      </w:r>
    </w:p>
    <w:p>
      <w:pPr>
        <w:spacing w:after="0" w:line="227" w:lineRule="exact"/>
        <w:rPr>
          <w:sz w:val="20"/>
          <w:szCs w:val="20"/>
          <w:color w:val="auto"/>
        </w:rPr>
      </w:pPr>
    </w:p>
    <w:p>
      <w:pPr>
        <w:ind w:right="1000"/>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November 2, 2023 - Dropbox, Inc. (NASDAQ: DBX), today announced financial results for its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2023.</w:t>
      </w:r>
    </w:p>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Q3, we delivered a solid quarter, beating our revenue guidance and driving better than expected profitability,” said Dropbox Co-Founder and Chief Executive Officer Drew Houston. “We also released Dropbox Dash into open beta, redesigned the core Dropbox web experience, and introduced new business plans that seamlessly integrate workflow solutions beyond storage. We continue to see an opportunity to leverage AI and machine learning to improve the experience of distributed work that will provide long term value for our customers and shareholders.”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2023 Results</w:t>
      </w:r>
    </w:p>
    <w:p>
      <w:pPr>
        <w:spacing w:after="0" w:line="250" w:lineRule="exact"/>
        <w:rPr>
          <w:sz w:val="20"/>
          <w:szCs w:val="20"/>
          <w:color w:val="auto"/>
        </w:rPr>
      </w:pPr>
    </w:p>
    <w:p>
      <w:pPr>
        <w:ind w:left="640" w:right="300" w:hanging="316"/>
        <w:spacing w:after="0" w:line="282"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$633.0 million, an increase of 7.1% from the same period last year. On a constant currency basis, year-over-year growth would have been 8.3%.</w:t>
      </w:r>
      <w:r>
        <w:rPr>
          <w:rFonts w:ascii="Arial" w:cs="Arial" w:eastAsia="Arial" w:hAnsi="Arial"/>
          <w:sz w:val="22"/>
          <w:szCs w:val="22"/>
          <w:color w:val="auto"/>
          <w:vertAlign w:val="superscript"/>
        </w:rPr>
        <w:t>(1)</w:t>
      </w:r>
    </w:p>
    <w:p>
      <w:pPr>
        <w:spacing w:after="0" w:line="122" w:lineRule="exact"/>
        <w:rPr>
          <w:rFonts w:ascii="Arial" w:cs="Arial" w:eastAsia="Arial" w:hAnsi="Arial"/>
          <w:sz w:val="18"/>
          <w:szCs w:val="18"/>
          <w:color w:val="auto"/>
        </w:rPr>
      </w:pPr>
    </w:p>
    <w:p>
      <w:pPr>
        <w:ind w:left="640" w:right="120" w:hanging="316"/>
        <w:spacing w:after="0" w:line="282"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ARR ended at $2.525 billion, an increase of 3.8% from the same period last year. On a constant currency basis, Total ARR grew $24.5 million quarter-over-quarter, and year-over-year growth would have been 7.5%.</w:t>
      </w:r>
      <w:r>
        <w:rPr>
          <w:rFonts w:ascii="Arial" w:cs="Arial" w:eastAsia="Arial" w:hAnsi="Arial"/>
          <w:sz w:val="22"/>
          <w:szCs w:val="22"/>
          <w:color w:val="auto"/>
          <w:vertAlign w:val="superscript"/>
        </w:rPr>
        <w:t>(2)</w:t>
      </w:r>
    </w:p>
    <w:p>
      <w:pPr>
        <w:spacing w:after="0" w:line="122" w:lineRule="exact"/>
        <w:rPr>
          <w:rFonts w:ascii="Arial" w:cs="Arial" w:eastAsia="Arial" w:hAnsi="Arial"/>
          <w:sz w:val="18"/>
          <w:szCs w:val="18"/>
          <w:color w:val="auto"/>
        </w:rPr>
      </w:pPr>
    </w:p>
    <w:p>
      <w:pPr>
        <w:ind w:left="640" w:right="28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ended at 18.17 million, as compared to 17.55 million for the same period last year. Average revenue per paying user was $138.71, as compared to $134.31 for the same period last year.</w:t>
      </w:r>
    </w:p>
    <w:p>
      <w:pPr>
        <w:spacing w:after="0" w:line="206" w:lineRule="exact"/>
        <w:rPr>
          <w:rFonts w:ascii="Arial" w:cs="Arial" w:eastAsia="Arial" w:hAnsi="Arial"/>
          <w:sz w:val="18"/>
          <w:szCs w:val="18"/>
          <w:color w:val="auto"/>
        </w:rPr>
      </w:pPr>
    </w:p>
    <w:p>
      <w:pPr>
        <w:ind w:left="640" w:right="2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81.1%, as compared to 81.4% for the same period last year. Non-GAAP gross margin was 82.6%, as compared to 82.9% for the same period last year.</w:t>
      </w:r>
    </w:p>
    <w:p>
      <w:pPr>
        <w:spacing w:after="0" w:line="206" w:lineRule="exact"/>
        <w:rPr>
          <w:rFonts w:ascii="Arial" w:cs="Arial" w:eastAsia="Arial" w:hAnsi="Arial"/>
          <w:sz w:val="18"/>
          <w:szCs w:val="18"/>
          <w:color w:val="auto"/>
        </w:rPr>
      </w:pPr>
    </w:p>
    <w:p>
      <w:pPr>
        <w:ind w:left="640" w:right="18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20.6%, as compared to 15.1% for the same period last year. Non-GAAP operating margin was 36.0%, as compared to 31.6% for the same period last year.</w:t>
      </w:r>
    </w:p>
    <w:p>
      <w:pPr>
        <w:spacing w:after="0" w:line="206" w:lineRule="exact"/>
        <w:rPr>
          <w:rFonts w:ascii="Arial" w:cs="Arial" w:eastAsia="Arial" w:hAnsi="Arial"/>
          <w:sz w:val="18"/>
          <w:szCs w:val="18"/>
          <w:color w:val="auto"/>
        </w:rPr>
      </w:pPr>
    </w:p>
    <w:p>
      <w:pPr>
        <w:ind w:left="640" w:right="30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income was $114.1 million, as compared to $83.2 million for the same period last year. Non-GAAP net income was $194.1 million, as compared to $153.1 million for the same period last year.</w:t>
      </w:r>
    </w:p>
    <w:p>
      <w:pPr>
        <w:spacing w:after="0" w:line="206" w:lineRule="exact"/>
        <w:rPr>
          <w:rFonts w:ascii="Arial" w:cs="Arial" w:eastAsia="Arial" w:hAnsi="Arial"/>
          <w:sz w:val="18"/>
          <w:szCs w:val="18"/>
          <w:color w:val="auto"/>
        </w:rPr>
      </w:pPr>
    </w:p>
    <w:p>
      <w:pPr>
        <w:ind w:left="640" w:right="4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$255.9 million, as compared to $251.4 million for the same period last year. Free cash flow was $246.5 million, as compared to $245.2 million for the same period last year.</w:t>
      </w:r>
    </w:p>
    <w:p>
      <w:pPr>
        <w:spacing w:after="0" w:line="206" w:lineRule="exact"/>
        <w:rPr>
          <w:rFonts w:ascii="Arial" w:cs="Arial" w:eastAsia="Arial" w:hAnsi="Arial"/>
          <w:sz w:val="18"/>
          <w:szCs w:val="18"/>
          <w:color w:val="auto"/>
        </w:rPr>
      </w:pPr>
    </w:p>
    <w:p>
      <w:pPr>
        <w:ind w:left="640" w:right="180" w:hanging="316"/>
        <w:spacing w:after="0" w:line="335" w:lineRule="auto"/>
        <w:tabs>
          <w:tab w:leader="none" w:pos="635" w:val="left"/>
        </w:tabs>
        <w:numPr>
          <w:ilvl w:val="1"/>
          <w:numId w:val="2"/>
        </w:numPr>
        <w:rPr>
          <w:rFonts w:ascii="Arial" w:cs="Arial" w:eastAsia="Arial" w:hAnsi="Arial"/>
          <w:sz w:val="16"/>
          <w:szCs w:val="16"/>
          <w:color w:val="auto"/>
        </w:rPr>
      </w:pPr>
      <w:r>
        <w:rPr>
          <w:rFonts w:ascii="Arial" w:cs="Arial" w:eastAsia="Arial" w:hAnsi="Arial"/>
          <w:sz w:val="16"/>
          <w:szCs w:val="16"/>
          <w:color w:val="auto"/>
        </w:rPr>
        <w:t>GAAP diluted net income per share attributable to common stockholders was $0.33, as compared to $0.23 in the same period last year. Non-GAAP diluted net income per share attributable to common stockholders was $0.56, as compared to $0.43 in the same period last year.</w:t>
      </w:r>
      <w:r>
        <w:rPr>
          <w:rFonts w:ascii="Arial" w:cs="Arial" w:eastAsia="Arial" w:hAnsi="Arial"/>
          <w:sz w:val="20"/>
          <w:szCs w:val="20"/>
          <w:color w:val="auto"/>
          <w:vertAlign w:val="superscript"/>
        </w:rPr>
        <w:t>(3)</w:t>
      </w:r>
    </w:p>
    <w:p>
      <w:pPr>
        <w:spacing w:after="0" w:line="85" w:lineRule="exact"/>
        <w:rPr>
          <w:rFonts w:ascii="Arial" w:cs="Arial" w:eastAsia="Arial" w:hAnsi="Arial"/>
          <w:sz w:val="16"/>
          <w:szCs w:val="16"/>
          <w:color w:val="auto"/>
        </w:rPr>
      </w:pPr>
    </w:p>
    <w:p>
      <w:pPr>
        <w:ind w:left="640" w:hanging="316"/>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$1.309 billion.</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160" w:hanging="154"/>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60" w:firstLine="6"/>
        <w:spacing w:after="0" w:line="305" w:lineRule="auto"/>
        <w:tabs>
          <w:tab w:leader="none" w:pos="146"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pacing w:after="0" w:line="194" w:lineRule="exact"/>
        <w:rPr>
          <w:rFonts w:ascii="Arial" w:cs="Arial" w:eastAsia="Arial" w:hAnsi="Arial"/>
          <w:sz w:val="17"/>
          <w:szCs w:val="17"/>
          <w:color w:val="auto"/>
          <w:vertAlign w:val="superscript"/>
        </w:rPr>
      </w:pPr>
    </w:p>
    <w:p>
      <w:pPr>
        <w:ind w:right="40" w:firstLine="6"/>
        <w:spacing w:after="0" w:line="274" w:lineRule="auto"/>
        <w:tabs>
          <w:tab w:leader="none" w:pos="162"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GAAP and Non-GAAP diluted net income per share attributable to common stockholders is calculated based upon 346.0 million and 360.1 million diluted weighted-average shares of common stock for the three months ended September 30, 2023 and 2022, respectively.</w:t>
      </w:r>
    </w:p>
    <w:p>
      <w:pPr>
        <w:sectPr>
          <w:pgSz w:w="11900" w:h="16838" w:orient="portrait"/>
          <w:cols w:equalWidth="0" w:num="1">
            <w:col w:w="11240"/>
          </w:cols>
          <w:pgMar w:left="320" w:top="87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50"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0"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Dropbox plans to host a conference call today to review its third quarter financial results and to discuss its financial outlook. This call is scheduled to begin at 2:00 p.m. PT / 5:00 p.m. ET and can be accessed by using the web link at http://investors.dropbox.com.</w:t>
      </w:r>
    </w:p>
    <w:p>
      <w:pPr>
        <w:spacing w:after="0" w:line="206"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0"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ind w:right="180"/>
        <w:spacing w:after="0" w:line="297"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distributed work and artificial intelligence and machine learning trends, related market opportunities and our ability to capitalize on those opportunities.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w:t>
      </w:r>
    </w:p>
    <w:p>
      <w:pPr>
        <w:spacing w:after="0" w:line="3" w:lineRule="exact"/>
        <w:rPr>
          <w:sz w:val="20"/>
          <w:szCs w:val="20"/>
          <w:color w:val="auto"/>
        </w:rPr>
      </w:pPr>
    </w:p>
    <w:p>
      <w:pPr>
        <w:ind w:firstLine="6"/>
        <w:spacing w:after="0" w:line="299" w:lineRule="auto"/>
        <w:tabs>
          <w:tab w:leader="none" w:pos="309"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transition to a Virtual First model with an increasingly distributed workforce and in light of the reduction of our workforce announced earlier this year;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June 30, 2023. Additional information will be made available in our quarterly report on Form 10-Q for the quarter ended September 30, 2023 and other reports that we may file with the SEC from time to time, which could cause actual results to vary from expectations. If the risks</w:t>
      </w:r>
    </w:p>
    <w:p>
      <w:pPr>
        <w:sectPr>
          <w:pgSz w:w="11900" w:h="16838" w:orient="portrait"/>
          <w:cols w:equalWidth="0" w:num="1">
            <w:col w:w="11240"/>
          </w:cols>
          <w:pgMar w:left="320" w:top="877" w:right="3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t>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0900"/>
          </w:cols>
          <w:pgMar w:left="320" w:top="883" w:right="679" w:bottom="1440" w:gutter="0" w:footer="0" w:header="0"/>
        </w:sectPr>
      </w:pPr>
    </w:p>
    <w:bookmarkStart w:id="6" w:name="page7"/>
    <w:bookmarkEnd w:id="6"/>
    <w:p>
      <w:pPr>
        <w:jc w:val="center"/>
        <w:ind w:right="-1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2"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1" w:lineRule="exact"/>
        <w:rPr>
          <w:sz w:val="20"/>
          <w:szCs w:val="20"/>
          <w:color w:val="auto"/>
        </w:rPr>
      </w:pPr>
    </w:p>
    <w:tbl>
      <w:tblPr>
        <w:tblLayout w:type="fixed"/>
        <w:tblInd w:w="14"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308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w w:val="95"/>
              </w:rPr>
              <w:t>September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1,726.1</w:t>
            </w:r>
          </w:p>
        </w:tc>
        <w:tc>
          <w:tcPr>
            <w:tcW w:w="0" w:type="dxa"/>
            <w:vAlign w:val="bottom"/>
          </w:tcPr>
          <w:p>
            <w:pPr>
              <w:spacing w:after="0"/>
              <w:rPr>
                <w:sz w:val="1"/>
                <w:szCs w:val="1"/>
                <w:color w:val="auto"/>
              </w:rPr>
            </w:pPr>
          </w:p>
        </w:tc>
      </w:tr>
      <w:tr>
        <w:trPr>
          <w:trHeight w:val="226"/>
        </w:trPr>
        <w:tc>
          <w:tcPr>
            <w:tcW w:w="3760" w:type="dxa"/>
            <w:vAlign w:val="bottom"/>
            <w:tcBorders>
              <w:bottom w:val="single" w:sz="8" w:color="CCEEFF"/>
            </w:tcBorders>
          </w:tcPr>
          <w:p>
            <w:pPr>
              <w:ind w:left="26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(1)(2)</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(1)(2)</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25"/>
        </w:trPr>
        <w:tc>
          <w:tcPr>
            <w:tcW w:w="37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6"/>
        </w:trPr>
        <w:tc>
          <w:tcPr>
            <w:tcW w:w="3760" w:type="dxa"/>
            <w:vAlign w:val="bottom"/>
          </w:tcPr>
          <w:p>
            <w:pPr>
              <w:ind w:left="220"/>
              <w:spacing w:after="0" w:line="225"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2"/>
                <w:szCs w:val="22"/>
                <w:color w:val="auto"/>
                <w:vertAlign w:val="superscript"/>
              </w:rPr>
              <w:t>(3)</w:t>
            </w:r>
          </w:p>
        </w:tc>
        <w:tc>
          <w:tcPr>
            <w:tcW w:w="1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9"/>
        </w:trPr>
        <w:tc>
          <w:tcPr>
            <w:tcW w:w="37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line="205" w:lineRule="exact"/>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6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ind w:right="972"/>
              <w:spacing w:after="0" w:line="199"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0.34</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ind w:right="992"/>
              <w:spacing w:after="0" w:line="199"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9"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0.66</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32"/>
              <w:spacing w:after="0" w:line="199"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7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Diluted net income per share</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4"/>
          </w:cols>
          <w:pgMar w:left="326" w:top="881" w:right="359" w:bottom="1440" w:gutter="0" w:footer="0" w:header="0"/>
        </w:sectPr>
      </w:pPr>
    </w:p>
    <w:p>
      <w:pPr>
        <w:ind w:left="194" w:hanging="158"/>
        <w:spacing w:after="0" w:line="258" w:lineRule="auto"/>
        <w:rPr>
          <w:sz w:val="20"/>
          <w:szCs w:val="20"/>
          <w:color w:val="auto"/>
        </w:rPr>
      </w:pPr>
      <w:r>
        <w:rPr>
          <w:rFonts w:ascii="Arial" w:cs="Arial" w:eastAsia="Arial" w:hAnsi="Arial"/>
          <w:sz w:val="15"/>
          <w:szCs w:val="15"/>
          <w:color w:val="auto"/>
        </w:rPr>
        <w:t>Weighted-average shares used in computing net income per share attributable to common</w:t>
      </w:r>
    </w:p>
    <w:p>
      <w:pPr>
        <w:spacing w:after="0" w:line="1" w:lineRule="exact"/>
        <w:rPr>
          <w:sz w:val="20"/>
          <w:szCs w:val="20"/>
          <w:color w:val="auto"/>
        </w:rPr>
      </w:pPr>
    </w:p>
    <w:p>
      <w:pPr>
        <w:ind w:left="194"/>
        <w:spacing w:after="0"/>
        <w:rPr>
          <w:sz w:val="20"/>
          <w:szCs w:val="20"/>
          <w:color w:val="auto"/>
        </w:rPr>
      </w:pPr>
      <w:r>
        <w:rPr>
          <w:rFonts w:ascii="Arial" w:cs="Arial" w:eastAsia="Arial" w:hAnsi="Arial"/>
          <w:sz w:val="18"/>
          <w:szCs w:val="18"/>
          <w:color w:val="auto"/>
        </w:rPr>
        <w:t>stockholders, basic</w:t>
      </w:r>
    </w:p>
    <w:p>
      <w:pPr>
        <w:spacing w:after="0" w:line="5" w:lineRule="exact"/>
        <w:rPr>
          <w:sz w:val="20"/>
          <w:szCs w:val="20"/>
          <w:color w:val="auto"/>
        </w:rPr>
      </w:pPr>
    </w:p>
    <w:p>
      <w:pPr>
        <w:ind w:left="194" w:hanging="158"/>
        <w:spacing w:after="0" w:line="258" w:lineRule="auto"/>
        <w:rPr>
          <w:sz w:val="20"/>
          <w:szCs w:val="20"/>
          <w:color w:val="auto"/>
        </w:rPr>
      </w:pPr>
      <w:r>
        <w:rPr>
          <w:rFonts w:ascii="Arial" w:cs="Arial" w:eastAsia="Arial" w:hAnsi="Arial"/>
          <w:sz w:val="15"/>
          <w:szCs w:val="15"/>
          <w:color w:val="auto"/>
        </w:rPr>
        <w:t>Weighted-average shares used in computing net income per share attributable to common</w:t>
      </w:r>
    </w:p>
    <w:p>
      <w:pPr>
        <w:spacing w:after="0" w:line="1" w:lineRule="exact"/>
        <w:rPr>
          <w:sz w:val="20"/>
          <w:szCs w:val="20"/>
          <w:color w:val="auto"/>
        </w:rPr>
      </w:pPr>
    </w:p>
    <w:p>
      <w:pPr>
        <w:ind w:left="194"/>
        <w:spacing w:after="0"/>
        <w:rPr>
          <w:sz w:val="20"/>
          <w:szCs w:val="20"/>
          <w:color w:val="auto"/>
        </w:rPr>
      </w:pPr>
      <w:r>
        <w:rPr>
          <w:rFonts w:ascii="Arial" w:cs="Arial" w:eastAsia="Arial" w:hAnsi="Arial"/>
          <w:sz w:val="18"/>
          <w:szCs w:val="18"/>
          <w:color w:val="auto"/>
        </w:rPr>
        <w:t>stockholders, diluted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523"/>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12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-386715</wp:posOffset>
            </wp:positionV>
            <wp:extent cx="7117715" cy="37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370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-749300</wp:posOffset>
            </wp:positionV>
            <wp:extent cx="472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25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14" w:space="360"/>
            <w:col w:w="7440"/>
          </w:cols>
          <w:pgMar w:left="326" w:top="881" w:right="359" w:bottom="1440" w:gutter="0" w:footer="0" w:header="0"/>
          <w:type w:val="continuous"/>
        </w:sectPr>
      </w:pPr>
    </w:p>
    <w:p>
      <w:pPr>
        <w:spacing w:after="0" w:line="119" w:lineRule="exact"/>
        <w:rPr>
          <w:sz w:val="20"/>
          <w:szCs w:val="20"/>
          <w:color w:val="auto"/>
        </w:rPr>
      </w:pPr>
    </w:p>
    <w:p>
      <w:pPr>
        <w:ind w:left="154" w:hanging="154"/>
        <w:spacing w:after="0"/>
        <w:tabs>
          <w:tab w:leader="none" w:pos="154"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Includes stock-based compensation expense as follows (in millions):</w:t>
      </w:r>
    </w:p>
    <w:p>
      <w:pPr>
        <w:spacing w:after="0" w:line="77"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3100" w:type="dxa"/>
            <w:vAlign w:val="bottom"/>
            <w:gridSpan w:val="4"/>
          </w:tcPr>
          <w:p>
            <w:pPr>
              <w:jc w:val="center"/>
              <w:ind w:left="452"/>
              <w:spacing w:after="0"/>
              <w:rPr>
                <w:sz w:val="20"/>
                <w:szCs w:val="20"/>
                <w:color w:val="auto"/>
              </w:rPr>
            </w:pPr>
            <w:r>
              <w:rPr>
                <w:rFonts w:ascii="Arial" w:cs="Arial" w:eastAsia="Arial" w:hAnsi="Arial"/>
                <w:sz w:val="18"/>
                <w:szCs w:val="18"/>
                <w:b w:val="1"/>
                <w:bCs w:val="1"/>
                <w:color w:val="auto"/>
                <w:w w:val="89"/>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Nine Months Ended</w:t>
            </w:r>
          </w:p>
        </w:tc>
        <w:tc>
          <w:tcPr>
            <w:tcW w:w="10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532"/>
              <w:spacing w:after="0"/>
              <w:rPr>
                <w:sz w:val="20"/>
                <w:szCs w:val="20"/>
                <w:color w:val="auto"/>
              </w:rPr>
            </w:pPr>
            <w:r>
              <w:rPr>
                <w:rFonts w:ascii="Arial" w:cs="Arial" w:eastAsia="Arial" w:hAnsi="Arial"/>
                <w:sz w:val="18"/>
                <w:szCs w:val="18"/>
                <w:b w:val="1"/>
                <w:bCs w:val="1"/>
                <w:color w:val="auto"/>
                <w:w w:val="87"/>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84"/>
              </w:rPr>
              <w:t>2022</w:t>
            </w:r>
          </w:p>
        </w:tc>
      </w:tr>
      <w:tr>
        <w:trPr>
          <w:trHeight w:val="219"/>
        </w:trPr>
        <w:tc>
          <w:tcPr>
            <w:tcW w:w="37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Cost of revenue</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6"/>
        </w:trPr>
        <w:tc>
          <w:tcPr>
            <w:tcW w:w="374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(4)</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4"/>
        </w:trPr>
        <w:tc>
          <w:tcPr>
            <w:tcW w:w="37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w:t>
            </w:r>
          </w:p>
        </w:tc>
      </w:tr>
    </w:tbl>
    <w:p>
      <w:pPr>
        <w:spacing w:after="0" w:line="306" w:lineRule="exact"/>
        <w:rPr>
          <w:sz w:val="20"/>
          <w:szCs w:val="20"/>
          <w:color w:val="auto"/>
        </w:rPr>
      </w:pPr>
    </w:p>
    <w:p>
      <w:pPr>
        <w:ind w:left="154" w:hanging="154"/>
        <w:spacing w:after="0"/>
        <w:tabs>
          <w:tab w:leader="none" w:pos="154"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our reduction in workforce such as severance, benefits and other related items during the three and nine months ended September 30, 2023.</w:t>
      </w:r>
    </w:p>
    <w:p>
      <w:pPr>
        <w:spacing w:after="0" w:line="233" w:lineRule="exact"/>
        <w:rPr>
          <w:rFonts w:ascii="Arial" w:cs="Arial" w:eastAsia="Arial" w:hAnsi="Arial"/>
          <w:sz w:val="18"/>
          <w:szCs w:val="18"/>
          <w:color w:val="auto"/>
          <w:vertAlign w:val="superscript"/>
        </w:rPr>
      </w:pPr>
    </w:p>
    <w:p>
      <w:pPr>
        <w:ind w:left="-6" w:right="200" w:firstLine="6"/>
        <w:spacing w:after="0" w:line="311" w:lineRule="auto"/>
        <w:tabs>
          <w:tab w:leader="none" w:pos="14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Includes impairment charges related to real estate assets as a result of changes in the corporate real estate market which has impacted the Company's subleasing strategy in conjunction with the Company's Virtual First model.</w:t>
      </w:r>
    </w:p>
    <w:p>
      <w:pPr>
        <w:spacing w:after="0" w:line="176" w:lineRule="exact"/>
        <w:rPr>
          <w:rFonts w:ascii="Arial" w:cs="Arial" w:eastAsia="Arial" w:hAnsi="Arial"/>
          <w:sz w:val="17"/>
          <w:szCs w:val="17"/>
          <w:color w:val="auto"/>
          <w:vertAlign w:val="superscript"/>
        </w:rPr>
      </w:pPr>
    </w:p>
    <w:p>
      <w:pPr>
        <w:ind w:left="-6" w:right="320" w:firstLine="6"/>
        <w:spacing w:after="0" w:line="311" w:lineRule="auto"/>
        <w:tabs>
          <w:tab w:leader="none" w:pos="14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On March 15, 2023, the Company's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214"/>
          </w:cols>
          <w:pgMar w:left="326" w:top="881"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2"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r>
      <w:tr>
        <w:trPr>
          <w:trHeight w:val="219"/>
        </w:trPr>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Pr>
          <w:p>
            <w:pPr>
              <w:spacing w:after="0"/>
              <w:rPr>
                <w:sz w:val="19"/>
                <w:szCs w:val="19"/>
                <w:color w:val="auto"/>
              </w:rPr>
            </w:pPr>
          </w:p>
        </w:tc>
        <w:tc>
          <w:tcPr>
            <w:tcW w:w="1940" w:type="dxa"/>
            <w:vAlign w:val="bottom"/>
          </w:tcPr>
          <w:p>
            <w:pPr>
              <w:jc w:val="right"/>
              <w:ind w:right="292"/>
              <w:spacing w:after="0"/>
              <w:rPr>
                <w:sz w:val="20"/>
                <w:szCs w:val="20"/>
                <w:color w:val="auto"/>
              </w:rPr>
            </w:pPr>
            <w:r>
              <w:rPr>
                <w:rFonts w:ascii="Arial" w:cs="Arial" w:eastAsia="Arial" w:hAnsi="Arial"/>
                <w:sz w:val="18"/>
                <w:szCs w:val="18"/>
                <w:b w:val="1"/>
                <w:bCs w:val="1"/>
                <w:color w:val="auto"/>
                <w:w w:val="94"/>
              </w:rPr>
              <w:t>December 31, 2022</w:t>
            </w:r>
          </w:p>
        </w:tc>
      </w:tr>
      <w:tr>
        <w:trPr>
          <w:trHeight w:val="206"/>
        </w:trPr>
        <w:tc>
          <w:tcPr>
            <w:tcW w:w="66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704.6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1,110.6</w:t>
            </w: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25"/>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19"/>
        </w:trPr>
        <w:tc>
          <w:tcPr>
            <w:tcW w:w="6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w:t>
            </w: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308.4</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498.7</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18"/>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3"/>
        </w:trPr>
        <w:tc>
          <w:tcPr>
            <w:tcW w:w="668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obligation</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25"/>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r>
      <w:tr>
        <w:trPr>
          <w:trHeight w:val="219"/>
        </w:trPr>
        <w:tc>
          <w:tcPr>
            <w:tcW w:w="6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w:t>
            </w: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 non-current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Convertible senior notes, net, non-current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1,374.0</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18"/>
        </w:trPr>
        <w:tc>
          <w:tcPr>
            <w:tcW w:w="668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w:t>
            </w:r>
          </w:p>
        </w:tc>
      </w:tr>
      <w:tr>
        <w:trPr>
          <w:trHeight w:val="206"/>
        </w:trPr>
        <w:tc>
          <w:tcPr>
            <w:tcW w:w="6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2,561.3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2,511.6</w:t>
            </w: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(2,772.1)</w:t>
            </w:r>
          </w:p>
        </w:tc>
      </w:tr>
      <w:tr>
        <w:trPr>
          <w:trHeight w:val="225"/>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19"/>
        </w:trPr>
        <w:tc>
          <w:tcPr>
            <w:tcW w:w="6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stockholders' deficit</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r>
      <w:tr>
        <w:trPr>
          <w:trHeight w:val="218"/>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3,110.1</w:t>
            </w: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8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2"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82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7"/>
              </w:rPr>
              <w:t>Nine Months Ended</w:t>
            </w:r>
          </w:p>
        </w:tc>
      </w:tr>
      <w:tr>
        <w:trPr>
          <w:trHeight w:val="210"/>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September 30,</w:t>
            </w:r>
          </w:p>
        </w:tc>
      </w:tr>
      <w:tr>
        <w:trPr>
          <w:trHeight w:val="206"/>
        </w:trPr>
        <w:tc>
          <w:tcPr>
            <w:tcW w:w="70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r>
      <w:tr>
        <w:trPr>
          <w:trHeight w:val="19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226.3</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224.9</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Non-cash operating lease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602.7</w:t>
            </w:r>
          </w:p>
        </w:tc>
      </w:tr>
      <w:tr>
        <w:trPr>
          <w:trHeight w:val="19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154.2</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Proceeds from sales of equity investments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investing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r>
      <w:tr>
        <w:trPr>
          <w:trHeight w:val="19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1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Common stock repurchases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w:t>
            </w:r>
          </w:p>
        </w:tc>
      </w:tr>
      <w:tr>
        <w:trPr>
          <w:trHeight w:val="20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(807.7)</w:t>
            </w:r>
          </w:p>
        </w:tc>
      </w:tr>
      <w:tr>
        <w:trPr>
          <w:trHeight w:val="203"/>
        </w:trPr>
        <w:tc>
          <w:tcPr>
            <w:tcW w:w="70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and cash equivalents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r>
      <w:tr>
        <w:trPr>
          <w:trHeight w:val="21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533.0</w:t>
            </w:r>
          </w:p>
        </w:tc>
      </w:tr>
      <w:tr>
        <w:trPr>
          <w:trHeight w:val="23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r>
      <w:tr>
        <w:trPr>
          <w:trHeight w:val="203"/>
        </w:trPr>
        <w:tc>
          <w:tcPr>
            <w:tcW w:w="7060" w:type="dxa"/>
            <w:vAlign w:val="bottom"/>
          </w:tcPr>
          <w:p>
            <w:pPr>
              <w:ind w:left="640"/>
              <w:spacing w:after="0"/>
              <w:rPr>
                <w:sz w:val="20"/>
                <w:szCs w:val="20"/>
                <w:color w:val="auto"/>
              </w:rPr>
            </w:pPr>
            <w:r>
              <w:rPr>
                <w:rFonts w:ascii="Arial" w:cs="Arial" w:eastAsia="Arial" w:hAnsi="Arial"/>
                <w:sz w:val="16"/>
                <w:szCs w:val="16"/>
                <w:color w:val="auto"/>
              </w:rPr>
              <w:t>Property and equipment acquired under finance leases</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r>
      <w:tr>
        <w:trPr>
          <w:trHeight w:val="22"/>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1" w:right="339" w:bottom="1440" w:gutter="0" w:footer="0" w:header="0"/>
        </w:sectPr>
      </w:pPr>
    </w:p>
    <w:bookmarkStart w:id="9" w:name="page10"/>
    <w:bookmarkEnd w:id="9"/>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Three Months Ended September 30, 2023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60" w:type="dxa"/>
            <w:vAlign w:val="bottom"/>
          </w:tcPr>
          <w:p>
            <w:pPr>
              <w:spacing w:after="0"/>
              <w:rPr>
                <w:sz w:val="17"/>
                <w:szCs w:val="17"/>
                <w:color w:val="auto"/>
              </w:rPr>
            </w:pPr>
          </w:p>
        </w:tc>
        <w:tc>
          <w:tcPr>
            <w:tcW w:w="1000" w:type="dxa"/>
            <w:vAlign w:val="bottom"/>
          </w:tcPr>
          <w:p>
            <w:pPr>
              <w:ind w:left="60"/>
              <w:spacing w:after="0" w:line="206" w:lineRule="exact"/>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80"/>
              <w:spacing w:after="0" w:line="206" w:lineRule="exact"/>
              <w:rPr>
                <w:sz w:val="20"/>
                <w:szCs w:val="20"/>
                <w:color w:val="auto"/>
              </w:rPr>
            </w:pPr>
            <w:r>
              <w:rPr>
                <w:rFonts w:ascii="Arial" w:cs="Arial" w:eastAsia="Arial" w:hAnsi="Arial"/>
                <w:sz w:val="18"/>
                <w:szCs w:val="18"/>
                <w:b w:val="1"/>
                <w:bCs w:val="1"/>
                <w:color w:val="auto"/>
              </w:rPr>
              <w:t>Workforce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00" w:type="dxa"/>
            <w:vAlign w:val="bottom"/>
            <w:gridSpan w:val="5"/>
          </w:tcPr>
          <w:p>
            <w:pPr>
              <w:ind w:left="20"/>
              <w:spacing w:after="0" w:line="172" w:lineRule="exact"/>
              <w:rPr>
                <w:sz w:val="20"/>
                <w:szCs w:val="20"/>
                <w:color w:val="auto"/>
              </w:rPr>
            </w:pPr>
            <w:r>
              <w:rPr>
                <w:rFonts w:ascii="Arial" w:cs="Arial" w:eastAsia="Arial" w:hAnsi="Arial"/>
                <w:sz w:val="18"/>
                <w:szCs w:val="18"/>
                <w:b w:val="1"/>
                <w:bCs w:val="1"/>
                <w:color w:val="auto"/>
              </w:rPr>
              <w:t>related and other</w:t>
            </w: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20"/>
              <w:spacing w:after="0" w:line="172" w:lineRule="exact"/>
              <w:rPr>
                <w:sz w:val="20"/>
                <w:szCs w:val="20"/>
                <w:color w:val="auto"/>
              </w:rPr>
            </w:pPr>
            <w:r>
              <w:rPr>
                <w:rFonts w:ascii="Arial" w:cs="Arial" w:eastAsia="Arial" w:hAnsi="Arial"/>
                <w:sz w:val="18"/>
                <w:szCs w:val="18"/>
                <w:b w:val="1"/>
                <w:bCs w:val="1"/>
                <w:color w:val="auto"/>
              </w:rPr>
              <w:t>reduction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0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GAAP</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8"/>
              </w:rPr>
              <w:t>compensation</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7"/>
              </w:rPr>
              <w:t>expenses</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20"/>
              <w:spacing w:after="0" w:line="239" w:lineRule="exact"/>
              <w:rPr>
                <w:sz w:val="20"/>
                <w:szCs w:val="20"/>
                <w:color w:val="auto"/>
              </w:rPr>
            </w:pPr>
            <w:r>
              <w:rPr>
                <w:rFonts w:ascii="Arial" w:cs="Arial" w:eastAsia="Arial" w:hAnsi="Arial"/>
                <w:sz w:val="18"/>
                <w:szCs w:val="18"/>
                <w:b w:val="1"/>
                <w:bCs w:val="1"/>
                <w:color w:val="auto"/>
              </w:rPr>
              <w:t>expense</w:t>
            </w:r>
            <w:r>
              <w:rPr>
                <w:rFonts w:ascii="Arial" w:cs="Arial" w:eastAsia="Arial" w:hAnsi="Arial"/>
                <w:sz w:val="22"/>
                <w:szCs w:val="22"/>
                <w:b w:val="1"/>
                <w:bCs w:val="1"/>
                <w:color w:val="auto"/>
                <w:vertAlign w:val="superscript"/>
              </w:rPr>
              <w:t>(1)</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82.6 %</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(4.6)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Research and development margin</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General and administrative margin</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60" w:hanging="154"/>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our reduction in workforce such as severance, benefits and other related items.</w:t>
      </w:r>
    </w:p>
    <w:p>
      <w:pPr>
        <w:sectPr>
          <w:pgSz w:w="11900" w:h="16838" w:orient="portrait"/>
          <w:cols w:equalWidth="0" w:num="1">
            <w:col w:w="11220"/>
          </w:cols>
          <w:pgMar w:left="320" w:top="1112" w:right="359" w:bottom="1440" w:gutter="0" w:footer="0" w:header="0"/>
        </w:sectPr>
      </w:pPr>
    </w:p>
    <w:bookmarkStart w:id="10" w:name="page11"/>
    <w:bookmarkEnd w:id="10"/>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Three Months Ended September 30, 2022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80" w:type="dxa"/>
            <w:vAlign w:val="bottom"/>
          </w:tcPr>
          <w:p>
            <w:pPr>
              <w:spacing w:after="0"/>
              <w:rPr>
                <w:sz w:val="17"/>
                <w:szCs w:val="17"/>
                <w:color w:val="auto"/>
              </w:rPr>
            </w:pPr>
          </w:p>
        </w:tc>
        <w:tc>
          <w:tcPr>
            <w:tcW w:w="110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740" w:type="dxa"/>
            <w:vAlign w:val="bottom"/>
            <w:gridSpan w:val="5"/>
          </w:tcPr>
          <w:p>
            <w:pPr>
              <w:jc w:val="center"/>
              <w:ind w:right="280"/>
              <w:spacing w:after="0" w:line="172" w:lineRule="exact"/>
              <w:rPr>
                <w:sz w:val="20"/>
                <w:szCs w:val="20"/>
                <w:color w:val="auto"/>
              </w:rPr>
            </w:pPr>
            <w:r>
              <w:rPr>
                <w:rFonts w:ascii="Arial" w:cs="Arial" w:eastAsia="Arial" w:hAnsi="Arial"/>
                <w:sz w:val="18"/>
                <w:szCs w:val="18"/>
                <w:b w:val="1"/>
                <w:bCs w:val="1"/>
                <w:color w:val="auto"/>
                <w:w w:val="88"/>
              </w:rPr>
              <w:t>related and other</w:t>
            </w: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ind w:left="60"/>
              <w:spacing w:after="0" w:line="172" w:lineRule="exact"/>
              <w:rPr>
                <w:sz w:val="20"/>
                <w:szCs w:val="20"/>
                <w:color w:val="auto"/>
              </w:rPr>
            </w:pPr>
            <w:r>
              <w:rPr>
                <w:rFonts w:ascii="Arial" w:cs="Arial" w:eastAsia="Arial" w:hAnsi="Arial"/>
                <w:sz w:val="18"/>
                <w:szCs w:val="18"/>
                <w:b w:val="1"/>
                <w:bCs w:val="1"/>
                <w:color w:val="auto"/>
                <w:w w:val="89"/>
              </w:rPr>
              <w:t>related to real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GAAP</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amortization</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line="239" w:lineRule="exact"/>
              <w:rPr>
                <w:sz w:val="20"/>
                <w:szCs w:val="20"/>
                <w:color w:val="auto"/>
              </w:rPr>
            </w:pPr>
            <w:r>
              <w:rPr>
                <w:rFonts w:ascii="Arial" w:cs="Arial" w:eastAsia="Arial" w:hAnsi="Arial"/>
                <w:sz w:val="18"/>
                <w:szCs w:val="18"/>
                <w:b w:val="1"/>
                <w:bCs w:val="1"/>
                <w:color w:val="auto"/>
                <w:w w:val="80"/>
              </w:rPr>
              <w:t>estate assets</w:t>
            </w:r>
            <w:r>
              <w:rPr>
                <w:rFonts w:ascii="Arial" w:cs="Arial" w:eastAsia="Arial" w:hAnsi="Arial"/>
                <w:sz w:val="22"/>
                <w:szCs w:val="22"/>
                <w:b w:val="1"/>
                <w:bCs w:val="1"/>
                <w:color w:val="auto"/>
                <w:w w:val="80"/>
                <w:vertAlign w:val="superscript"/>
              </w:rPr>
              <w:t>(1)</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4"/>
          </w:tcPr>
          <w:p>
            <w:pPr>
              <w:ind w:left="8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4"/>
          </w:tcPr>
          <w:p>
            <w:pPr>
              <w:ind w:left="8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82.9 %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Research and development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line="173" w:lineRule="exact"/>
              <w:rPr>
                <w:sz w:val="20"/>
                <w:szCs w:val="20"/>
                <w:color w:val="auto"/>
              </w:rPr>
            </w:pPr>
            <w:r>
              <w:rPr>
                <w:rFonts w:ascii="Arial" w:cs="Arial" w:eastAsia="Arial" w:hAnsi="Arial"/>
                <w:sz w:val="18"/>
                <w:szCs w:val="18"/>
                <w:i w:val="1"/>
                <w:iCs w:val="1"/>
                <w:color w:val="auto"/>
                <w:w w:val="99"/>
              </w:rPr>
              <w:t>Research and development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580" w:type="dxa"/>
            <w:vAlign w:val="bottom"/>
            <w:gridSpan w:val="4"/>
          </w:tcPr>
          <w:p>
            <w:pPr>
              <w:ind w:left="8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w w:val="98"/>
              </w:rPr>
              <w:t>Sales and marketing margin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580" w:type="dxa"/>
            <w:vAlign w:val="bottom"/>
            <w:gridSpan w:val="4"/>
          </w:tcPr>
          <w:p>
            <w:pPr>
              <w:ind w:left="8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174"/>
        </w:trPr>
        <w:tc>
          <w:tcPr>
            <w:tcW w:w="22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Impairment related to real</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estate assets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7"/>
              </w:rPr>
              <w:t>(4.0)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Impairment related to real</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estate assets margin</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5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180" w:firstLine="6"/>
        <w:spacing w:after="0" w:line="295" w:lineRule="auto"/>
        <w:tabs>
          <w:tab w:leader="none" w:pos="162"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Includes impairment charges related to real estate assets as a result of changes in the corporate real estate market which has impacted the Company's subleasing strategy in conjunction with the Company's Virtual First model.</w:t>
      </w:r>
    </w:p>
    <w:p>
      <w:pPr>
        <w:sectPr>
          <w:pgSz w:w="11900" w:h="16838" w:orient="portrait"/>
          <w:cols w:equalWidth="0" w:num="1">
            <w:col w:w="11220"/>
          </w:cols>
          <w:pgMar w:left="320" w:top="873" w:right="359" w:bottom="1440" w:gutter="0" w:footer="0" w:header="0"/>
        </w:sectPr>
      </w:pPr>
    </w:p>
    <w:bookmarkStart w:id="11" w:name="page12"/>
    <w:bookmarkEnd w:id="11"/>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960"/>
        <w:spacing w:after="0"/>
        <w:rPr>
          <w:sz w:val="20"/>
          <w:szCs w:val="20"/>
          <w:color w:val="auto"/>
        </w:rPr>
      </w:pPr>
      <w:r>
        <w:rPr>
          <w:rFonts w:ascii="Arial" w:cs="Arial" w:eastAsia="Arial" w:hAnsi="Arial"/>
          <w:sz w:val="19"/>
          <w:szCs w:val="19"/>
          <w:b w:val="1"/>
          <w:bCs w:val="1"/>
          <w:color w:val="auto"/>
        </w:rPr>
        <w:t>Nine Months Ended September 30, 2023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5"/>
        </w:trPr>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Stock-based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2"/>
              </w:rPr>
              <w:t>Acquisition-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98"/>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Impairment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40"/>
              <w:spacing w:after="0" w:line="206" w:lineRule="exact"/>
              <w:rPr>
                <w:sz w:val="20"/>
                <w:szCs w:val="20"/>
                <w:color w:val="auto"/>
              </w:rPr>
            </w:pPr>
            <w:r>
              <w:rPr>
                <w:rFonts w:ascii="Arial" w:cs="Arial" w:eastAsia="Arial" w:hAnsi="Arial"/>
                <w:sz w:val="18"/>
                <w:szCs w:val="18"/>
                <w:b w:val="1"/>
                <w:bCs w:val="1"/>
                <w:color w:val="auto"/>
                <w:w w:val="92"/>
              </w:rPr>
              <w:t>Workforce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ind w:left="20"/>
              <w:spacing w:after="0" w:line="172" w:lineRule="exact"/>
              <w:rPr>
                <w:sz w:val="20"/>
                <w:szCs w:val="20"/>
                <w:color w:val="auto"/>
              </w:rPr>
            </w:pPr>
            <w:r>
              <w:rPr>
                <w:rFonts w:ascii="Arial" w:cs="Arial" w:eastAsia="Arial" w:hAnsi="Arial"/>
                <w:sz w:val="18"/>
                <w:szCs w:val="18"/>
                <w:b w:val="1"/>
                <w:bCs w:val="1"/>
                <w:color w:val="auto"/>
              </w:rPr>
              <w:t>related and other</w:t>
            </w: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8"/>
                <w:szCs w:val="18"/>
                <w:b w:val="1"/>
                <w:bCs w:val="1"/>
                <w:color w:val="auto"/>
                <w:w w:val="89"/>
              </w:rPr>
              <w:t>related to real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line="172" w:lineRule="exact"/>
              <w:rPr>
                <w:sz w:val="20"/>
                <w:szCs w:val="20"/>
                <w:color w:val="auto"/>
              </w:rPr>
            </w:pPr>
            <w:r>
              <w:rPr>
                <w:rFonts w:ascii="Arial" w:cs="Arial" w:eastAsia="Arial" w:hAnsi="Arial"/>
                <w:sz w:val="18"/>
                <w:szCs w:val="18"/>
                <w:b w:val="1"/>
                <w:bCs w:val="1"/>
                <w:color w:val="auto"/>
                <w:w w:val="90"/>
              </w:rPr>
              <w:t>reduction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GAAP</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compensation</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expenses</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18"/>
                <w:szCs w:val="18"/>
                <w:b w:val="1"/>
                <w:bCs w:val="1"/>
                <w:color w:val="auto"/>
                <w:w w:val="80"/>
              </w:rPr>
              <w:t>estate assets</w:t>
            </w:r>
            <w:r>
              <w:rPr>
                <w:rFonts w:ascii="Arial" w:cs="Arial" w:eastAsia="Arial" w:hAnsi="Arial"/>
                <w:sz w:val="22"/>
                <w:szCs w:val="22"/>
                <w:b w:val="1"/>
                <w:bCs w:val="1"/>
                <w:color w:val="auto"/>
                <w:w w:val="80"/>
                <w:vertAlign w:val="superscript"/>
              </w:rPr>
              <w:t>(1)</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2"/>
              <w:spacing w:after="0" w:line="239" w:lineRule="exact"/>
              <w:rPr>
                <w:sz w:val="20"/>
                <w:szCs w:val="20"/>
                <w:color w:val="auto"/>
              </w:rPr>
            </w:pPr>
            <w:r>
              <w:rPr>
                <w:rFonts w:ascii="Arial" w:cs="Arial" w:eastAsia="Arial" w:hAnsi="Arial"/>
                <w:sz w:val="18"/>
                <w:szCs w:val="18"/>
                <w:b w:val="1"/>
                <w:bCs w:val="1"/>
                <w:color w:val="auto"/>
                <w:w w:val="82"/>
              </w:rPr>
              <w:t>expense</w:t>
            </w:r>
            <w:r>
              <w:rPr>
                <w:rFonts w:ascii="Arial" w:cs="Arial" w:eastAsia="Arial" w:hAnsi="Arial"/>
                <w:sz w:val="22"/>
                <w:szCs w:val="22"/>
                <w:b w:val="1"/>
                <w:bCs w:val="1"/>
                <w:color w:val="auto"/>
                <w:w w:val="82"/>
                <w:vertAlign w:val="superscript"/>
              </w:rPr>
              <w:t>(2)</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Cost of revenue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1,510.1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1,541.5</w:t>
            </w:r>
          </w:p>
        </w:tc>
        <w:tc>
          <w:tcPr>
            <w:tcW w:w="0" w:type="dxa"/>
            <w:vAlign w:val="bottom"/>
          </w:tcPr>
          <w:p>
            <w:pPr>
              <w:spacing w:after="0"/>
              <w:rPr>
                <w:sz w:val="1"/>
                <w:szCs w:val="1"/>
                <w:color w:val="auto"/>
              </w:rPr>
            </w:pPr>
          </w:p>
        </w:tc>
      </w:tr>
      <w:tr>
        <w:trPr>
          <w:trHeight w:val="225"/>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82.6 %</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Research and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development 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Sales and marketing</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w w:val="99"/>
              </w:rPr>
              <w:t>Sales and marketing</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w w:val="95"/>
              </w:rPr>
              <w:t>administrative 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148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Impairment related to</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w w:val="96"/>
              </w:rPr>
              <w:t>Impairment related to</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8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real estate assets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24"/>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180" w:firstLine="6"/>
        <w:spacing w:after="0" w:line="295" w:lineRule="auto"/>
        <w:tabs>
          <w:tab w:leader="none" w:pos="162"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Includes impairment charges related to real estate assets as a result of changes in the corporate real estate market which has impacted the Company's subleasing strategy in conjunction with the Company's Virtual First model.</w:t>
      </w:r>
    </w:p>
    <w:p>
      <w:pPr>
        <w:spacing w:after="0" w:line="168" w:lineRule="exact"/>
        <w:rPr>
          <w:rFonts w:ascii="Arial" w:cs="Arial" w:eastAsia="Arial" w:hAnsi="Arial"/>
          <w:sz w:val="19"/>
          <w:szCs w:val="19"/>
          <w:color w:val="auto"/>
          <w:vertAlign w:val="superscript"/>
        </w:rPr>
      </w:pPr>
    </w:p>
    <w:p>
      <w:pPr>
        <w:ind w:left="160" w:hanging="154"/>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our reduction in workforce such as severance, benefits and other related items.</w:t>
      </w:r>
    </w:p>
    <w:p>
      <w:pPr>
        <w:sectPr>
          <w:pgSz w:w="11900" w:h="16838" w:orient="portrait"/>
          <w:cols w:equalWidth="0" w:num="1">
            <w:col w:w="11220"/>
          </w:cols>
          <w:pgMar w:left="320" w:top="873" w:right="359" w:bottom="1440" w:gutter="0" w:footer="0" w:header="0"/>
        </w:sectPr>
      </w:pPr>
    </w:p>
    <w:bookmarkStart w:id="12" w:name="page13"/>
    <w:bookmarkEnd w:id="12"/>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960"/>
        <w:spacing w:after="0"/>
        <w:rPr>
          <w:sz w:val="20"/>
          <w:szCs w:val="20"/>
          <w:color w:val="auto"/>
        </w:rPr>
      </w:pPr>
      <w:r>
        <w:rPr>
          <w:rFonts w:ascii="Arial" w:cs="Arial" w:eastAsia="Arial" w:hAnsi="Arial"/>
          <w:sz w:val="19"/>
          <w:szCs w:val="19"/>
          <w:b w:val="1"/>
          <w:bCs w:val="1"/>
          <w:color w:val="auto"/>
        </w:rPr>
        <w:t>Nine Months Ended September 30, 2022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5"/>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Stock-based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2"/>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96"/>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ind w:left="100"/>
              <w:spacing w:after="0" w:line="206" w:lineRule="exact"/>
              <w:rPr>
                <w:sz w:val="20"/>
                <w:szCs w:val="20"/>
                <w:color w:val="auto"/>
              </w:rPr>
            </w:pPr>
            <w:r>
              <w:rPr>
                <w:rFonts w:ascii="Arial" w:cs="Arial" w:eastAsia="Arial" w:hAnsi="Arial"/>
                <w:sz w:val="18"/>
                <w:szCs w:val="18"/>
                <w:b w:val="1"/>
                <w:bCs w:val="1"/>
                <w:color w:val="auto"/>
                <w:w w:val="94"/>
              </w:rPr>
              <w:t>Impairment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20"/>
              <w:spacing w:after="0" w:line="172" w:lineRule="exact"/>
              <w:rPr>
                <w:sz w:val="20"/>
                <w:szCs w:val="20"/>
                <w:color w:val="auto"/>
              </w:rPr>
            </w:pPr>
            <w:r>
              <w:rPr>
                <w:rFonts w:ascii="Arial" w:cs="Arial" w:eastAsia="Arial" w:hAnsi="Arial"/>
                <w:sz w:val="18"/>
                <w:szCs w:val="18"/>
                <w:b w:val="1"/>
                <w:bCs w:val="1"/>
                <w:color w:val="auto"/>
              </w:rPr>
              <w:t>related and other</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ind w:left="20"/>
              <w:spacing w:after="0" w:line="172" w:lineRule="exact"/>
              <w:rPr>
                <w:sz w:val="20"/>
                <w:szCs w:val="20"/>
                <w:color w:val="auto"/>
              </w:rPr>
            </w:pPr>
            <w:r>
              <w:rPr>
                <w:rFonts w:ascii="Arial" w:cs="Arial" w:eastAsia="Arial" w:hAnsi="Arial"/>
                <w:sz w:val="18"/>
                <w:szCs w:val="18"/>
                <w:b w:val="1"/>
                <w:bCs w:val="1"/>
                <w:color w:val="auto"/>
              </w:rPr>
              <w:t>related to real</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7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GAAP</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compensation</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expenses</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40"/>
              <w:spacing w:after="0" w:line="239" w:lineRule="exact"/>
              <w:rPr>
                <w:sz w:val="20"/>
                <w:szCs w:val="20"/>
                <w:color w:val="auto"/>
              </w:rPr>
            </w:pPr>
            <w:r>
              <w:rPr>
                <w:rFonts w:ascii="Arial" w:cs="Arial" w:eastAsia="Arial" w:hAnsi="Arial"/>
                <w:sz w:val="18"/>
                <w:szCs w:val="18"/>
                <w:b w:val="1"/>
                <w:bCs w:val="1"/>
                <w:color w:val="auto"/>
                <w:w w:val="90"/>
              </w:rPr>
              <w:t>estate assets</w:t>
            </w:r>
            <w:r>
              <w:rPr>
                <w:rFonts w:ascii="Arial" w:cs="Arial" w:eastAsia="Arial" w:hAnsi="Arial"/>
                <w:sz w:val="22"/>
                <w:szCs w:val="22"/>
                <w:b w:val="1"/>
                <w:bCs w:val="1"/>
                <w:color w:val="auto"/>
                <w:w w:val="90"/>
                <w:vertAlign w:val="superscript"/>
              </w:rPr>
              <w:t>(1)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82.4 %</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w w:val="97"/>
              </w:rPr>
              <w:t>Research and development margin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46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w w:val="98"/>
              </w:rPr>
              <w:t>General and administrative margin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46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Impairment related to real estate</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(12.7)</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76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Impairment related to real estate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assets margin</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24"/>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80" w:firstLine="6"/>
        <w:spacing w:after="0" w:line="295" w:lineRule="auto"/>
        <w:tabs>
          <w:tab w:leader="none" w:pos="162"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Includes impairment charges related to real estate assets as a result of changes in the corporate real estate market which has impacted the Company's subleasing strategy in conjunction with the Company's Virtual First model.</w:t>
      </w:r>
    </w:p>
    <w:p>
      <w:pPr>
        <w:sectPr>
          <w:pgSz w:w="11900" w:h="16838" w:orient="portrait"/>
          <w:cols w:equalWidth="0" w:num="1">
            <w:col w:w="11220"/>
          </w:cols>
          <w:pgMar w:left="320" w:top="873" w:right="359" w:bottom="1440" w:gutter="0" w:footer="0" w:header="0"/>
        </w:sectPr>
      </w:pPr>
    </w:p>
    <w:bookmarkStart w:id="13" w:name="page14"/>
    <w:bookmarkEnd w:id="13"/>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Three and Nine Months Ended September 30, 2023 and 2022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Reconciliation of GAAP net income to Non-GAAP net income and Non-GAAP diluted net income per share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 share data)</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5"/>
        </w:trPr>
        <w:tc>
          <w:tcPr>
            <w:tcW w:w="4520" w:type="dxa"/>
            <w:vAlign w:val="bottom"/>
          </w:tcPr>
          <w:p>
            <w:pPr>
              <w:spacing w:after="0"/>
              <w:rPr>
                <w:sz w:val="17"/>
                <w:szCs w:val="17"/>
                <w:color w:val="auto"/>
              </w:rPr>
            </w:pPr>
          </w:p>
        </w:tc>
        <w:tc>
          <w:tcPr>
            <w:tcW w:w="2760" w:type="dxa"/>
            <w:vAlign w:val="bottom"/>
            <w:gridSpan w:val="4"/>
          </w:tcPr>
          <w:p>
            <w:pPr>
              <w:jc w:val="right"/>
              <w:ind w:right="212"/>
              <w:spacing w:after="0" w:line="206" w:lineRule="exact"/>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gridSpan w:val="4"/>
          </w:tcPr>
          <w:p>
            <w:pPr>
              <w:jc w:val="right"/>
              <w:ind w:right="252"/>
              <w:spacing w:after="0" w:line="206" w:lineRule="exact"/>
              <w:rPr>
                <w:sz w:val="20"/>
                <w:szCs w:val="20"/>
                <w:color w:val="auto"/>
              </w:rPr>
            </w:pPr>
            <w:r>
              <w:rPr>
                <w:rFonts w:ascii="Arial" w:cs="Arial" w:eastAsia="Arial" w:hAnsi="Arial"/>
                <w:sz w:val="18"/>
                <w:szCs w:val="18"/>
                <w:b w:val="1"/>
                <w:bCs w:val="1"/>
                <w:color w:val="auto"/>
              </w:rPr>
              <w:t>Nine Months Ended</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w w:val="90"/>
              </w:rPr>
              <w:t>September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w w:val="90"/>
              </w:rPr>
              <w:t>September 30,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106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and other expenses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related to real estate assets</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Arial" w:cs="Arial" w:eastAsia="Arial" w:hAnsi="Arial"/>
                <w:sz w:val="18"/>
                <w:szCs w:val="18"/>
                <w:color w:val="auto"/>
              </w:rPr>
              <w:t>Workforce reduction expense</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on equity investments</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effects of non-GAAP adjustments</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520" w:type="dxa"/>
            <w:vAlign w:val="bottom"/>
          </w:tcPr>
          <w:p>
            <w:pPr>
              <w:ind w:left="20"/>
              <w:spacing w:after="0" w:line="199" w:lineRule="exact"/>
              <w:rPr>
                <w:sz w:val="20"/>
                <w:szCs w:val="20"/>
                <w:color w:val="auto"/>
              </w:rPr>
            </w:pPr>
            <w:r>
              <w:rPr>
                <w:rFonts w:ascii="Arial" w:cs="Arial" w:eastAsia="Arial" w:hAnsi="Arial"/>
                <w:sz w:val="18"/>
                <w:szCs w:val="18"/>
                <w:color w:val="auto"/>
              </w:rPr>
              <w:t>Non-GAAP diluted net income per share</w:t>
            </w:r>
          </w:p>
        </w:tc>
        <w:tc>
          <w:tcPr>
            <w:tcW w:w="1060" w:type="dxa"/>
            <w:vAlign w:val="bottom"/>
            <w:tcBorders>
              <w:bottom w:val="single" w:sz="8" w:color="auto"/>
            </w:tcBorders>
          </w:tcPr>
          <w:p>
            <w:pPr>
              <w:jc w:val="right"/>
              <w:ind w:right="852"/>
              <w:spacing w:after="0" w:line="199"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0.56</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52"/>
              <w:spacing w:after="0" w:line="199"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0.43</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52"/>
              <w:spacing w:after="0" w:line="199"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1.49</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72"/>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to compute Non-GAAP diluted</w:t>
            </w:r>
          </w:p>
        </w:tc>
        <w:tc>
          <w:tcPr>
            <w:tcW w:w="10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31"/>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Three and Nine Months Ended September 30, 2023 and 2022</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2780" w:type="dxa"/>
            <w:vAlign w:val="bottom"/>
            <w:gridSpan w:val="4"/>
          </w:tcPr>
          <w:p>
            <w:pPr>
              <w:jc w:val="right"/>
              <w:ind w:right="172"/>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87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w w:val="97"/>
              </w:rPr>
              <w:t>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255.9</w:t>
            </w:r>
          </w:p>
        </w:tc>
        <w:tc>
          <w:tcPr>
            <w:tcW w:w="80" w:type="dxa"/>
            <w:vAlign w:val="bottom"/>
          </w:tcPr>
          <w:p>
            <w:pPr>
              <w:spacing w:after="0"/>
              <w:rPr>
                <w:sz w:val="19"/>
                <w:szCs w:val="19"/>
                <w:color w:val="auto"/>
              </w:rPr>
            </w:pP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251.4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8"/>
              </w:rPr>
              <w:t>246.5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8"/>
              </w:rPr>
              <w:t>245.2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Free cash flow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38.9 %</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41.5 %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8" w:lineRule="exact"/>
              <w:rPr>
                <w:sz w:val="20"/>
                <w:szCs w:val="20"/>
                <w:color w:val="auto"/>
              </w:rPr>
            </w:pPr>
            <w:r>
              <w:rPr>
                <w:rFonts w:ascii="Arial" w:cs="Arial" w:eastAsia="Arial" w:hAnsi="Arial"/>
                <w:sz w:val="18"/>
                <w:szCs w:val="18"/>
                <w:color w:val="auto"/>
              </w:rPr>
              <w:t>30.5 %</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220"/>
              <w:spacing w:after="0" w:line="180" w:lineRule="exact"/>
              <w:rPr>
                <w:sz w:val="20"/>
                <w:szCs w:val="20"/>
                <w:color w:val="auto"/>
              </w:rPr>
            </w:pPr>
            <w:r>
              <w:rPr>
                <w:rFonts w:ascii="Arial" w:cs="Arial" w:eastAsia="Arial" w:hAnsi="Arial"/>
                <w:sz w:val="18"/>
                <w:szCs w:val="18"/>
                <w:color w:val="auto"/>
              </w:rPr>
              <w:t>Key employee holdback payments related to</w:t>
            </w:r>
          </w:p>
        </w:tc>
        <w:tc>
          <w:tcPr>
            <w:tcW w:w="1020" w:type="dxa"/>
            <w:vAlign w:val="bottom"/>
            <w:vMerge w:val="restart"/>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2"/>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5"/>
                <w:szCs w:val="15"/>
                <w:color w:val="auto"/>
              </w:rPr>
            </w:pPr>
          </w:p>
        </w:tc>
        <w:tc>
          <w:tcPr>
            <w:tcW w:w="1040" w:type="dxa"/>
            <w:vAlign w:val="bottom"/>
            <w:vMerge w:val="restart"/>
          </w:tcPr>
          <w:p>
            <w:pPr>
              <w:jc w:val="right"/>
              <w:ind w:right="832"/>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5"/>
                <w:szCs w:val="15"/>
                <w:color w:val="auto"/>
              </w:rPr>
            </w:pPr>
          </w:p>
        </w:tc>
        <w:tc>
          <w:tcPr>
            <w:tcW w:w="580" w:type="dxa"/>
            <w:vAlign w:val="bottom"/>
            <w:vMerge w:val="restart"/>
          </w:tcPr>
          <w:p>
            <w:pPr>
              <w:jc w:val="right"/>
              <w:ind w:right="392"/>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5"/>
        </w:trPr>
        <w:tc>
          <w:tcPr>
            <w:tcW w:w="4280" w:type="dxa"/>
            <w:vAlign w:val="bottom"/>
          </w:tcPr>
          <w:p>
            <w:pPr>
              <w:ind w:left="220"/>
              <w:spacing w:after="0" w:line="205"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color w:val="auto"/>
                <w:vertAlign w:val="superscript"/>
              </w:rPr>
              <w:t>(1)</w:t>
            </w:r>
          </w:p>
        </w:tc>
        <w:tc>
          <w:tcPr>
            <w:tcW w:w="10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280" w:type="dxa"/>
            <w:vAlign w:val="bottom"/>
            <w:shd w:val="clear" w:color="auto" w:fill="CCEEFF"/>
          </w:tcPr>
          <w:p>
            <w:pPr>
              <w:ind w:left="220"/>
              <w:spacing w:after="0" w:line="219" w:lineRule="exact"/>
              <w:rPr>
                <w:sz w:val="20"/>
                <w:szCs w:val="20"/>
                <w:color w:val="auto"/>
              </w:rPr>
            </w:pPr>
            <w:r>
              <w:rPr>
                <w:rFonts w:ascii="Arial" w:cs="Arial" w:eastAsia="Arial" w:hAnsi="Arial"/>
                <w:sz w:val="18"/>
                <w:szCs w:val="18"/>
                <w:color w:val="auto"/>
              </w:rPr>
              <w:t>Payments related to workforce reduction</w:t>
            </w:r>
            <w:r>
              <w:rPr>
                <w:rFonts w:ascii="Arial" w:cs="Arial" w:eastAsia="Arial" w:hAnsi="Arial"/>
                <w:sz w:val="22"/>
                <w:szCs w:val="22"/>
                <w:color w:val="auto"/>
                <w:vertAlign w:val="superscript"/>
              </w:rPr>
              <w:t>(2)</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right="560" w:firstLine="6"/>
        <w:spacing w:after="0" w:line="272"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payments related to employee holdbacks pertaining to our acquisitions. The related expenses are recognized within research and development and sales and marketing expenses over the required service period.</w:t>
      </w:r>
    </w:p>
    <w:p>
      <w:pPr>
        <w:spacing w:after="0" w:line="203" w:lineRule="exact"/>
        <w:rPr>
          <w:rFonts w:ascii="Arial" w:cs="Arial" w:eastAsia="Arial" w:hAnsi="Arial"/>
          <w:sz w:val="18"/>
          <w:szCs w:val="18"/>
          <w:color w:val="auto"/>
          <w:vertAlign w:val="superscript"/>
        </w:rPr>
      </w:pPr>
    </w:p>
    <w:p>
      <w:pPr>
        <w:ind w:left="160" w:hanging="154"/>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our reduction in workforce such as severance, benefits, and other related items.</w:t>
      </w:r>
    </w:p>
    <w:p>
      <w:pPr>
        <w:sectPr>
          <w:pgSz w:w="11900" w:h="16838" w:orient="portrait"/>
          <w:cols w:equalWidth="0" w:num="1">
            <w:col w:w="11220"/>
          </w:cols>
          <w:pgMar w:left="320" w:top="873"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expenses related to our reduction in workforce, net gains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September 30, 2023,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39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0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6"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0"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our various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Kern Kapoor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Alissa Stewart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lvl>
    <w:lvl w:ilvl="1">
      <w:lvlJc w:val="left"/>
      <w:lvlText w:val="•"/>
      <w:numFmt w:val="bullet"/>
      <w:start w:val="1"/>
    </w:lvl>
  </w:abstractNum>
  <w:abstractNum w:abstractNumId="2">
    <w:nsid w:val="2EB141F2"/>
    <w:multiLevelType w:val="hybridMultilevel"/>
    <w:lvl w:ilvl="0">
      <w:lvlJc w:val="left"/>
      <w:lvlText w:val="(%1)"/>
      <w:numFmt w:val="lowerRoman"/>
      <w:start w:val="3"/>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2023-11-02T15:23:53Z</dcterms:created>
  <dcterms:modified xsi:type="dcterms:W3CDTF">2023-11-02T15:23:53Z</dcterms:modified>
</cp:coreProperties>
</file>