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2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20" w:type="dxa"/>
            <w:vAlign w:val="bottom"/>
            <w:vMerge w:val="restart"/>
          </w:tcPr>
          <w:p>
            <w:pPr>
              <w:jc w:val="center"/>
              <w:ind w:right="23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2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-644525</wp:posOffset>
            </wp:positionV>
            <wp:extent cx="59055" cy="657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7860"/>
                    </a:xfrm>
                    <a:prstGeom prst="rect">
                      <a:avLst/>
                    </a:prstGeom>
                    <a:noFill/>
                  </pic:spPr>
                </pic:pic>
              </a:graphicData>
            </a:graphic>
          </wp:anchor>
        </w:drawing>
        <w:drawing>
          <wp:anchor simplePos="0" relativeHeight="251657728" behindDoc="1" locked="0" layoutInCell="0" allowOverlap="1">
            <wp:simplePos x="0" y="0"/>
            <wp:positionH relativeFrom="column">
              <wp:posOffset>4126230</wp:posOffset>
            </wp:positionH>
            <wp:positionV relativeFrom="paragraph">
              <wp:posOffset>-644525</wp:posOffset>
            </wp:positionV>
            <wp:extent cx="59055" cy="657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786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4838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838065"/>
                    </a:xfrm>
                    <a:prstGeom prst="rect">
                      <a:avLst/>
                    </a:prstGeom>
                    <a:noFill/>
                  </pic:spPr>
                </pic:pic>
              </a:graphicData>
            </a:graphic>
          </wp:anchor>
        </w:drawing>
      </w:r>
    </w:p>
    <w:p>
      <w:pPr>
        <w:spacing w:after="0" w:line="99" w:lineRule="exact"/>
        <w:rPr>
          <w:sz w:val="24"/>
          <w:szCs w:val="24"/>
          <w:color w:val="auto"/>
        </w:rPr>
      </w:pPr>
    </w:p>
    <w:p>
      <w:pPr>
        <w:sectPr>
          <w:pgSz w:w="11900" w:h="16838" w:orient="portrait"/>
          <w:cols w:equalWidth="0" w:num="2">
            <w:col w:w="2340" w:space="360"/>
            <w:col w:w="8820"/>
          </w:cols>
          <w:pgMar w:left="240" w:top="224"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Volkmer Bart</w:t>
        </w:r>
      </w:hyperlink>
    </w:p>
    <w:p>
      <w:pPr>
        <w:spacing w:after="0" w:line="319"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333 BRANNAN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7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05/15/2018</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0" w:right="680" w:hanging="10"/>
        <w:spacing w:after="0" w:line="251" w:lineRule="auto"/>
        <w:tabs>
          <w:tab w:leader="none" w:pos="15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210" w:type="dxa"/>
        <w:tblCellMar>
          <w:top w:w="0" w:type="dxa"/>
          <w:left w:w="0" w:type="dxa"/>
          <w:bottom w:w="0" w:type="dxa"/>
          <w:right w:w="0" w:type="dxa"/>
        </w:tblCellMar>
      </w:tblPr>
      <w:tr>
        <w:trPr>
          <w:trHeight w:val="160"/>
        </w:trPr>
        <w:tc>
          <w:tcPr>
            <w:tcW w:w="220" w:type="dxa"/>
            <w:vAlign w:val="bottom"/>
          </w:tcPr>
          <w:p>
            <w:pPr>
              <w:spacing w:after="0"/>
              <w:rPr>
                <w:sz w:val="13"/>
                <w:szCs w:val="13"/>
                <w:color w:val="auto"/>
              </w:rPr>
            </w:pP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070"/>
        <w:spacing w:after="0"/>
        <w:rPr>
          <w:sz w:val="20"/>
          <w:szCs w:val="20"/>
          <w:color w:val="auto"/>
        </w:rPr>
      </w:pPr>
      <w:r>
        <w:rPr>
          <w:rFonts w:ascii="Arial" w:cs="Arial" w:eastAsia="Arial" w:hAnsi="Arial"/>
          <w:sz w:val="17"/>
          <w:szCs w:val="17"/>
          <w:color w:val="0000FF"/>
        </w:rPr>
        <w:t>General Counsel</w:t>
      </w:r>
    </w:p>
    <w:p>
      <w:pPr>
        <w:spacing w:after="0" w:line="332" w:lineRule="exact"/>
        <w:rPr>
          <w:sz w:val="24"/>
          <w:szCs w:val="24"/>
          <w:color w:val="auto"/>
        </w:rPr>
      </w:pPr>
    </w:p>
    <w:p>
      <w:pPr>
        <w:sectPr>
          <w:pgSz w:w="11900" w:h="16838" w:orient="portrait"/>
          <w:cols w:equalWidth="0" w:num="3">
            <w:col w:w="3340" w:space="720"/>
            <w:col w:w="3270" w:space="720"/>
            <w:col w:w="3470"/>
          </w:cols>
          <w:pgMar w:left="240" w:top="224" w:right="139" w:bottom="1440" w:gutter="0" w:footer="0" w:header="0"/>
          <w:type w:val="continuous"/>
        </w:sectPr>
      </w:pPr>
    </w:p>
    <w:p>
      <w:pPr>
        <w:spacing w:after="0" w:line="11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3880" w:type="dxa"/>
            <w:vAlign w:val="bottom"/>
            <w:gridSpan w:val="6"/>
          </w:tcPr>
          <w:p>
            <w:pPr>
              <w:jc w:val="center"/>
              <w:ind w:right="116"/>
              <w:spacing w:after="0"/>
              <w:rPr>
                <w:sz w:val="20"/>
                <w:szCs w:val="20"/>
                <w:color w:val="auto"/>
              </w:rPr>
            </w:pPr>
            <w:r>
              <w:rPr>
                <w:rFonts w:ascii="Arial" w:cs="Arial" w:eastAsia="Arial" w:hAnsi="Arial"/>
                <w:sz w:val="13"/>
                <w:szCs w:val="13"/>
                <w:color w:val="auto"/>
              </w:rPr>
              <w:t>4. If Amendment, Date of Original Filed (Month/Day/Year)</w:t>
            </w:r>
          </w:p>
        </w:tc>
        <w:tc>
          <w:tcPr>
            <w:tcW w:w="3740" w:type="dxa"/>
            <w:vAlign w:val="bottom"/>
            <w:gridSpan w:val="10"/>
          </w:tcPr>
          <w:p>
            <w:pPr>
              <w:ind w:left="2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vMerge w:val="restart"/>
          </w:tcPr>
          <w:p>
            <w:pPr>
              <w:spacing w:after="0"/>
              <w:rPr>
                <w:sz w:val="20"/>
                <w:szCs w:val="20"/>
                <w:color w:val="auto"/>
              </w:rPr>
            </w:pPr>
            <w:r>
              <w:rPr>
                <w:rFonts w:ascii="Arial" w:cs="Arial" w:eastAsia="Arial" w:hAnsi="Arial"/>
                <w:sz w:val="17"/>
                <w:szCs w:val="17"/>
                <w:color w:val="0000FF"/>
              </w:rPr>
              <w:t>SAN</w:t>
            </w: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gridSpan w:val="2"/>
          </w:tcPr>
          <w:p>
            <w:pPr>
              <w:jc w:val="right"/>
              <w:ind w:right="6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vMerge w:val="continue"/>
          </w:tcPr>
          <w:p>
            <w:pPr>
              <w:spacing w:after="0"/>
              <w:rPr>
                <w:sz w:val="10"/>
                <w:szCs w:val="10"/>
                <w:color w:val="auto"/>
              </w:rPr>
            </w:pPr>
          </w:p>
        </w:tc>
        <w:tc>
          <w:tcPr>
            <w:tcW w:w="660" w:type="dxa"/>
            <w:vAlign w:val="bottom"/>
          </w:tcPr>
          <w:p>
            <w:pPr>
              <w:spacing w:after="0"/>
              <w:rPr>
                <w:sz w:val="10"/>
                <w:szCs w:val="10"/>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CA</w:t>
            </w:r>
          </w:p>
        </w:tc>
        <w:tc>
          <w:tcPr>
            <w:tcW w:w="1140" w:type="dxa"/>
            <w:vAlign w:val="bottom"/>
            <w:vMerge w:val="restart"/>
          </w:tcPr>
          <w:p>
            <w:pPr>
              <w:ind w:left="60"/>
              <w:spacing w:after="0"/>
              <w:rPr>
                <w:sz w:val="20"/>
                <w:szCs w:val="20"/>
                <w:color w:val="auto"/>
              </w:rPr>
            </w:pPr>
            <w:r>
              <w:rPr>
                <w:rFonts w:ascii="Arial" w:cs="Arial" w:eastAsia="Arial" w:hAnsi="Arial"/>
                <w:sz w:val="17"/>
                <w:szCs w:val="17"/>
                <w:color w:val="0000FF"/>
              </w:rPr>
              <w:t>94107</w:t>
            </w:r>
          </w:p>
        </w:tc>
        <w:tc>
          <w:tcPr>
            <w:tcW w:w="1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620" w:type="dxa"/>
            <w:vAlign w:val="bottom"/>
            <w:gridSpan w:val="2"/>
            <w:vMerge w:val="restart"/>
          </w:tcPr>
          <w:p>
            <w:pPr>
              <w:ind w:left="480"/>
              <w:spacing w:after="0"/>
              <w:rPr>
                <w:sz w:val="20"/>
                <w:szCs w:val="20"/>
                <w:color w:val="auto"/>
              </w:rPr>
            </w:pPr>
            <w:r>
              <w:rPr>
                <w:rFonts w:ascii="Arial" w:cs="Arial" w:eastAsia="Arial" w:hAnsi="Arial"/>
                <w:sz w:val="17"/>
                <w:szCs w:val="17"/>
                <w:color w:val="0000FF"/>
              </w:rPr>
              <w:t>X</w:t>
            </w:r>
          </w:p>
        </w:tc>
        <w:tc>
          <w:tcPr>
            <w:tcW w:w="40" w:type="dxa"/>
            <w:vAlign w:val="bottom"/>
          </w:tcPr>
          <w:p>
            <w:pPr>
              <w:spacing w:after="0"/>
              <w:rPr>
                <w:sz w:val="10"/>
                <w:szCs w:val="10"/>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restart"/>
          </w:tcPr>
          <w:p>
            <w:pPr>
              <w:spacing w:after="0"/>
              <w:rPr>
                <w:sz w:val="20"/>
                <w:szCs w:val="20"/>
                <w:color w:val="auto"/>
              </w:rPr>
            </w:pPr>
            <w:r>
              <w:rPr>
                <w:rFonts w:ascii="Arial" w:cs="Arial" w:eastAsia="Arial" w:hAnsi="Arial"/>
                <w:sz w:val="17"/>
                <w:szCs w:val="17"/>
                <w:color w:val="0000FF"/>
              </w:rPr>
              <w:t>FRANCISCO</w:t>
            </w:r>
          </w:p>
        </w:tc>
        <w:tc>
          <w:tcPr>
            <w:tcW w:w="1240" w:type="dxa"/>
            <w:vAlign w:val="bottom"/>
            <w:gridSpan w:val="2"/>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62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308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gridSpan w:val="2"/>
            <w:vMerge w:val="continue"/>
          </w:tcPr>
          <w:p>
            <w:pPr>
              <w:spacing w:after="0"/>
              <w:rPr>
                <w:sz w:val="9"/>
                <w:szCs w:val="9"/>
                <w:color w:val="auto"/>
              </w:rPr>
            </w:pPr>
          </w:p>
        </w:tc>
        <w:tc>
          <w:tcPr>
            <w:tcW w:w="14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4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40" w:type="dxa"/>
            <w:vAlign w:val="bottom"/>
          </w:tcPr>
          <w:p>
            <w:pPr>
              <w:spacing w:after="0"/>
              <w:rPr>
                <w:sz w:val="8"/>
                <w:szCs w:val="8"/>
                <w:color w:val="auto"/>
              </w:rPr>
            </w:pPr>
          </w:p>
        </w:tc>
        <w:tc>
          <w:tcPr>
            <w:tcW w:w="76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vMerge w:val="restart"/>
          </w:tcPr>
          <w:p>
            <w:pPr>
              <w:spacing w:after="0"/>
              <w:rPr>
                <w:sz w:val="5"/>
                <w:szCs w:val="5"/>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660" w:type="dxa"/>
            <w:vAlign w:val="bottom"/>
          </w:tcPr>
          <w:p>
            <w:pPr>
              <w:spacing w:after="0"/>
              <w:rPr>
                <w:sz w:val="6"/>
                <w:szCs w:val="6"/>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6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66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80" w:type="dxa"/>
            <w:vAlign w:val="bottom"/>
            <w:tcBorders>
              <w:bottom w:val="single" w:sz="8" w:color="2C2C2C"/>
            </w:tcBorders>
            <w:gridSpan w:val="3"/>
          </w:tcPr>
          <w:p>
            <w:pPr>
              <w:spacing w:after="0"/>
              <w:rPr>
                <w:sz w:val="10"/>
                <w:szCs w:val="10"/>
                <w:color w:val="auto"/>
              </w:rPr>
            </w:pPr>
          </w:p>
        </w:tc>
        <w:tc>
          <w:tcPr>
            <w:tcW w:w="1720" w:type="dxa"/>
            <w:vAlign w:val="bottom"/>
            <w:tcBorders>
              <w:bottom w:val="single" w:sz="8" w:color="2C2C2C"/>
            </w:tcBorders>
            <w:gridSpan w:val="3"/>
          </w:tcPr>
          <w:p>
            <w:pPr>
              <w:spacing w:after="0"/>
              <w:rPr>
                <w:sz w:val="10"/>
                <w:szCs w:val="10"/>
                <w:color w:val="auto"/>
              </w:rPr>
            </w:pPr>
          </w:p>
        </w:tc>
        <w:tc>
          <w:tcPr>
            <w:tcW w:w="2700" w:type="dxa"/>
            <w:vAlign w:val="bottom"/>
            <w:tcBorders>
              <w:bottom w:val="single" w:sz="8" w:color="2C2C2C"/>
            </w:tcBorders>
            <w:gridSpan w:val="4"/>
          </w:tcPr>
          <w:p>
            <w:pPr>
              <w:spacing w:after="0"/>
              <w:rPr>
                <w:sz w:val="10"/>
                <w:szCs w:val="10"/>
                <w:color w:val="auto"/>
              </w:rPr>
            </w:pPr>
          </w:p>
        </w:tc>
        <w:tc>
          <w:tcPr>
            <w:tcW w:w="120" w:type="dxa"/>
            <w:vAlign w:val="bottom"/>
            <w:tcBorders>
              <w:bottom w:val="single" w:sz="8" w:color="2C2C2C"/>
            </w:tcBorders>
            <w:gridSpan w:val="2"/>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580" w:type="dxa"/>
            <w:vAlign w:val="bottom"/>
            <w:tcBorders>
              <w:top w:val="single" w:sz="8" w:color="2C2C2C"/>
            </w:tcBorders>
            <w:gridSpan w:val="13"/>
          </w:tcPr>
          <w:p>
            <w:pPr>
              <w:ind w:left="9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6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40"/>
              <w:spacing w:after="0"/>
              <w:rPr>
                <w:sz w:val="20"/>
                <w:szCs w:val="20"/>
                <w:color w:val="auto"/>
              </w:rPr>
            </w:pPr>
            <w:r>
              <w:rPr>
                <w:rFonts w:ascii="Arial" w:cs="Arial" w:eastAsia="Arial" w:hAnsi="Arial"/>
                <w:sz w:val="12"/>
                <w:szCs w:val="12"/>
                <w:b w:val="1"/>
                <w:bCs w:val="1"/>
                <w:color w:val="auto"/>
              </w:rPr>
              <w:t>2. Transaction</w:t>
            </w:r>
          </w:p>
        </w:tc>
        <w:tc>
          <w:tcPr>
            <w:tcW w:w="1040" w:type="dxa"/>
            <w:vAlign w:val="bottom"/>
          </w:tcPr>
          <w:p>
            <w:pPr>
              <w:ind w:left="4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202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840"/>
              <w:spacing w:after="0" w:line="130" w:lineRule="exact"/>
              <w:rPr>
                <w:sz w:val="20"/>
                <w:szCs w:val="20"/>
                <w:color w:val="auto"/>
              </w:rPr>
            </w:pPr>
            <w:r>
              <w:rPr>
                <w:rFonts w:ascii="Arial" w:cs="Arial" w:eastAsia="Arial" w:hAnsi="Arial"/>
                <w:sz w:val="12"/>
                <w:szCs w:val="12"/>
                <w:b w:val="1"/>
                <w:bCs w:val="1"/>
                <w:color w:val="auto"/>
              </w:rPr>
              <w:t>Date</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Transaction</w:t>
            </w:r>
          </w:p>
        </w:tc>
        <w:tc>
          <w:tcPr>
            <w:tcW w:w="2020" w:type="dxa"/>
            <w:vAlign w:val="bottom"/>
            <w:gridSpan w:val="4"/>
          </w:tcPr>
          <w:p>
            <w:pPr>
              <w:ind w:left="100"/>
              <w:spacing w:after="0" w:line="130"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7"/>
              </w:rPr>
              <w:t>Securities</w:t>
            </w:r>
          </w:p>
        </w:tc>
        <w:tc>
          <w:tcPr>
            <w:tcW w:w="600" w:type="dxa"/>
            <w:vAlign w:val="bottom"/>
          </w:tcPr>
          <w:p>
            <w:pPr>
              <w:spacing w:after="0"/>
              <w:rPr>
                <w:sz w:val="11"/>
                <w:szCs w:val="11"/>
                <w:color w:val="auto"/>
              </w:rPr>
            </w:pPr>
          </w:p>
        </w:tc>
        <w:tc>
          <w:tcPr>
            <w:tcW w:w="9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3"/>
          </w:tcPr>
          <w:p>
            <w:pPr>
              <w:ind w:left="840"/>
              <w:spacing w:after="0" w:line="133" w:lineRule="exact"/>
              <w:rPr>
                <w:sz w:val="20"/>
                <w:szCs w:val="20"/>
                <w:color w:val="auto"/>
              </w:rPr>
            </w:pPr>
            <w:r>
              <w:rPr>
                <w:rFonts w:ascii="Arial" w:cs="Arial" w:eastAsia="Arial" w:hAnsi="Arial"/>
                <w:sz w:val="12"/>
                <w:szCs w:val="12"/>
                <w:b w:val="1"/>
                <w:bCs w:val="1"/>
                <w:color w:val="auto"/>
              </w:rPr>
              <w:t>(Month/Day/Year)</w:t>
            </w:r>
          </w:p>
        </w:tc>
        <w:tc>
          <w:tcPr>
            <w:tcW w:w="10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4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5"/>
              </w:rPr>
              <w:t>(D)</w:t>
            </w:r>
          </w:p>
        </w:tc>
        <w:tc>
          <w:tcPr>
            <w:tcW w:w="62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4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00" w:type="dxa"/>
            <w:vAlign w:val="bottom"/>
            <w:tcBorders>
              <w:bottom w:val="single" w:sz="8" w:color="2C2C2C"/>
            </w:tcBorders>
            <w:gridSpan w:val="5"/>
          </w:tcPr>
          <w:p>
            <w:pPr>
              <w:spacing w:after="0"/>
              <w:rPr>
                <w:sz w:val="4"/>
                <w:szCs w:val="4"/>
                <w:color w:val="auto"/>
              </w:rPr>
            </w:pPr>
          </w:p>
        </w:tc>
        <w:tc>
          <w:tcPr>
            <w:tcW w:w="192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5"/>
        </w:trPr>
        <w:tc>
          <w:tcPr>
            <w:tcW w:w="20" w:type="dxa"/>
            <w:vAlign w:val="bottom"/>
            <w:tcBorders>
              <w:bottom w:val="single" w:sz="8" w:color="2C2C2C"/>
            </w:tcBorders>
          </w:tcPr>
          <w:p>
            <w:pPr>
              <w:spacing w:after="0"/>
              <w:rPr>
                <w:sz w:val="24"/>
                <w:szCs w:val="24"/>
                <w:color w:val="auto"/>
              </w:rPr>
            </w:pPr>
          </w:p>
        </w:tc>
        <w:tc>
          <w:tcPr>
            <w:tcW w:w="260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920" w:type="dxa"/>
            <w:vAlign w:val="bottom"/>
            <w:tcBorders>
              <w:bottom w:val="single" w:sz="8" w:color="2C2C2C"/>
            </w:tcBorders>
            <w:gridSpan w:val="3"/>
          </w:tcPr>
          <w:p>
            <w:pPr>
              <w:ind w:left="940"/>
              <w:spacing w:after="0"/>
              <w:rPr>
                <w:sz w:val="20"/>
                <w:szCs w:val="20"/>
                <w:color w:val="auto"/>
              </w:rPr>
            </w:pPr>
            <w:r>
              <w:rPr>
                <w:rFonts w:ascii="Arial" w:cs="Arial" w:eastAsia="Arial" w:hAnsi="Arial"/>
                <w:sz w:val="17"/>
                <w:szCs w:val="17"/>
                <w:color w:val="0000FF"/>
              </w:rPr>
              <w:t>05/15/2018</w:t>
            </w:r>
          </w:p>
        </w:tc>
        <w:tc>
          <w:tcPr>
            <w:tcW w:w="10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4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85"/>
              </w:rPr>
              <w:t>2,066</w:t>
            </w:r>
            <w:r>
              <w:rPr>
                <w:rFonts w:ascii="Arial" w:cs="Arial" w:eastAsia="Arial" w:hAnsi="Arial"/>
                <w:sz w:val="22"/>
                <w:szCs w:val="22"/>
                <w:color w:val="008000"/>
                <w:w w:val="85"/>
                <w:vertAlign w:val="superscript"/>
              </w:rPr>
              <w:t>(1)</w:t>
            </w:r>
          </w:p>
        </w:tc>
        <w:tc>
          <w:tcPr>
            <w:tcW w:w="66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620" w:type="dxa"/>
            <w:vAlign w:val="bottom"/>
            <w:tcBorders>
              <w:bottom w:val="single" w:sz="8" w:color="2C2C2C"/>
            </w:tcBorders>
            <w:gridSpan w:val="2"/>
          </w:tcPr>
          <w:p>
            <w:pPr>
              <w:jc w:val="right"/>
              <w:ind w:righ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29.96</w:t>
            </w:r>
          </w:p>
        </w:tc>
        <w:tc>
          <w:tcPr>
            <w:tcW w:w="1300" w:type="dxa"/>
            <w:vAlign w:val="bottom"/>
            <w:tcBorders>
              <w:bottom w:val="single" w:sz="8" w:color="2C2C2C"/>
            </w:tcBorders>
            <w:gridSpan w:val="3"/>
          </w:tcPr>
          <w:p>
            <w:pPr>
              <w:ind w:left="300"/>
              <w:spacing w:after="0"/>
              <w:rPr>
                <w:sz w:val="20"/>
                <w:szCs w:val="20"/>
                <w:color w:val="auto"/>
              </w:rPr>
            </w:pPr>
            <w:r>
              <w:rPr>
                <w:rFonts w:ascii="Arial" w:cs="Arial" w:eastAsia="Arial" w:hAnsi="Arial"/>
                <w:sz w:val="17"/>
                <w:szCs w:val="17"/>
                <w:color w:val="0000FF"/>
              </w:rPr>
              <w:t>195,504</w:t>
            </w:r>
            <w:r>
              <w:rPr>
                <w:rFonts w:ascii="Arial" w:cs="Arial" w:eastAsia="Arial" w:hAnsi="Arial"/>
                <w:sz w:val="22"/>
                <w:szCs w:val="22"/>
                <w:color w:val="008000"/>
                <w:vertAlign w:val="superscript"/>
              </w:rPr>
              <w:t>(2)</w:t>
            </w: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2"/>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780" w:type="dxa"/>
            <w:vAlign w:val="bottom"/>
            <w:gridSpan w:val="10"/>
          </w:tcPr>
          <w:p>
            <w:pPr>
              <w:jc w:val="center"/>
              <w:ind w:left="431"/>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1040" w:type="dxa"/>
            <w:vAlign w:val="bottom"/>
          </w:tcPr>
          <w:p>
            <w:pPr>
              <w:ind w:left="12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0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10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0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Acquired (A)</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or Disposed</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of (D) (Instr. 3,</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4 and 5)</w:t>
            </w: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0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4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4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1040" w:type="dxa"/>
            <w:vAlign w:val="bottom"/>
          </w:tcPr>
          <w:p>
            <w:pPr>
              <w:ind w:left="1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Class B</w:t>
            </w:r>
          </w:p>
        </w:tc>
        <w:tc>
          <w:tcPr>
            <w:tcW w:w="6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40" w:type="dxa"/>
            <w:vAlign w:val="bottom"/>
            <w:vMerge w:val="restart"/>
          </w:tcPr>
          <w:p>
            <w:pPr>
              <w:ind w:left="440"/>
              <w:spacing w:after="0"/>
              <w:rPr>
                <w:sz w:val="20"/>
                <w:szCs w:val="20"/>
                <w:color w:val="auto"/>
              </w:rPr>
            </w:pPr>
            <w:r>
              <w:rPr>
                <w:rFonts w:ascii="Arial" w:cs="Arial" w:eastAsia="Arial" w:hAnsi="Arial"/>
                <w:sz w:val="13"/>
                <w:szCs w:val="13"/>
                <w:color w:val="0000FF"/>
              </w:rPr>
              <w:t>19,097</w:t>
            </w:r>
            <w:r>
              <w:rPr>
                <w:rFonts w:ascii="Arial" w:cs="Arial" w:eastAsia="Arial" w:hAnsi="Arial"/>
                <w:sz w:val="22"/>
                <w:szCs w:val="22"/>
                <w:color w:val="008000"/>
                <w:vertAlign w:val="superscript"/>
              </w:rPr>
              <w:t>(1)</w:t>
            </w:r>
          </w:p>
        </w:tc>
        <w:tc>
          <w:tcPr>
            <w:tcW w:w="800" w:type="dxa"/>
            <w:vAlign w:val="bottom"/>
            <w:gridSpan w:val="2"/>
            <w:vMerge w:val="restart"/>
          </w:tcPr>
          <w:p>
            <w:pPr>
              <w:ind w:left="300"/>
              <w:spacing w:after="0"/>
              <w:rPr>
                <w:sz w:val="20"/>
                <w:szCs w:val="20"/>
                <w:color w:val="auto"/>
              </w:rPr>
            </w:pPr>
            <w:r>
              <w:rPr>
                <w:rFonts w:ascii="Arial" w:cs="Arial" w:eastAsia="Arial" w:hAnsi="Arial"/>
                <w:sz w:val="11"/>
                <w:szCs w:val="11"/>
                <w:color w:val="008000"/>
              </w:rPr>
              <w:t>(4)</w:t>
            </w:r>
          </w:p>
        </w:tc>
        <w:tc>
          <w:tcPr>
            <w:tcW w:w="740" w:type="dxa"/>
            <w:vAlign w:val="bottom"/>
            <w:vMerge w:val="restart"/>
          </w:tcPr>
          <w:p>
            <w:pPr>
              <w:ind w:left="280"/>
              <w:spacing w:after="0"/>
              <w:rPr>
                <w:sz w:val="20"/>
                <w:szCs w:val="20"/>
                <w:color w:val="auto"/>
              </w:rPr>
            </w:pPr>
            <w:r>
              <w:rPr>
                <w:rFonts w:ascii="Arial" w:cs="Arial" w:eastAsia="Arial" w:hAnsi="Arial"/>
                <w:sz w:val="11"/>
                <w:szCs w:val="11"/>
                <w:color w:val="008000"/>
              </w:rPr>
              <w:t>(3)</w:t>
            </w:r>
          </w:p>
        </w:tc>
        <w:tc>
          <w:tcPr>
            <w:tcW w:w="660" w:type="dxa"/>
            <w:vAlign w:val="bottom"/>
          </w:tcPr>
          <w:p>
            <w:pPr>
              <w:jc w:val="center"/>
              <w:ind w:right="36"/>
              <w:spacing w:after="0"/>
              <w:rPr>
                <w:sz w:val="20"/>
                <w:szCs w:val="20"/>
                <w:color w:val="auto"/>
              </w:rPr>
            </w:pPr>
            <w:r>
              <w:rPr>
                <w:rFonts w:ascii="Arial" w:cs="Arial" w:eastAsia="Arial" w:hAnsi="Arial"/>
                <w:sz w:val="13"/>
                <w:szCs w:val="13"/>
                <w:color w:val="0000FF"/>
                <w:w w:val="89"/>
              </w:rPr>
              <w:t>Class A</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19,097</w:t>
            </w: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900" w:type="dxa"/>
            <w:vAlign w:val="bottom"/>
            <w:gridSpan w:val="2"/>
            <w:vMerge w:val="restart"/>
          </w:tcPr>
          <w:p>
            <w:pPr>
              <w:ind w:left="140"/>
              <w:spacing w:after="0"/>
              <w:rPr>
                <w:sz w:val="20"/>
                <w:szCs w:val="20"/>
                <w:color w:val="auto"/>
              </w:rPr>
            </w:pPr>
            <w:r>
              <w:rPr>
                <w:rFonts w:ascii="Arial" w:cs="Arial" w:eastAsia="Arial" w:hAnsi="Arial"/>
                <w:sz w:val="13"/>
                <w:szCs w:val="13"/>
                <w:color w:val="0000FF"/>
              </w:rPr>
              <w:t>320,669</w:t>
            </w:r>
            <w:r>
              <w:rPr>
                <w:rFonts w:ascii="Arial" w:cs="Arial" w:eastAsia="Arial" w:hAnsi="Arial"/>
                <w:sz w:val="22"/>
                <w:szCs w:val="22"/>
                <w:color w:val="008000"/>
                <w:vertAlign w:val="superscript"/>
              </w:rPr>
              <w:t>(4)</w:t>
            </w: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700" w:type="dxa"/>
            <w:vAlign w:val="bottom"/>
            <w:gridSpan w:val="2"/>
          </w:tcPr>
          <w:p>
            <w:pPr>
              <w:ind w:left="60"/>
              <w:spacing w:after="0" w:line="146" w:lineRule="exact"/>
              <w:rPr>
                <w:sz w:val="20"/>
                <w:szCs w:val="20"/>
                <w:color w:val="auto"/>
              </w:rPr>
            </w:pPr>
            <w:r>
              <w:rPr>
                <w:rFonts w:ascii="Arial" w:cs="Arial" w:eastAsia="Arial" w:hAnsi="Arial"/>
                <w:sz w:val="13"/>
                <w:szCs w:val="13"/>
                <w:color w:val="0000FF"/>
              </w:rPr>
              <w:t>Common</w:t>
            </w:r>
          </w:p>
        </w:tc>
        <w:tc>
          <w:tcPr>
            <w:tcW w:w="6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tcPr>
          <w:p>
            <w:pPr>
              <w:ind w:left="260"/>
              <w:spacing w:after="0" w:line="146" w:lineRule="exact"/>
              <w:rPr>
                <w:sz w:val="20"/>
                <w:szCs w:val="20"/>
                <w:color w:val="auto"/>
              </w:rPr>
            </w:pPr>
            <w:r>
              <w:rPr>
                <w:rFonts w:ascii="Arial" w:cs="Arial" w:eastAsia="Arial" w:hAnsi="Arial"/>
                <w:sz w:val="13"/>
                <w:szCs w:val="13"/>
                <w:color w:val="0000FF"/>
              </w:rPr>
              <w:t>05/15/2018</w:t>
            </w:r>
          </w:p>
        </w:tc>
        <w:tc>
          <w:tcPr>
            <w:tcW w:w="1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40"/>
              <w:spacing w:after="0" w:line="146" w:lineRule="exact"/>
              <w:rPr>
                <w:sz w:val="20"/>
                <w:szCs w:val="20"/>
                <w:color w:val="auto"/>
              </w:rPr>
            </w:pPr>
            <w:r>
              <w:rPr>
                <w:rFonts w:ascii="Arial" w:cs="Arial" w:eastAsia="Arial" w:hAnsi="Arial"/>
                <w:sz w:val="13"/>
                <w:szCs w:val="13"/>
                <w:color w:val="0000FF"/>
              </w:rPr>
              <w:t>F</w:t>
            </w:r>
          </w:p>
        </w:tc>
        <w:tc>
          <w:tcPr>
            <w:tcW w:w="1040" w:type="dxa"/>
            <w:vAlign w:val="bottom"/>
            <w:vMerge w:val="continue"/>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740" w:type="dxa"/>
            <w:vAlign w:val="bottom"/>
            <w:vMerge w:val="continue"/>
          </w:tcPr>
          <w:p>
            <w:pPr>
              <w:spacing w:after="0"/>
              <w:rPr>
                <w:sz w:val="12"/>
                <w:szCs w:val="12"/>
                <w:color w:val="auto"/>
              </w:rPr>
            </w:pPr>
          </w:p>
        </w:tc>
        <w:tc>
          <w:tcPr>
            <w:tcW w:w="660" w:type="dxa"/>
            <w:vAlign w:val="bottom"/>
          </w:tcPr>
          <w:p>
            <w:pPr>
              <w:ind w:left="40"/>
              <w:spacing w:after="0" w:line="146" w:lineRule="exact"/>
              <w:rPr>
                <w:sz w:val="20"/>
                <w:szCs w:val="20"/>
                <w:color w:val="auto"/>
              </w:rPr>
            </w:pPr>
            <w:r>
              <w:rPr>
                <w:rFonts w:ascii="Arial" w:cs="Arial" w:eastAsia="Arial" w:hAnsi="Arial"/>
                <w:sz w:val="13"/>
                <w:szCs w:val="13"/>
                <w:color w:val="0000FF"/>
              </w:rPr>
              <w:t>Common</w:t>
            </w:r>
          </w:p>
        </w:tc>
        <w:tc>
          <w:tcPr>
            <w:tcW w:w="54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ind w:left="100"/>
              <w:spacing w:after="0" w:line="146"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29.96</w:t>
            </w:r>
          </w:p>
        </w:tc>
        <w:tc>
          <w:tcPr>
            <w:tcW w:w="900" w:type="dxa"/>
            <w:vAlign w:val="bottom"/>
            <w:gridSpan w:val="2"/>
            <w:vMerge w:val="continue"/>
          </w:tcPr>
          <w:p>
            <w:pPr>
              <w:spacing w:after="0"/>
              <w:rPr>
                <w:sz w:val="12"/>
                <w:szCs w:val="12"/>
                <w:color w:val="auto"/>
              </w:rPr>
            </w:pPr>
          </w:p>
        </w:tc>
        <w:tc>
          <w:tcPr>
            <w:tcW w:w="680" w:type="dxa"/>
            <w:vAlign w:val="bottom"/>
          </w:tcPr>
          <w:p>
            <w:pPr>
              <w:ind w:left="340"/>
              <w:spacing w:after="0" w:line="146"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jc w:val="center"/>
              <w:ind w:right="36"/>
              <w:spacing w:after="0"/>
              <w:rPr>
                <w:sz w:val="20"/>
                <w:szCs w:val="20"/>
                <w:color w:val="auto"/>
              </w:rPr>
            </w:pPr>
            <w:r>
              <w:rPr>
                <w:rFonts w:ascii="Arial" w:cs="Arial" w:eastAsia="Arial" w:hAnsi="Arial"/>
                <w:sz w:val="13"/>
                <w:szCs w:val="13"/>
                <w:color w:val="0000FF"/>
                <w:w w:val="98"/>
              </w:rPr>
              <w:t>Stock</w:t>
            </w: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9"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64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that have been withheld by the Issuer to satisfy income tax withholding and remittance obligations in connection with the vesting and net settlement of restricted stock units previously reported.</w:t>
      </w:r>
    </w:p>
    <w:p>
      <w:pPr>
        <w:spacing w:after="0" w:line="16" w:lineRule="exact"/>
        <w:rPr>
          <w:rFonts w:ascii="Arial" w:cs="Arial" w:eastAsia="Arial" w:hAnsi="Arial"/>
          <w:sz w:val="13"/>
          <w:szCs w:val="13"/>
          <w:color w:val="008000"/>
        </w:rPr>
      </w:pPr>
    </w:p>
    <w:p>
      <w:pPr>
        <w:ind w:left="40" w:right="32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units. Each restricted stock unit represents the Reporting Person's right to receive one share of Class A Common Stock, subject to the applicable vesting schedule through November 15, 2021. In the event the Reporting Person ceases to be a Service Provider, any then unvested restricted stock units will be cancelled by the Issuer.</w:t>
      </w:r>
    </w:p>
    <w:p>
      <w:pPr>
        <w:spacing w:after="0" w:line="16"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Issuer's Class B Common Stock is convertible into the Issuer's Class A Common Stock on a one-for-one basis at the Reporting Person's election and has no expiration date.</w:t>
      </w:r>
    </w:p>
    <w:p>
      <w:pPr>
        <w:spacing w:after="0" w:line="49" w:lineRule="exact"/>
        <w:rPr>
          <w:rFonts w:ascii="Arial" w:cs="Arial" w:eastAsia="Arial" w:hAnsi="Arial"/>
          <w:sz w:val="13"/>
          <w:szCs w:val="13"/>
          <w:color w:val="008000"/>
        </w:rPr>
      </w:pPr>
    </w:p>
    <w:p>
      <w:pPr>
        <w:ind w:left="40" w:right="34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units. Each restricted stock unit represents the Reporting Person's right to receive one share of Class B Common Stock, subject to the applicable vesting schedule through August 15, 2019. In the event the Reporting Person ceases to be a Service Provider, any then unvested restricted stock units will be cancelled by the Issuer.</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2"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3"/>
          </w:tcPr>
          <w:p>
            <w:pPr>
              <w:spacing w:after="0"/>
              <w:rPr>
                <w:sz w:val="20"/>
                <w:szCs w:val="20"/>
                <w:color w:val="auto"/>
              </w:rPr>
            </w:pPr>
            <w:r>
              <w:rPr>
                <w:rFonts w:ascii="Arial" w:cs="Arial" w:eastAsia="Arial" w:hAnsi="Arial"/>
                <w:sz w:val="17"/>
                <w:szCs w:val="17"/>
                <w:color w:val="0000FF"/>
              </w:rPr>
              <w:t>/s/ Mary Anne Becking,</w:t>
            </w: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05/17/2018</w:t>
            </w:r>
          </w:p>
        </w:tc>
        <w:tc>
          <w:tcPr>
            <w:tcW w:w="0" w:type="dxa"/>
            <w:vAlign w:val="bottom"/>
          </w:tcPr>
          <w:p>
            <w:pPr>
              <w:spacing w:after="0"/>
              <w:rPr>
                <w:sz w:val="1"/>
                <w:szCs w:val="1"/>
                <w:color w:val="auto"/>
              </w:rPr>
            </w:pPr>
          </w:p>
        </w:tc>
      </w:tr>
      <w:tr>
        <w:trPr>
          <w:trHeight w:val="91"/>
        </w:trPr>
        <w:tc>
          <w:tcPr>
            <w:tcW w:w="1180" w:type="dxa"/>
            <w:vAlign w:val="bottom"/>
            <w:tcBorders>
              <w:top w:val="single" w:sz="8" w:color="auto"/>
              <w:bottom w:val="single" w:sz="8" w:color="auto"/>
            </w:tcBorders>
            <w:vMerge w:val="restart"/>
          </w:tcPr>
          <w:p>
            <w:pPr>
              <w:spacing w:after="0" w:line="193" w:lineRule="exact"/>
              <w:rPr>
                <w:sz w:val="20"/>
                <w:szCs w:val="20"/>
                <w:color w:val="auto"/>
              </w:rPr>
            </w:pPr>
            <w:r>
              <w:rPr>
                <w:rFonts w:ascii="Arial" w:cs="Arial" w:eastAsia="Arial" w:hAnsi="Arial"/>
                <w:sz w:val="17"/>
                <w:szCs w:val="17"/>
                <w:color w:val="0000FF"/>
                <w:w w:val="95"/>
              </w:rPr>
              <w:t>Attorney-In-Fact</w:t>
            </w:r>
          </w:p>
        </w:tc>
        <w:tc>
          <w:tcPr>
            <w:tcW w:w="480" w:type="dxa"/>
            <w:vAlign w:val="bottom"/>
            <w:tcBorders>
              <w:top w:val="single" w:sz="8" w:color="auto"/>
              <w:bottom w:val="single" w:sz="8" w:color="auto"/>
            </w:tcBorders>
            <w:vMerge w:val="restart"/>
          </w:tcPr>
          <w:p>
            <w:pPr>
              <w:spacing w:after="0"/>
              <w:rPr>
                <w:sz w:val="7"/>
                <w:szCs w:val="7"/>
                <w:color w:val="auto"/>
              </w:rPr>
            </w:pPr>
          </w:p>
        </w:tc>
        <w:tc>
          <w:tcPr>
            <w:tcW w:w="64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180" w:type="dxa"/>
            <w:vAlign w:val="bottom"/>
            <w:tcBorders>
              <w:bottom w:val="single" w:sz="8" w:color="auto"/>
            </w:tcBorders>
            <w:vMerge w:val="continue"/>
          </w:tcPr>
          <w:p>
            <w:pPr>
              <w:spacing w:after="0"/>
              <w:rPr>
                <w:sz w:val="7"/>
                <w:szCs w:val="7"/>
                <w:color w:val="auto"/>
              </w:rPr>
            </w:pPr>
          </w:p>
        </w:tc>
        <w:tc>
          <w:tcPr>
            <w:tcW w:w="48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2"/>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820" w:firstLine="6"/>
        <w:spacing w:after="0" w:line="318"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4"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734437"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2019-12-07T16:38:31Z</dcterms:created>
  <dcterms:modified xsi:type="dcterms:W3CDTF">2019-12-07T16:38:31Z</dcterms:modified>
</cp:coreProperties>
</file>