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4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ANNUAL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fiscal year ended December 31, 2023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from________to________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001-38434 </w:t>
      </w:r>
    </w:p>
    <w:p>
      <w:pPr>
        <w:pStyle w:val="TextBody"/>
        <w:bidi w:val="0"/>
        <w:spacing w:before="0" w:after="0"/>
        <w:jc w:val="center"/>
        <w:rPr/>
      </w:pPr>
      <w:r>
        <w:rPr/>
      </w:r>
    </w:p>
    <w:tbl>
      <w:tblPr>
        <w:tblW w:w="3929" w:type="dxa"/>
        <w:jc w:val="center"/>
        <w:tblInd w:w="0" w:type="dxa"/>
        <w:tblLayout w:type="fixed"/>
        <w:tblCellMar>
          <w:top w:w="28" w:type="dxa"/>
          <w:left w:w="28" w:type="dxa"/>
          <w:bottom w:w="28" w:type="dxa"/>
          <w:right w:w="28" w:type="dxa"/>
        </w:tblCellMar>
      </w:tblPr>
      <w:tblGrid>
        <w:gridCol w:w="1257"/>
        <w:gridCol w:w="1106"/>
        <w:gridCol w:w="1566"/>
      </w:tblGrid>
      <w:tr>
        <w:trPr/>
        <w:tc>
          <w:tcPr>
            <w:tcW w:w="125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Dropbox, Inc.</w:t>
            </w:r>
          </w:p>
        </w:tc>
      </w:tr>
      <w:tr>
        <w:trPr/>
        <w:tc>
          <w:tcPr>
            <w:tcW w:w="3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c>
      </w:tr>
    </w:tbl>
    <w:p>
      <w:pPr>
        <w:pStyle w:val="TextBody"/>
        <w:bidi w:val="0"/>
        <w:spacing w:lineRule="auto" w:line="288" w:before="40" w:after="283"/>
        <w:jc w:val="center"/>
        <w:rPr>
          <w:color w:val="000000"/>
        </w:rPr>
      </w:pPr>
      <w:r>
        <w:rPr>
          <w:color w:val="000000"/>
        </w:rPr>
        <w:t> </w:t>
      </w:r>
    </w:p>
    <w:tbl>
      <w:tblPr>
        <w:tblW w:w="5165" w:type="dxa"/>
        <w:jc w:val="left"/>
        <w:tblInd w:w="0" w:type="dxa"/>
        <w:tblLayout w:type="fixed"/>
        <w:tblCellMar>
          <w:top w:w="28" w:type="dxa"/>
          <w:left w:w="28" w:type="dxa"/>
          <w:bottom w:w="28" w:type="dxa"/>
          <w:right w:w="28" w:type="dxa"/>
        </w:tblCellMar>
      </w:tblPr>
      <w:tblGrid>
        <w:gridCol w:w="859"/>
        <w:gridCol w:w="753"/>
        <w:gridCol w:w="758"/>
        <w:gridCol w:w="109"/>
        <w:gridCol w:w="109"/>
        <w:gridCol w:w="109"/>
        <w:gridCol w:w="109"/>
        <w:gridCol w:w="109"/>
        <w:gridCol w:w="109"/>
        <w:gridCol w:w="109"/>
        <w:gridCol w:w="109"/>
        <w:gridCol w:w="109"/>
        <w:gridCol w:w="528"/>
        <w:gridCol w:w="528"/>
        <w:gridCol w:w="75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26-0138832</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p>
      <w:pPr>
        <w:pStyle w:val="TextBody"/>
        <w:bidi w:val="0"/>
        <w:spacing w:before="0" w:after="0"/>
        <w:jc w:val="left"/>
        <w:rPr/>
      </w:pPr>
      <w:r>
        <w:rPr/>
      </w:r>
    </w:p>
    <w:p>
      <w:pPr>
        <w:pStyle w:val="TextBody"/>
        <w:bidi w:val="0"/>
        <w:spacing w:lineRule="auto" w:line="288" w:before="40" w:after="283"/>
        <w:jc w:val="center"/>
        <w:rPr>
          <w:rFonts w:ascii="Times New Roman;sans-serif" w:hAnsi="Times New Roman;sans-serif"/>
          <w:b/>
          <w:color w:val="000000"/>
          <w:sz w:val="16"/>
        </w:rPr>
      </w:pPr>
      <w:r>
        <w:rPr>
          <w:rFonts w:ascii="Times New Roman;sans-serif" w:hAnsi="Times New Roman;sans-serif"/>
          <w:b/>
          <w:color w:val="000000"/>
          <w:sz w:val="16"/>
        </w:rPr>
        <w:t>Dropbox,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1800 Owens Street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San Francisco, California 94158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(415) 857-6800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left"/>
        <w:rPr/>
      </w:pPr>
      <w:r>
        <w:rPr/>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Securities registered pursuant to Section 12(g) of the Act</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lineRule="auto" w:line="288" w:before="120" w:after="283"/>
        <w:jc w:val="left"/>
        <w:rPr/>
      </w:pPr>
      <w:r>
        <w:rPr>
          <w:rFonts w:ascii="Times New Roman;sans-serif" w:hAnsi="Times New Roman;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6"/>
        </w:rPr>
        <w:t xml:space="preserve">Indicate by check mark if the registrant is not required to file reports pursuant to Section 13 or Section 15(d) of the Securities Exchange Act of 1934 (the "Exchange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40" w:after="283"/>
        <w:ind w:left="0" w:right="0" w:firstLine="360"/>
        <w:jc w:val="left"/>
        <w:rPr/>
      </w:pPr>
      <w:r>
        <w:rPr/>
      </w:r>
    </w:p>
    <w:tbl>
      <w:tblPr>
        <w:tblW w:w="535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69"/>
        <w:gridCol w:w="669"/>
        <w:gridCol w:w="67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40" w:after="283"/>
        <w:jc w:val="left"/>
        <w:rPr/>
      </w:pPr>
      <w:r>
        <w:rPr/>
      </w:r>
    </w:p>
    <w:p>
      <w:pPr>
        <w:pStyle w:val="TextBody"/>
        <w:bidi w:val="0"/>
        <w:spacing w:lineRule="auto" w:line="288"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aggregate market value of the registrant's Class A common stock held by non-affiliates of the registrant, based on the closing price of a share of the registrant's Class A common stock on June 30, 2023 as reported by the NASDAQ Global Select Market on such date was approximately $5,088.3 million. Shares of the registrant’s Class A common stock held by each executive officer, director and holder of 5% or more of the outstanding Class A common stock have been excluded as such persons may be deemed to be affiliates. This calculation does not reflect a determination that certain persons are affiliates of the registrant for any other purpose.</w:t>
      </w:r>
    </w:p>
    <w:p>
      <w:pPr>
        <w:pStyle w:val="TextBody"/>
        <w:bidi w:val="0"/>
        <w:spacing w:before="40" w:after="283"/>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February 12, 2024, there were 263,329,459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521,848 shares of Class A common stock subject to restricted stock awards that were granted to other Dropbox executives and vest upon the satisfaction of a service condition), 80,654,699 shares of the registrant’s Class B common stock outstanding, and no shares of the registrant’s Class C common stock outstanding.</w:t>
      </w:r>
    </w:p>
    <w:p>
      <w:pPr>
        <w:pStyle w:val="TextBody"/>
        <w:bidi w:val="0"/>
        <w:spacing w:before="0" w:after="0"/>
        <w:jc w:val="left"/>
        <w:rPr/>
      </w:pPr>
      <w:r>
        <w:rPr/>
      </w:r>
    </w:p>
    <w:p>
      <w:pPr>
        <w:pStyle w:val="TextBody"/>
        <w:bidi w:val="0"/>
        <w:spacing w:lineRule="auto" w:line="288"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DOCUMENTS INCORPORATED BY REFERENCE</w:t>
      </w:r>
    </w:p>
    <w:p>
      <w:pPr>
        <w:pStyle w:val="TextBody"/>
        <w:bidi w:val="0"/>
        <w:spacing w:before="0" w:after="0"/>
        <w:jc w:val="center"/>
        <w:rPr/>
      </w:pPr>
      <w:r>
        <w:rPr/>
      </w:r>
    </w:p>
    <w:p>
      <w:pPr>
        <w:pStyle w:val="TextBody"/>
        <w:bidi w:val="0"/>
        <w:spacing w:lineRule="auto" w:line="288"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relating to the 2024 Annual Meeting of Stockholders are incorporated herein by references in Part II and Part III of this Annual Report on Form 10-K to the extent stated herein. Such Proxy Statement will be filed with the Securities and Exchange Commission within 120 days of the registrant's fiscal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79"/>
        <w:gridCol w:w="254"/>
        <w:gridCol w:w="254"/>
        <w:gridCol w:w="2852"/>
        <w:gridCol w:w="2829"/>
        <w:gridCol w:w="2841"/>
        <w:gridCol w:w="231"/>
        <w:gridCol w:w="226"/>
        <w:gridCol w:w="339"/>
      </w:tblGrid>
      <w:tr>
        <w:trPr/>
        <w:tc>
          <w:tcPr>
            <w:tcW w:w="37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8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394">
              <w:r>
                <w:rPr>
                  <w:rStyle w:val="InternetLink"/>
                  <w:rFonts w:ascii="Times New Roman;sans-serif" w:hAnsi="Times New Roman;sans-serif"/>
                  <w:b w:val="false"/>
                  <w:color w:val="0000FF"/>
                  <w:sz w:val="20"/>
                  <w:u w:val="single"/>
                </w:rPr>
                <w:t>Business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394">
              <w:r>
                <w:rPr>
                  <w:rStyle w:val="InternetLink"/>
                  <w:rFonts w:ascii="Times New Roman;sans-serif" w:hAnsi="Times New Roman;sans-serif"/>
                  <w:b w:val="false"/>
                  <w:color w:val="0000FF"/>
                  <w:sz w:val="20"/>
                  <w:u w:val="single"/>
                </w:rPr>
                <w:t>6</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39">
              <w:r>
                <w:rPr>
                  <w:rStyle w:val="InternetLink"/>
                  <w:rFonts w:ascii="Times New Roman;sans-serif" w:hAnsi="Times New Roman;sans-serif"/>
                  <w:b w:val="false"/>
                  <w:color w:val="0000FF"/>
                  <w:sz w:val="20"/>
                  <w:u w:val="single"/>
                </w:rPr>
                <w:t>Risk Factors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39">
              <w:r>
                <w:rPr>
                  <w:rStyle w:val="InternetLink"/>
                  <w:rFonts w:ascii="Times New Roman;sans-serif" w:hAnsi="Times New Roman;sans-serif"/>
                  <w:b w:val="false"/>
                  <w:color w:val="0000FF"/>
                  <w:sz w:val="20"/>
                  <w:u w:val="single"/>
                </w:rPr>
                <w:t>15</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385">
              <w:r>
                <w:rPr>
                  <w:rStyle w:val="InternetLink"/>
                  <w:rFonts w:ascii="Times New Roman;sans-serif" w:hAnsi="Times New Roman;sans-serif"/>
                  <w:b w:val="false"/>
                  <w:color w:val="0000FF"/>
                  <w:sz w:val="20"/>
                  <w:u w:val="single"/>
                </w:rPr>
                <w:t>Unresolved Staff Comments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385">
              <w:r>
                <w:rPr>
                  <w:rStyle w:val="InternetLink"/>
                  <w:rFonts w:ascii="Times New Roman;sans-serif" w:hAnsi="Times New Roman;sans-serif"/>
                  <w:b w:val="false"/>
                  <w:color w:val="0000FF"/>
                  <w:sz w:val="20"/>
                  <w:u w:val="single"/>
                </w:rPr>
                <w:t>43</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646">
              <w:r>
                <w:rPr>
                  <w:rStyle w:val="InternetLink"/>
                  <w:rFonts w:ascii="Times New Roman;sans-serif" w:hAnsi="Times New Roman;sans-serif"/>
                  <w:b w:val="false"/>
                  <w:color w:val="0000FF"/>
                  <w:sz w:val="20"/>
                  <w:u w:val="single"/>
                </w:rPr>
                <w:t>Cybersecurity</w:t>
              </w:r>
            </w:hyperlink>
            <w:r>
              <w:rPr>
                <w:color w:val="000000"/>
              </w:rPr>
              <w:t xml:space="preserve"> </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646">
              <w:r>
                <w:rPr>
                  <w:rStyle w:val="InternetLink"/>
                  <w:rFonts w:ascii="Times New Roman;sans-serif" w:hAnsi="Times New Roman;sans-serif"/>
                  <w:b w:val="false"/>
                  <w:color w:val="0000FF"/>
                  <w:sz w:val="20"/>
                  <w:u w:val="single"/>
                </w:rPr>
                <w:t>43</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403">
              <w:r>
                <w:rPr>
                  <w:rStyle w:val="InternetLink"/>
                  <w:rFonts w:ascii="Times New Roman;sans-serif" w:hAnsi="Times New Roman;sans-serif"/>
                  <w:b w:val="false"/>
                  <w:color w:val="0000FF"/>
                  <w:sz w:val="20"/>
                  <w:u w:val="single"/>
                </w:rPr>
                <w:t>Properties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403">
              <w:r>
                <w:rPr>
                  <w:rStyle w:val="InternetLink"/>
                  <w:rFonts w:ascii="Times New Roman;sans-serif" w:hAnsi="Times New Roman;sans-serif"/>
                  <w:b w:val="false"/>
                  <w:color w:val="0000FF"/>
                  <w:sz w:val="20"/>
                  <w:u w:val="single"/>
                </w:rPr>
                <w:t>44</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411">
              <w:r>
                <w:rPr>
                  <w:rStyle w:val="InternetLink"/>
                  <w:rFonts w:ascii="Times New Roman;sans-serif" w:hAnsi="Times New Roman;sans-serif"/>
                  <w:b w:val="false"/>
                  <w:color w:val="0000FF"/>
                  <w:sz w:val="20"/>
                  <w:u w:val="single"/>
                </w:rPr>
                <w:t>Legal Proceedings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411">
              <w:r>
                <w:rPr>
                  <w:rStyle w:val="InternetLink"/>
                  <w:rFonts w:ascii="Times New Roman;sans-serif" w:hAnsi="Times New Roman;sans-serif"/>
                  <w:b w:val="false"/>
                  <w:color w:val="0000FF"/>
                  <w:sz w:val="20"/>
                  <w:u w:val="single"/>
                </w:rPr>
                <w:t>45</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418">
              <w:r>
                <w:rPr>
                  <w:rStyle w:val="InternetLink"/>
                  <w:rFonts w:ascii="Times New Roman;sans-serif" w:hAnsi="Times New Roman;sans-serif"/>
                  <w:b w:val="false"/>
                  <w:color w:val="0000FF"/>
                  <w:sz w:val="20"/>
                  <w:u w:val="single"/>
                </w:rPr>
                <w:t>Mine Safety Disclosures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418">
              <w:r>
                <w:rPr>
                  <w:rStyle w:val="InternetLink"/>
                  <w:rFonts w:ascii="Times New Roman;sans-serif" w:hAnsi="Times New Roman;sans-serif"/>
                  <w:b w:val="false"/>
                  <w:color w:val="0000FF"/>
                  <w:sz w:val="20"/>
                  <w:u w:val="single"/>
                </w:rPr>
                <w:t>45</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42">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42">
              <w:r>
                <w:rPr>
                  <w:rStyle w:val="InternetLink"/>
                  <w:rFonts w:ascii="Times New Roman;sans-serif" w:hAnsi="Times New Roman;sans-serif"/>
                  <w:b w:val="false"/>
                  <w:color w:val="0000FF"/>
                  <w:sz w:val="20"/>
                  <w:u w:val="single"/>
                </w:rPr>
                <w:t>46</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6. </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450">
              <w:r>
                <w:rPr>
                  <w:rStyle w:val="InternetLink"/>
                  <w:rFonts w:ascii="Times New Roman;sans-serif" w:hAnsi="Times New Roman;sans-serif"/>
                  <w:b w:val="false"/>
                  <w:color w:val="0000FF"/>
                  <w:sz w:val="20"/>
                  <w:u w:val="single"/>
                </w:rPr>
                <w:t>[Reserved]</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450">
              <w:r>
                <w:rPr>
                  <w:rStyle w:val="InternetLink"/>
                  <w:rFonts w:ascii="Times New Roman;sans-serif" w:hAnsi="Times New Roman;sans-serif"/>
                  <w:b w:val="false"/>
                  <w:color w:val="0000FF"/>
                  <w:sz w:val="20"/>
                  <w:u w:val="single"/>
                </w:rPr>
                <w:t>47</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9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97">
              <w:r>
                <w:rPr>
                  <w:rStyle w:val="InternetLink"/>
                  <w:rFonts w:ascii="Times New Roman;sans-serif" w:hAnsi="Times New Roman;sans-serif"/>
                  <w:b w:val="false"/>
                  <w:color w:val="0000FF"/>
                  <w:sz w:val="20"/>
                  <w:u w:val="single"/>
                </w:rPr>
                <w:t>48</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24">
              <w:r>
                <w:rPr>
                  <w:rStyle w:val="InternetLink"/>
                  <w:rFonts w:ascii="Times New Roman;sans-serif" w:hAnsi="Times New Roman;sans-serif"/>
                  <w:b w:val="false"/>
                  <w:color w:val="0000FF"/>
                  <w:sz w:val="20"/>
                  <w:u w:val="single"/>
                </w:rPr>
                <w:t>Quantitative and Qualitative Disclosures About Market Risk</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24">
              <w:r>
                <w:rPr>
                  <w:rStyle w:val="InternetLink"/>
                  <w:rFonts w:ascii="Times New Roman;sans-serif" w:hAnsi="Times New Roman;sans-serif"/>
                  <w:b w:val="false"/>
                  <w:color w:val="0000FF"/>
                  <w:sz w:val="20"/>
                  <w:u w:val="single"/>
                </w:rPr>
                <w:t>65</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6">
              <w:r>
                <w:rPr>
                  <w:rStyle w:val="InternetLink"/>
                  <w:rFonts w:ascii="Times New Roman;sans-serif" w:hAnsi="Times New Roman;sans-serif"/>
                  <w:b w:val="false"/>
                  <w:color w:val="0000FF"/>
                  <w:sz w:val="20"/>
                  <w:u w:val="single"/>
                </w:rPr>
                <w:t>Financial Statements and Supplementary Data</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6">
              <w:r>
                <w:rPr>
                  <w:rStyle w:val="InternetLink"/>
                  <w:rFonts w:ascii="Times New Roman;sans-serif" w:hAnsi="Times New Roman;sans-serif"/>
                  <w:b w:val="false"/>
                  <w:color w:val="0000FF"/>
                  <w:sz w:val="20"/>
                  <w:u w:val="single"/>
                </w:rPr>
                <w:t>66</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333">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333">
              <w:r>
                <w:rPr>
                  <w:rStyle w:val="InternetLink"/>
                  <w:rFonts w:ascii="Times New Roman;sans-serif" w:hAnsi="Times New Roman;sans-serif"/>
                  <w:b w:val="false"/>
                  <w:color w:val="0000FF"/>
                  <w:sz w:val="20"/>
                  <w:u w:val="single"/>
                </w:rPr>
                <w:t>110</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511">
              <w:r>
                <w:rPr>
                  <w:rStyle w:val="InternetLink"/>
                  <w:rFonts w:ascii="Times New Roman;sans-serif" w:hAnsi="Times New Roman;sans-serif"/>
                  <w:b w:val="false"/>
                  <w:color w:val="0000FF"/>
                  <w:sz w:val="20"/>
                  <w:u w:val="single"/>
                </w:rPr>
                <w:t>Controls and Procedures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511">
              <w:r>
                <w:rPr>
                  <w:rStyle w:val="InternetLink"/>
                  <w:rFonts w:ascii="Times New Roman;sans-serif" w:hAnsi="Times New Roman;sans-serif"/>
                  <w:b w:val="false"/>
                  <w:color w:val="0000FF"/>
                  <w:sz w:val="20"/>
                  <w:u w:val="single"/>
                </w:rPr>
                <w:t>110</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517">
              <w:r>
                <w:rPr>
                  <w:rStyle w:val="InternetLink"/>
                  <w:rFonts w:ascii="Times New Roman;sans-serif" w:hAnsi="Times New Roman;sans-serif"/>
                  <w:b w:val="false"/>
                  <w:color w:val="0000FF"/>
                  <w:sz w:val="20"/>
                  <w:u w:val="single"/>
                </w:rPr>
                <w:t>Other Information</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517">
              <w:r>
                <w:rPr>
                  <w:rStyle w:val="InternetLink"/>
                  <w:rFonts w:ascii="Times New Roman;sans-serif" w:hAnsi="Times New Roman;sans-serif"/>
                  <w:b w:val="false"/>
                  <w:color w:val="0000FF"/>
                  <w:sz w:val="20"/>
                  <w:u w:val="single"/>
                </w:rPr>
                <w:t>111</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523">
              <w:r>
                <w:rPr>
                  <w:rStyle w:val="InternetLink"/>
                  <w:rFonts w:ascii="Times New Roman;sans-serif" w:hAnsi="Times New Roman;sans-serif"/>
                  <w:b w:val="false"/>
                  <w:color w:val="0000FF"/>
                  <w:sz w:val="20"/>
                  <w:u w:val="single"/>
                </w:rPr>
                <w:t xml:space="preserve">Disclosure Regarding Foreign Jurisdictions that Prevent Inspections </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523">
              <w:r>
                <w:rPr>
                  <w:rStyle w:val="InternetLink"/>
                  <w:rFonts w:ascii="Times New Roman;sans-serif" w:hAnsi="Times New Roman;sans-serif"/>
                  <w:b w:val="false"/>
                  <w:color w:val="0000FF"/>
                  <w:sz w:val="20"/>
                  <w:u w:val="single"/>
                </w:rPr>
                <w:t>111</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III</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549">
              <w:r>
                <w:rPr>
                  <w:rStyle w:val="InternetLink"/>
                  <w:rFonts w:ascii="Times New Roman;sans-serif" w:hAnsi="Times New Roman;sans-serif"/>
                  <w:b w:val="false"/>
                  <w:color w:val="0000FF"/>
                  <w:sz w:val="20"/>
                  <w:u w:val="single"/>
                </w:rPr>
                <w:t>Directors, Executive Officers and Corporate Governance</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549">
              <w:r>
                <w:rPr>
                  <w:rStyle w:val="InternetLink"/>
                  <w:rFonts w:ascii="Times New Roman;sans-serif" w:hAnsi="Times New Roman;sans-serif"/>
                  <w:b w:val="false"/>
                  <w:color w:val="0000FF"/>
                  <w:sz w:val="20"/>
                  <w:u w:val="single"/>
                </w:rPr>
                <w:t>112</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565">
              <w:r>
                <w:rPr>
                  <w:rStyle w:val="InternetLink"/>
                  <w:rFonts w:ascii="Times New Roman;sans-serif" w:hAnsi="Times New Roman;sans-serif"/>
                  <w:b w:val="false"/>
                  <w:color w:val="0000FF"/>
                  <w:sz w:val="20"/>
                  <w:u w:val="single"/>
                </w:rPr>
                <w:t>Executive Compensation</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565">
              <w:r>
                <w:rPr>
                  <w:rStyle w:val="InternetLink"/>
                  <w:rFonts w:ascii="Times New Roman;sans-serif" w:hAnsi="Times New Roman;sans-serif"/>
                  <w:b w:val="false"/>
                  <w:color w:val="0000FF"/>
                  <w:sz w:val="20"/>
                  <w:u w:val="single"/>
                </w:rPr>
                <w:t>112</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560">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560">
              <w:r>
                <w:rPr>
                  <w:rStyle w:val="InternetLink"/>
                  <w:rFonts w:ascii="Times New Roman;sans-serif" w:hAnsi="Times New Roman;sans-serif"/>
                  <w:b w:val="false"/>
                  <w:color w:val="0000FF"/>
                  <w:sz w:val="20"/>
                  <w:u w:val="single"/>
                </w:rPr>
                <w:t>112</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555">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555">
              <w:r>
                <w:rPr>
                  <w:rStyle w:val="InternetLink"/>
                  <w:rFonts w:ascii="Times New Roman;sans-serif" w:hAnsi="Times New Roman;sans-serif"/>
                  <w:b w:val="false"/>
                  <w:color w:val="0000FF"/>
                  <w:sz w:val="20"/>
                  <w:u w:val="single"/>
                </w:rPr>
                <w:t>112</w:t>
              </w:r>
            </w:hyperlink>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575">
              <w:r>
                <w:rPr>
                  <w:rStyle w:val="InternetLink"/>
                  <w:rFonts w:ascii="Times New Roman;sans-serif" w:hAnsi="Times New Roman;sans-serif"/>
                  <w:b w:val="false"/>
                  <w:color w:val="0000FF"/>
                  <w:sz w:val="20"/>
                  <w:u w:val="single"/>
                </w:rPr>
                <w:t>Principal Accountant Fees and Services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575">
              <w:r>
                <w:rPr>
                  <w:rStyle w:val="InternetLink"/>
                  <w:rFonts w:ascii="Times New Roman;sans-serif" w:hAnsi="Times New Roman;sans-serif"/>
                  <w:b w:val="false"/>
                  <w:color w:val="0000FF"/>
                  <w:sz w:val="20"/>
                  <w:u w:val="single"/>
                </w:rPr>
                <w:t>112</w:t>
              </w:r>
            </w:hyperlink>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IV</w:t>
            </w:r>
          </w:p>
        </w:tc>
      </w:tr>
      <w:tr>
        <w:trPr/>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5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51">
              <w:r>
                <w:rPr>
                  <w:rStyle w:val="InternetLink"/>
                  <w:rFonts w:ascii="Times New Roman;sans-serif" w:hAnsi="Times New Roman;sans-serif"/>
                  <w:b w:val="false"/>
                  <w:color w:val="0000FF"/>
                  <w:sz w:val="20"/>
                  <w:u w:val="single"/>
                </w:rPr>
                <w:t>Exhibits, Financial Statement Schedules</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51">
              <w:r>
                <w:rPr>
                  <w:rStyle w:val="InternetLink"/>
                  <w:rFonts w:ascii="Times New Roman;sans-serif" w:hAnsi="Times New Roman;sans-serif"/>
                  <w:b w:val="false"/>
                  <w:color w:val="0000FF"/>
                  <w:sz w:val="20"/>
                  <w:u w:val="single"/>
                </w:rPr>
                <w:t>113</w:t>
              </w:r>
            </w:hyperlink>
          </w:p>
        </w:tc>
      </w:tr>
      <w:tr>
        <w:trPr/>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5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617">
              <w:r>
                <w:rPr>
                  <w:rStyle w:val="InternetLink"/>
                  <w:rFonts w:ascii="Times New Roman;sans-serif" w:hAnsi="Times New Roman;sans-serif"/>
                  <w:b w:val="false"/>
                  <w:color w:val="0000FF"/>
                  <w:sz w:val="20"/>
                  <w:u w:val="single"/>
                </w:rPr>
                <w:t>Form 10-K Summary</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617">
              <w:r>
                <w:rPr>
                  <w:rStyle w:val="InternetLink"/>
                  <w:rFonts w:ascii="Times New Roman;sans-serif" w:hAnsi="Times New Roman;sans-serif"/>
                  <w:b w:val="false"/>
                  <w:color w:val="0000FF"/>
                  <w:sz w:val="20"/>
                  <w:u w:val="single"/>
                </w:rPr>
                <w:t>116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retain and upgrade paying users;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new users or convert registered users to paying users;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financial performance, including trends in revenue, costs of revenue, gross profit or gross margin, operating expenses, paying users, annual recurring revenue, average revenue per user, free cash flow, and the assumptions underlying such trends;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expectations regarding general economic, political, and market trends and their respective impacts on our business;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compete successfully in competitive markets;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expectations regarding the potential impacts of a more permanent global shift to remote or distributed work, on our business, the business of our customers, suppliers and partners, and the economy;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demand for our platform or for content collaboration solutions in general;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effectively integrate our platform with others;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respond to rapid technological changes, including our ability to take advantage of potential market opportunities arising from what we believe to be a more permanent shift towards remote or distributed work;</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achieve or maintain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expectations around future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successfully introduce new products and features;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effectively invest in the development of new products and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retain, integrate, and manage key and other highly qualified personnel, including in light of our workforce reduction in April 2023 and as a result of our Virtual First model with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prevent security breaches and unauthorized access to customer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capital allocation plans, including expected allocations of cash and timing for our share repurchases and other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expectations regarding the challenges and anticipated benefits to our business from our Virtual First work model as well as the impact to our financial results and business operations as a result of this model;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effects of new or modified laws, policies, taxes, and regulations on our business;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sufficiency of our cash and cash equivalents to meet our liquidity needs;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Acquisitions of companies and assets.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Annual Report on Form 10-K.</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Securities and Exchange Commission ("SEC") before making an investment decision regarding our Class A common stock.</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depends on our ability to retain and upgrade paying users, and any decline in renewals or upgrades could adversely affect our future results of operations.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growth could be harmed if we fail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could be damaged, and we could be subject to liability if there is any unauthorized access to our data or our users' content, including through privacy and data security breaches or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rate of growth has declined in past periods. If we do not successfully execute our plan for future growth, our growth rate may continue to decline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may be significantly impacted by a change in general economic, political, and market conditions, including any resulting effect on consumer or business spending.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respond to rapid technological changes, extend our platform, or develop new features or products may harm our ability to compete effectively, which would adversely affect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 limited history of operating with a Virtual First workforce and the long-term impact on our financial results and business operations remains uncertain.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 history of net losses, we may increase expenses in the future, and we may not be able to achieve or maintain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Servicing our 2026 Notes and 2028 Notes (as defined below) may require a significant amount of cash, and we may not have sufficient cash flow or the ability to raise the funds necessary to satisfy our obligations under the 2026 Notes or 2028 Notes.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 xml:space="preserve">PART I.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 BUSINESS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Dropbox, Inc. (the “Company”, “we”, or “us”) is the one place to keep life organized and keep work moving.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were founded in 2007 with a simple idea: Life would be a lot better if everyone could access their most important information anytime from any device. Over the past decade, we’ve largely accomplished that mission by building tools to help people work from anywhere—and along the way we recognized that for most of our users, sharing and collaborating on the Dropbox, Inc. platform (“Dropbox”) was even more valuable than storing files.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market opportunity grew as we’ve expanded from keeping files in sync to keeping teams in sync. Today, we are well-positioned to reimagine the way work gets done. We're focusing on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 In a world where using technology at work can be fragmented and distracting, Dropbox makes it easy to focus on the work that matters.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popularity of our platform promotes viral growth, which has allowed us to scale rapidly and efficiently. We’ve built a thriving global business with 18.12 million paying users as of December 31, 2023.</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What Sets Us Apart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our founding, we’ve focused on simplifying the lives of our users. In a world where business software can be frustrating to use, challenging to integrate, and expensive to sell, we take a different approach. As businesses around the world adapt to a distributed environment, we are at the forefront of developing the technology to support them. We provide tools to help distributed teams prioritize, get organized, and keep work moving securely—from anywhere.</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Simple and intuitive design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While traditional tools developed in the desktop age have struggled to keep up with evolving user demands, Dropbox was designed for the cloud era. We build simple, beautiful products that bring joy to our users and make it easier for them to do their best work.</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Open ecosystem</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Because people use a wide variety of devices, tools and platforms, Dropbox works across the devices, operating systems, and apps users want—from Android to iOS, Windows, Mac, desktop, and mobile. We also integrate seamlessly with other products, integrating with partners including Microsoft, Zoom, Slack (now part of Salesforce), BetterCloud, Atlassian, and Google.</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Viral, bottom-up adoption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Every year, millions of users sign up for Dropbox. Bottom-up adoption within organizations has been critical to our strategy and success as users increasingly choose their own tools at work. We generate over 90% of our revenue from self-serve channels—users who purchase a subscription through our app or website.</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Performance and security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custom-built infrastructure allows us to maintain high standards of performance, availability, and security. Dropbox is built on proprietary, block-level sync technology to achieve industry-leading performance.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pStyle w:val="TextBody"/>
        <w:bidi w:val="0"/>
        <w:spacing w:before="120" w:after="283"/>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Solution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Dropbox allows individuals, teams, and organizations to collaborate more effectively and focus on the work that matters. Anyone can sign up for free through our website or app, and upgrade to a paid subscription plan for premium features.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include individuals, families, teams, and organizations of all sizes, from freelancers and small businesses to Fortune 100 companies. They work across a wide range of industries, including professional services, technology, media, education, industrial, consumer and retail, and financial services. Within companies, our platform is used by all types of teams and functions, including sales, marketing, product, design, engineering, finance, legal, and human resources.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Key elements of our platform</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Unified home for content.</w:t>
      </w:r>
      <w:r>
        <w:rPr>
          <w:color w:val="000000"/>
        </w:rPr>
        <w:t xml:space="preserve"> </w:t>
      </w:r>
      <w:r>
        <w:rPr>
          <w:rFonts w:ascii="Times New Roman;sans-serif" w:hAnsi="Times New Roman;sans-serif"/>
          <w:b w:val="false"/>
          <w:color w:val="000000"/>
          <w:sz w:val="20"/>
        </w:rPr>
        <w:t>We provide a unified home for the world’s content and the relevant context around it. To date, our users have added hundreds of billions of pieces of content to Dropbox, totaling over multiple exabytes of data. When users adopt the Dropbox platform, they gain access to a digital workspace that supports the full content lifecycle—they can create and organize their content, access it from anywhere, share it with internal and external collaborators, and review feedback and history.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Global sharing network.</w:t>
      </w:r>
      <w:r>
        <w:rPr>
          <w:color w:val="000000"/>
        </w:rPr>
        <w:t xml:space="preserve"> </w:t>
      </w:r>
      <w:r>
        <w:rPr>
          <w:rFonts w:ascii="Times New Roman;sans-serif" w:hAnsi="Times New Roman;sans-serif"/>
          <w:b w:val="false"/>
          <w:color w:val="000000"/>
          <w:sz w:val="20"/>
        </w:rPr>
        <w:t>We’ve built one of the largest collaboration platforms in the world.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 xml:space="preserve">Product experiences and integrations. </w:t>
      </w:r>
      <w:r>
        <w:rPr>
          <w:rFonts w:ascii="Times New Roman;sans-serif" w:hAnsi="Times New Roman;sans-serif"/>
          <w:b w:val="false"/>
          <w:color w:val="000000"/>
          <w:sz w:val="20"/>
        </w:rPr>
        <w:t>The insights we glean from our community of users and our deep integrations with best-of-breed companies lead us to develop or acquire new product experiences and extend the capabilities of our platform. Products like Dropbox Passwords, Vault, Computer Backup, Dropbox Sign, DocSend, Dropbox Capture, and FormSwift and deep integrations with companies like Microsoft, Zoom, Atlassian, Slack, and BetterCloud help us provide our users with the functionality they need to do their best work. Machine learning further improves the user experience by enabling more intelligent search, better organization, and utility of information. We have also made investments in developing products that will incorporate artificial intelligence ("AI") technologies in the future. This ongoing innovation broadens the value of our platform and deepens user engagement.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Capabilities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Dropbox is a single organized place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Create</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Paper</w:t>
      </w:r>
      <w:r>
        <w:rPr>
          <w:rFonts w:ascii="Times New Roman;sans-serif" w:hAnsi="Times New Roman;sans-serif"/>
          <w:b w:val="false"/>
          <w:color w:val="000000"/>
          <w:sz w:val="20"/>
        </w:rPr>
        <w:t>. With Dropbox Paper, users can co-author content, tag others, create timelines, assign tasks with due dates, embed and comment on files, tables, checklists, code snippets, and rich media—all in real-time. We designed Paper to be simple and beautiful so users can focus on the most important ideas and tasks at hand.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Doc scanner</w:t>
      </w:r>
      <w:r>
        <w:rPr>
          <w:rFonts w:ascii="Times New Roman;sans-serif" w:hAnsi="Times New Roman;sans-serif"/>
          <w:b w:val="false"/>
          <w:color w:val="000000"/>
          <w:sz w:val="20"/>
        </w:rPr>
        <w:t>. The doc scanner in our mobile app lets users create content in Dropbox from hard copies. This includes transforming everything from 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Access and organize</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Search</w:t>
      </w:r>
      <w:r>
        <w:rPr>
          <w:rFonts w:ascii="Times New Roman;sans-serif" w:hAnsi="Times New Roman;sans-serif"/>
          <w:b w:val="false"/>
          <w:color w:val="000000"/>
          <w:sz w:val="20"/>
        </w:rPr>
        <w:t>. Dropbox has powerful search capabilities that allow users to quickly find the files and folders they need. Our autocomplete technology surfaces and prioritizes content based on users’ previous activity. For Dropbox Plus, Professional, and Business users, full text search allows users to scan the entire content of their files.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Rich previews</w:t>
      </w:r>
      <w:r>
        <w:rPr>
          <w:rFonts w:ascii="Times New Roman;sans-serif" w:hAnsi="Times New Roman;sans-serif"/>
          <w:b w:val="false"/>
          <w:color w:val="000000"/>
          <w:sz w:val="20"/>
        </w:rPr>
        <w:t>. Rich previews allow users to easily interact with files across any device without having to open different applications. Users can comment on, annotate, review, and present files, and see who viewed and edited them. We support previews of over 300 file types, and Dropbox users currently preview files tens of millions of times every day.</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Smart Sync</w:t>
      </w:r>
      <w:r>
        <w:rPr>
          <w:rFonts w:ascii="Times New Roman;sans-serif" w:hAnsi="Times New Roman;sans-serif"/>
          <w:b w:val="false"/>
          <w:color w:val="000000"/>
          <w:sz w:val="20"/>
        </w:rPr>
        <w:t>. With Smart Sync, users can access all of their content natively on their computers without taking up storage space on their local hard drives. 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Dropbox Plus, Professional, and Business users.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Version history</w:t>
      </w:r>
      <w:r>
        <w:rPr>
          <w:rFonts w:ascii="Times New Roman;sans-serif" w:hAnsi="Times New Roman;sans-serif"/>
          <w:b w:val="false"/>
          <w:color w:val="000000"/>
          <w:sz w:val="20"/>
        </w:rPr>
        <w:t>. As paying users work on files, our servers keep snapshots of all their changes. Users can see a file’s complete version history so they can reference and retrieve older versions, depending on the users’ subscription. Version histories are kept up to 365 days for paying users, depending on the users’ subscription.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Third-party ecosystem</w:t>
      </w:r>
      <w:r>
        <w:rPr>
          <w:rFonts w:ascii="Times New Roman;sans-serif" w:hAnsi="Times New Roman;sans-serif"/>
          <w:b w:val="false"/>
          <w:color w:val="000000"/>
          <w:sz w:val="20"/>
        </w:rPr>
        <w:t>. Our open and thriving ecosystem fosters deeper relationships with our users and developers. Developers can build applications that connect to Dropbox through our DBX Developer Platform. For example, email apps can plug into Dropbox to send attachments or shared links, video-conferencing apps allow users to start meetings and share content natively from Dropbox, and eSignature apps give users the ability to manage and maintain contract workflows all from within Dropbox. As of December 31, 2023, Dropbox was receiving over 75 billion API calls per month and just under 1,000,000 developers had registered and built applications on our platform. In addition, more than 80% of Dropbox Business teams have linked to one or more third-party applications.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 xml:space="preserve">Rewind. </w:t>
      </w:r>
      <w:r>
        <w:rPr>
          <w:rFonts w:ascii="Times New Roman;sans-serif" w:hAnsi="Times New Roman;sans-serif"/>
          <w:b w:val="false"/>
          <w:color w:val="000000"/>
          <w:sz w:val="20"/>
        </w:rPr>
        <w:t>Dropbox Rewind is a tool that lets a user take a folder, or their entire account, back to a specific point in time. The tool uses version history to undo changes made to files and folders, and can recover any file edits or deletions up to the last 365 days, depending on the users’ subscription.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 xml:space="preserve">Computer Backup. </w:t>
      </w:r>
      <w:r>
        <w:rPr>
          <w:rFonts w:ascii="Times New Roman;sans-serif" w:hAnsi="Times New Roman;sans-serif"/>
          <w:b w:val="false"/>
          <w:color w:val="000000"/>
          <w:sz w:val="20"/>
        </w:rPr>
        <w:t xml:space="preserve">Computer backup automatically syncs folders on a user's computer to the cloud. When turned on, files on the user's PC or Mac are continuously backed up on the cloud. Any changes made in synced folders are automatically updated in the Dropbox account and on the hard drive. Computer backup allows users to get up-to-date versions of files stored on the user's PC or Mac from anywhere and from any device instantly. Content is secure in the cloud, no matter what happens to the user's computer.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 xml:space="preserve">Passwords. </w:t>
      </w:r>
      <w:r>
        <w:rPr>
          <w:rFonts w:ascii="Times New Roman;sans-serif" w:hAnsi="Times New Roman;sans-serif"/>
          <w:b w:val="false"/>
          <w:color w:val="000000"/>
          <w:sz w:val="20"/>
        </w:rPr>
        <w:t xml:space="preserve">Dropbox Passwords allows users to sign-in to websites and apps by creating and storing unique usernames and passwords across devices. The app can autofill usernames and passwords for instant access anywhere within applications available for Windows, Mac, iOS, and Android.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 xml:space="preserve">Vault. </w:t>
      </w:r>
      <w:r>
        <w:rPr>
          <w:rFonts w:ascii="Times New Roman;sans-serif" w:hAnsi="Times New Roman;sans-serif"/>
          <w:b w:val="false"/>
          <w:color w:val="000000"/>
          <w:sz w:val="20"/>
        </w:rPr>
        <w:t xml:space="preserve">Dropbox Vault helps secure and organize sensitive information in the cloud. Vault, which is only available for Dropbox Plus, Professional, and Family plans, is a PIN-protected folder in Dropbox that a user can access any time. Sensitive data can be added and viewed from Windows and the Dropbox mobile app.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Share</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Folders</w:t>
      </w:r>
      <w:r>
        <w:rPr>
          <w:rFonts w:ascii="Times New Roman;sans-serif" w:hAnsi="Times New Roman;sans-serif"/>
          <w:b w:val="false"/>
          <w:color w:val="000000"/>
          <w:sz w:val="20"/>
        </w:rPr>
        <w:t>. There are three types of folders in Dropbox: private, shared, and team folders. A private folder allows an individual to sync files between devices. A shared folder allows users to quickly and easily start a project space for group collaboration. A team folder, which is only available for Dropbox Business teams, is a central, administrator-managed hub where they can store and collaborate on content.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Shared links</w:t>
      </w:r>
      <w:r>
        <w:rPr>
          <w:rFonts w:ascii="Times New Roman;sans-serif" w:hAnsi="Times New Roman;sans-serif"/>
          <w:b w:val="false"/>
          <w:color w:val="000000"/>
          <w:sz w:val="20"/>
        </w:rPr>
        <w:t>. Users can share files and folders with anyone, including non-Dropbox users, by creating a Dropbox link. Once created, the link can be sent through email, text, Facebook, X,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 xml:space="preserve">Transfer. </w:t>
      </w:r>
      <w:r>
        <w:rPr>
          <w:rFonts w:ascii="Times New Roman;sans-serif" w:hAnsi="Times New Roman;sans-serif"/>
          <w:b w:val="false"/>
          <w:color w:val="000000"/>
          <w:sz w:val="20"/>
        </w:rPr>
        <w:t>Dropbox Transfer gives users a quick and secure way to send large files or collections of files to anyone. With Transfer, users can send up to 100 GB of files in just a few clicks, depending on the users’ subscription. Users also have the option to drag and drop files to upload from their computer, or add items stored in Dropbox. After creating a transfer, users receive a link that can be pasted anywhere and sent to anyone. Recipients receive copies of the files, so the sender’s originals remain untouched.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File requests</w:t>
      </w:r>
      <w:r>
        <w:rPr>
          <w:rFonts w:ascii="Times New Roman;sans-serif" w:hAnsi="Times New Roman;sans-serif"/>
          <w:b w:val="false"/>
          <w:color w:val="000000"/>
          <w:sz w:val="20"/>
        </w:rPr>
        <w:t>. With file requests, users can invite anyone to submit files into a specified Dropbox folder through a simple link—regardless of whether the recipient has a Dropbox account. File requests are ideal for tasks such as collecting bids from contractors or requesting submissions from coworkers and clients. All submitted files are organized into a Dropbox folder that’s private to the requesting user.</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 xml:space="preserve">Watermarking. </w:t>
      </w:r>
      <w:r>
        <w:rPr>
          <w:rFonts w:ascii="Times New Roman;sans-serif" w:hAnsi="Times New Roman;sans-serif"/>
          <w:b w:val="false"/>
          <w:color w:val="000000"/>
          <w:sz w:val="20"/>
        </w:rPr>
        <w:t xml:space="preserve">Our Dropbox watermarking feature allows users to protect and share digital files quickly and easily. The watermark feature can be used to protect graphic designs, confidential contracts, and personal photographs. Users can create their own custom watermark and watermark any file without leaving Dropbox. </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 xml:space="preserve">DocSend. </w:t>
      </w:r>
      <w:r>
        <w:rPr>
          <w:rFonts w:ascii="Times New Roman;sans-serif" w:hAnsi="Times New Roman;sans-serif"/>
          <w:b w:val="false"/>
          <w:color w:val="000000"/>
          <w:sz w:val="20"/>
        </w:rPr>
        <w:t>DocSend is a secure document sharing and analytics platform that gives customers visibility into what happens to their documents after they send them. DocSend technology enables customers to track who opens their documents and how much time they spend on each page, protect documents with security features like email verification and viewer whitelisting, and share multiple documents with a single link.</w:t>
      </w:r>
    </w:p>
    <w:p>
      <w:pPr>
        <w:pStyle w:val="TextBody"/>
        <w:bidi w:val="0"/>
        <w:spacing w:before="0" w:after="0"/>
        <w:ind w:left="0" w:right="0" w:firstLine="54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Collaborate</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Comments and annotations</w:t>
      </w:r>
      <w:r>
        <w:rPr>
          <w:rFonts w:ascii="Times New Roman;sans-serif" w:hAnsi="Times New Roman;sans-serif"/>
          <w:b w:val="false"/>
          <w:color w:val="000000"/>
          <w:sz w:val="20"/>
        </w:rPr>
        <w:t>. Dropbox comments and annotations marry content with the conversations and relevant context around it. Instead of being scattered across separate silos, such as email and chat, the editing and development of content are tied to a file. Users can give feedback on specific parts of files through a rich, innovative overlay on our web and mobile platforms.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File activity stream.</w:t>
      </w:r>
      <w:r>
        <w:rPr>
          <w:color w:val="000000"/>
        </w:rPr>
        <w:t xml:space="preserve"> </w:t>
      </w:r>
      <w:r>
        <w:rPr>
          <w:rFonts w:ascii="Times New Roman;sans-serif" w:hAnsi="Times New Roman;sans-serif"/>
          <w:b w:val="false"/>
          <w:color w:val="000000"/>
          <w:sz w:val="20"/>
        </w:rPr>
        <w:t>An activity feed lives next to every file preview on our web interface and in the desktop app, telling users what’s happening with a file. The feed shows when someone opens a file, edits a file, or shares a file.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Notifications</w:t>
      </w:r>
      <w:r>
        <w:rPr>
          <w:rFonts w:ascii="Times New Roman;sans-serif" w:hAnsi="Times New Roman;sans-serif"/>
          <w:b w:val="false"/>
          <w:color w:val="000000"/>
          <w:sz w:val="20"/>
        </w:rPr>
        <w:t xml:space="preserve">. We use real-time notifications across all our channels—web, desktop, email, and mobile—to keep users up-to-date on what’s happening with their work. Users can choose to be notified when someone opens, edits, shares, or comments on a file, or adds a file to their shared folders.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Viewer information and presence</w:t>
      </w:r>
      <w:r>
        <w:rPr>
          <w:rFonts w:ascii="Times New Roman;sans-serif" w:hAnsi="Times New Roman;sans-serif"/>
          <w:b w:val="false"/>
          <w:color w:val="000000"/>
          <w:sz w:val="20"/>
        </w:rPr>
        <w:t>. On both file previews and Paper docs, Dropbox shows users in real-time who’s viewing a doc and when a doc was last 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 xml:space="preserve">Dropbox Sign. </w:t>
      </w:r>
      <w:r>
        <w:rPr>
          <w:rFonts w:ascii="Times New Roman;sans-serif" w:hAnsi="Times New Roman;sans-serif"/>
          <w:b w:val="false"/>
          <w:color w:val="000000"/>
          <w:sz w:val="20"/>
        </w:rPr>
        <w:t>Dropbox</w:t>
      </w:r>
      <w:r>
        <w:rPr>
          <w:color w:val="000000"/>
        </w:rPr>
        <w:t xml:space="preserve"> </w:t>
      </w:r>
      <w:r>
        <w:rPr>
          <w:rFonts w:ascii="Times New Roman;sans-serif" w:hAnsi="Times New Roman;sans-serif"/>
          <w:b w:val="false"/>
          <w:color w:val="000000"/>
          <w:sz w:val="20"/>
        </w:rPr>
        <w:t>Sign is an eSignature and document workflow platform that enables customers to easily sign, send, and receive documents through its intuitive web and mobile based interfaces. Once documents are signed, copies automatically sync to the user's Dropbox account.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 xml:space="preserve">Capture. </w:t>
      </w:r>
      <w:r>
        <w:rPr>
          <w:rFonts w:ascii="Times New Roman;sans-serif" w:hAnsi="Times New Roman;sans-serif"/>
          <w:b w:val="false"/>
          <w:color w:val="000000"/>
          <w:sz w:val="20"/>
        </w:rPr>
        <w:t xml:space="preserve">Dropbox Capture is an all-in-one visual communication tool that helps team members share their work and idea asynchronously. Dropbox Capture allows users to visually present their work through easy-to-take screen recordings, GIFs, and screenshots.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 xml:space="preserve">FormSwift. </w:t>
      </w:r>
      <w:r>
        <w:rPr>
          <w:rFonts w:ascii="Times New Roman;sans-serif" w:hAnsi="Times New Roman;sans-serif"/>
          <w:b w:val="false"/>
          <w:color w:val="000000"/>
          <w:sz w:val="20"/>
        </w:rPr>
        <w:t>FormSwift is a cloud-based service that gives individuals and businesses a simple solution to create, complete, edit, and save critical business forms and agreements.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Secure</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Security protections.</w:t>
      </w:r>
      <w:r>
        <w:rPr>
          <w:color w:val="000000"/>
        </w:rPr>
        <w:t xml:space="preserve"> </w:t>
      </w:r>
      <w:r>
        <w:rPr>
          <w:rFonts w:ascii="Times New Roman;sans-serif" w:hAnsi="Times New Roman;sans-serif"/>
          <w:b w:val="false"/>
          <w:color w:val="000000"/>
          <w:sz w:val="20"/>
        </w:rPr>
        <w:t>We employ strong protections for all of the data on our platform.</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Encryption</w:t>
      </w:r>
      <w:r>
        <w:rPr>
          <w:rFonts w:ascii="Times New Roman;sans-serif" w:hAnsi="Times New Roman;sans-serif"/>
          <w:b w:val="false"/>
          <w:color w:val="000000"/>
          <w:sz w:val="20"/>
        </w:rPr>
        <w:t>. Dropbox file data at rest is encrypted using 256-bit Advanced Encryption Standard, or AES. To protect data in transit between Dropbox apps such as desktop, mobile, API, or web and our servers, Dropbox uses Secure Sockets Layer, or SSL, and Transport Layer Security, or TLS, for data transfer, creating a secure tunnel protected by 128-bit or higher AES encryption.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File recovery</w:t>
      </w:r>
      <w:r>
        <w:rPr>
          <w:rFonts w:ascii="Times New Roman;sans-serif" w:hAnsi="Times New Roman;sans-serif"/>
          <w:b w:val="false"/>
          <w:color w:val="000000"/>
          <w:sz w:val="20"/>
        </w:rPr>
        <w:t>. Every deletion event in Dropbox is recorded, including when groups of files are deleted. Users can easily recover files through our web interface. Dropbox Plus subscribers may recover prior versions for up to 30 days after deletion, and Dropbox Professional and Dropbox Business subscribers may recover prior versions for up to 180 days after deletion.</w:t>
      </w:r>
    </w:p>
    <w:p>
      <w:pPr>
        <w:pStyle w:val="TextBody"/>
        <w:bidi w:val="0"/>
        <w:spacing w:before="0" w:after="0"/>
        <w:jc w:val="left"/>
        <w:rPr/>
      </w:pPr>
      <w:r>
        <w:rPr/>
      </w:r>
    </w:p>
    <w:p>
      <w:pPr>
        <w:pStyle w:val="TextBody"/>
        <w:bidi w:val="0"/>
        <w:spacing w:lineRule="auto" w:line="288" w:before="180" w:after="283"/>
        <w:ind w:left="0" w:right="0" w:firstLine="495"/>
        <w:jc w:val="left"/>
        <w:rPr/>
      </w:pPr>
      <w:r>
        <w:rPr>
          <w:rFonts w:ascii="Times New Roman;sans-serif" w:hAnsi="Times New Roman;sans-serif"/>
          <w:b w:val="false"/>
          <w:i/>
          <w:color w:val="000000"/>
          <w:sz w:val="20"/>
        </w:rPr>
        <w:t>Administrator controls</w:t>
      </w:r>
      <w:r>
        <w:rPr>
          <w:rFonts w:ascii="Times New Roman;sans-serif" w:hAnsi="Times New Roman;sans-serif"/>
          <w:b w:val="false"/>
          <w:color w:val="000000"/>
          <w:sz w:val="20"/>
        </w:rPr>
        <w:t xml:space="preserve">. Dropbox Business team administrators have many ways to customize security settings in both global and granular ways, including real-time detections of suspicious behavior, risky activity, and potential data leaks. </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Sharing permissions</w:t>
      </w:r>
      <w:r>
        <w:rPr>
          <w:rFonts w:ascii="Times New Roman;sans-serif" w:hAnsi="Times New Roman;sans-serif"/>
          <w:b w:val="false"/>
          <w:color w:val="000000"/>
          <w:sz w:val="20"/>
        </w:rPr>
        <w:t>: Team administrators can set up and monitor how their members share team folders, and can set sharing permissions on all folders, sub-folders, and links through the sharing tab.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Remote device wipe</w:t>
      </w:r>
      <w:r>
        <w:rPr>
          <w:rFonts w:ascii="Times New Roman;sans-serif" w:hAnsi="Times New Roman;sans-serif"/>
          <w:b w:val="false"/>
          <w:color w:val="000000"/>
          <w:sz w:val="20"/>
        </w:rPr>
        <w:t>: Team administrators can delete their organization’s Dropbox content from a member’s linked devices, which is especially useful should someone lose a device or leave the team.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Audit log</w:t>
      </w:r>
      <w:r>
        <w:rPr>
          <w:rFonts w:ascii="Times New Roman;sans-serif" w:hAnsi="Times New Roman;sans-serif"/>
          <w:b w:val="false"/>
          <w:color w:val="000000"/>
          <w:sz w:val="20"/>
        </w:rPr>
        <w:t>: Team administrators can monitor which members are sharing files and logging into Dropbox, among other events. They can review activity logs, create full reports for specific time ranges, and pull activity reports on specific members. Advanced and Enterprise team administrators have access to audit logs with file-event tracking.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Device approvals</w:t>
      </w:r>
      <w:r>
        <w:rPr>
          <w:rFonts w:ascii="Times New Roman;sans-serif" w:hAnsi="Times New Roman;sans-serif"/>
          <w:b w:val="false"/>
          <w:color w:val="000000"/>
          <w:sz w:val="20"/>
        </w:rPr>
        <w:t>: Advanced and Enterprise team administrators can manage how members access Dropbox on their devices.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Tiered administrator roles</w:t>
      </w:r>
      <w:r>
        <w:rPr>
          <w:rFonts w:ascii="Times New Roman;sans-serif" w:hAnsi="Times New Roman;sans-serif"/>
          <w:b w:val="false"/>
          <w:color w:val="000000"/>
          <w:sz w:val="20"/>
        </w:rPr>
        <w:t>: Advanced and Enterprise teams have the ability to set multiple administrator roles, each with a different set of permissions.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Network control</w:t>
      </w:r>
      <w:r>
        <w:rPr>
          <w:rFonts w:ascii="Times New Roman;sans-serif" w:hAnsi="Times New Roman;sans-serif"/>
          <w:b w:val="false"/>
          <w:color w:val="000000"/>
          <w:sz w:val="20"/>
        </w:rPr>
        <w:t>: Enterprise team administrators can restrict personal Dropbox usage on their organization’s network.</w:t>
      </w:r>
    </w:p>
    <w:p>
      <w:pPr>
        <w:pStyle w:val="TextBody"/>
        <w:bidi w:val="0"/>
        <w:spacing w:lineRule="auto" w:line="288" w:before="240" w:after="283"/>
        <w:ind w:left="0" w:right="0" w:firstLine="495"/>
        <w:jc w:val="left"/>
        <w:rPr/>
      </w:pPr>
      <w:r>
        <w:rPr>
          <w:rFonts w:ascii="Times New Roman;sans-serif" w:hAnsi="Times New Roman;sans-serif"/>
          <w:b w:val="false"/>
          <w:i/>
          <w:color w:val="000000"/>
          <w:sz w:val="20"/>
        </w:rPr>
        <w:t>Third-party security integrations</w:t>
      </w:r>
      <w:r>
        <w:rPr>
          <w:rFonts w:ascii="Times New Roman;sans-serif" w:hAnsi="Times New Roman;sans-serif"/>
          <w:b w:val="false"/>
          <w:color w:val="000000"/>
          <w:sz w:val="20"/>
        </w:rPr>
        <w:t>. We’ve partnered with industry-leading third parties to enable us to provide a wide range of IT processes and satisfy industry compliance standards, including: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Security information and event management</w:t>
      </w:r>
      <w:r>
        <w:rPr>
          <w:rFonts w:ascii="Times New Roman;sans-serif" w:hAnsi="Times New Roman;sans-serif"/>
          <w:b w:val="false"/>
          <w:color w:val="000000"/>
          <w:sz w:val="20"/>
        </w:rPr>
        <w:t>: Allows Dropbox Business administrators to oversee and manage employee activity, and access sensitive data through the administrator page.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Data loss prevention</w:t>
      </w:r>
      <w:r>
        <w:rPr>
          <w:rFonts w:ascii="Times New Roman;sans-serif" w:hAnsi="Times New Roman;sans-serif"/>
          <w:b w:val="false"/>
          <w:color w:val="000000"/>
          <w:sz w:val="20"/>
        </w:rPr>
        <w:t>: Protects sensitive data like personally identifiable information and payment card industry data stored in Dropbox Business accounts.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eDiscovery and legal hold</w:t>
      </w:r>
      <w:r>
        <w:rPr>
          <w:rFonts w:ascii="Times New Roman;sans-serif" w:hAnsi="Times New Roman;sans-serif"/>
          <w:b w:val="false"/>
          <w:color w:val="000000"/>
          <w:sz w:val="20"/>
        </w:rPr>
        <w:t>: Enables secure search and the ability to collect and preserve electronically stored information in Dropbox Business accounts.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Digital rights management</w:t>
      </w:r>
      <w:r>
        <w:rPr>
          <w:rFonts w:ascii="Times New Roman;sans-serif" w:hAnsi="Times New Roman;sans-serif"/>
          <w:b w:val="false"/>
          <w:color w:val="000000"/>
          <w:sz w:val="20"/>
        </w:rPr>
        <w:t>: Provides third-party encryption for company data stored in Dropbox Business accounts.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Data migration and on-premises backup</w:t>
      </w:r>
      <w:r>
        <w:rPr>
          <w:rFonts w:ascii="Times New Roman;sans-serif" w:hAnsi="Times New Roman;sans-serif"/>
          <w:b w:val="false"/>
          <w:color w:val="000000"/>
          <w:sz w:val="20"/>
        </w:rPr>
        <w:t>: Assists in transferring large amounts of data between locations and securing sensitive information with on-site data backup.</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Identity management</w:t>
      </w:r>
      <w:r>
        <w:rPr>
          <w:rFonts w:ascii="Times New Roman;sans-serif" w:hAnsi="Times New Roman;sans-serif"/>
          <w:b w:val="false"/>
          <w:color w:val="000000"/>
          <w:sz w:val="20"/>
        </w:rPr>
        <w:t>: Allows companies to keep their Dropbox Business team authenticated with an external identity provider like Active Directory.</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Subscription Plans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offer a range of subscription plans for our users, including a free, Basic plan, paid Personal plans, and Business plans.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We’ve built a thriving global business with 18.12 million paying users. As of December 31, 2023, we had more than 575,000 paying Dropbox Business teams. Our customer base is highly diversified, and in 2023, 2022, and 2021,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How we support our customers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of our users can access support through the following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Help center</w:t>
      </w:r>
      <w:r>
        <w:rPr>
          <w:rFonts w:ascii="Times New Roman;sans-serif" w:hAnsi="Times New Roman;sans-serif"/>
          <w:b w:val="false"/>
          <w:color w:val="000000"/>
          <w:sz w:val="20"/>
        </w:rPr>
        <w:t>: Provides an online repository of helpful information about our platform, responses to frequently asked questions, and best practices for use.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Community support</w:t>
      </w:r>
      <w:r>
        <w:rPr>
          <w:rFonts w:ascii="Times New Roman;sans-serif" w:hAnsi="Times New Roman;sans-serif"/>
          <w:b w:val="false"/>
          <w:color w:val="000000"/>
          <w:sz w:val="20"/>
        </w:rPr>
        <w:t>: Facilitates collaboration between users on answers, solutions, and ideas about our platform in an online community.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Social media support</w:t>
      </w:r>
      <w:r>
        <w:rPr>
          <w:rFonts w:ascii="Times New Roman;sans-serif" w:hAnsi="Times New Roman;sans-serif"/>
          <w:b w:val="false"/>
          <w:color w:val="000000"/>
          <w:sz w:val="20"/>
        </w:rPr>
        <w:t>: Provides users real-time product and service updates, and offers tips and troubleshooting information.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i/>
          <w:color w:val="000000"/>
          <w:sz w:val="20"/>
        </w:rPr>
        <w:t>Guided troubleshooting</w:t>
      </w:r>
      <w:r>
        <w:rPr>
          <w:rFonts w:ascii="Times New Roman;sans-serif" w:hAnsi="Times New Roman;sans-serif"/>
          <w:b w:val="false"/>
          <w:color w:val="000000"/>
          <w:sz w:val="20"/>
        </w:rPr>
        <w:t>: Offers step-by-step instructions to resolve common questions and provides a portal to submit help requests for questions that aren’t otherwise addressed.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additional levels of support for our paying users depending on the subscription plan they choose.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Sales and Marketing Approach</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users share content and collaborate on our platform, they introduce and invite new users, driving viral growth. We generate over 90% of our revenue from self-serve channels, which limits customer acquisition costs.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We’ve developed an efficient marketing function that’s focused on building brand awareness and reinforcing our self-serve model.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Each year, hundreds of millions of devices—including computers, phones, and tablets—are actively connected to the Dropbox platform, representing a large number of touchpoints to communicate with our users. We complement our self-serve strategy with a focused outbound sales effort targeted at organizations with existing organic adoption of Dropbox.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Once prospects are identified, our sales team works to broaden adoption of our platform into wider-scale deployments. We also acquire some users through paid marketing and distribution partnerships in which hardware manufacturers pre-install our software on their devices. </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Technology Infrastructure and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Oregon, Texas, and Virginia.</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utilize Amazon Web Services, or AWS, for the remainder of our users’ storage needs and to help deliver our services. These AWS datacenters are located in the United States, Australia, Europe, and Japan, which allows us to localize where content is stored. Our technology infrastructure, combined with select use of AWS resources, provides us with a distributed and scalable architecture on a global scale.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 </w:t>
      </w:r>
    </w:p>
    <w:p>
      <w:pPr>
        <w:pStyle w:val="TextBody"/>
        <w:bidi w:val="0"/>
        <w:spacing w:before="0" w:after="0"/>
        <w:ind w:left="0" w:right="0" w:firstLine="495"/>
        <w:jc w:val="left"/>
        <w:rPr/>
      </w:pPr>
      <w:r>
        <w:rPr/>
      </w:r>
    </w:p>
    <w:p>
      <w:pPr>
        <w:pStyle w:val="TextBody"/>
        <w:bidi w:val="0"/>
        <w:spacing w:lineRule="auto" w:line="25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make investments in technology both to improve our existing products and services and to develop new ones. We have made, and intend to continue making, investments in developing products that will incorporate AI.</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Commitment to Security, Privacy and Legal Compliance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Trust is the foundation of our relationship with our users, and we take significant measures every day to protect their privacy and security.</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Security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 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 We voluntarily engage third-party security auditors to test our systems and controls at least annually against the most widely recognized security standards and regulations. We also encourage and support independent research through our bug bounty program, where we work with leading security researchers from around the world to maintain the high standards of security our users have come to expect.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Privacy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keeping user data private, and are subject to a number of privacy laws and regulations such as the European Union's General Data Protection Regulation ("GDPR") and the California Consumer Privacy Act ("CCPA") in the U.S. These laws and regulations impose increasingly numerous, complex obligations on us. To comply with and manage our obligations under such privacy laws and regulations, we operate a robust privacy program and have appointed a Data Protection Officer. Our privacy policy details how we process our users’ personal data as well as the steps we take to protect it. For third-party developers that create applications that connect to Dropbox, we also set forth terms and guidelines that explain their obligation to protect the privacy of our users' personal data.</w:t>
      </w:r>
    </w:p>
    <w:p>
      <w:pPr>
        <w:pStyle w:val="TextBody"/>
        <w:bidi w:val="0"/>
        <w:spacing w:lineRule="auto" w:line="288" w:before="24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Other Government Regulations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compliance with various laws and regulations. These include those covering copyright, indecent content, child protection, and similar matters regarding the content stored and created on our platform as well as consumer protection laws that may impact our sales and marketing efforts, including laws related to subscriptions, billing, and auto renewal. In addition to laws and regulations governing content stored and created on our platform and consumer protection, we are also subject to anti-corruption laws and export and import regulations. The laws in these areas are often in a state of flux and can vary widely between jurisdictions. To comply with and manage our obligations under such laws and regulations, we track relevant legislative, regulatory, and contractual requirements. In addition, we have instituted processes and policies to ensure we review our business practices for appropriate compliance with such requirements.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Competition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content collaboration platforms is competitive and rapidly changing. Certain features of our platform compete in the cloud storage market with products offered by Microsoft, Amazon, Apple, Slack (now part of Salesforce), Google, and Adobe and in the content collaboration market with products offered by Microsoft, Atlassian, and Google. On a more limited basis, we compete with Box in the cloud storage market for deployments by large enterprises and with Adobe and DocuSign in the e-signature market. We also compete with smaller private companies that offer point solutions in the cloud storage market or the content collaboration market.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principal competitive factors in our markets include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user-centric design;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ease of adoption and use;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scale of user network;</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features and platform experience;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performance;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brand;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security and privacy;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accessibility across several devices, operating systems, and applications;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third-party integration;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customer support;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continued innovation;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pricing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investments in AI;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macroeconomic trends.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compete favorably across these factors,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over 1,750 issued patents and more than 250 pending patent applications in the United States and abroad. These patents and patent applications seek to protect our proprietary inventions relevant to our business. In addition, we license a number of key third-party patents in the file collaboration, storage, syncing, and sharing markets.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Dropbox, we believe that the world can work better. But that starts with us: building a team that emphasizes the kindness and collaboration needed to grow. We believe the strength of our workforce is one of the most significant contributors to our success. As of December 31, 2023, we had 2,693 full-time employees. Of our full-time employees, 2,226 were located in the United States and 467 were employees located outside of the United States. None of our employees are represented by a labor union, except to the extent certain employees outside the United States are represented by national trade unions or local works councils. We have not experienced any work stoppages, and we believe that our employee relations are strong.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2023, we announced a reduction of our global workforce by approximately 16% to streamline our team structure in support of our long-term growth and profitability objectives. We provided employees impacted by this reduction in force with severance packages and job placement support.</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Virtual First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2020, we announced our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where we currently have offices either through our existing real-estate that were repurposed into collaborative spaces called “Dropbox Studios” or new, flexible spaces known as “On-Demand Spaces”. A critical feature of the success of Virtual First has been empowering our employees to adopt flexible working arrangements and providing tools for efficient remote collaboration and continuing to provide opportunities for in-person collaboration at our “Dropbox Studios” or “On-Demand Spaces” locations. Additionally, we provide our employees with a quarterly allowance that can be used to cover expenses related to health and fitness, family and caregiver support, productivity and ergonomics, financial wellness, and learning and development programs, as well as resources to support their effectiveness in their work environments.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Compensation and Benefits Program</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is designed to attract and reward talented individuals who possess the skills necessary to support our business, contribute to our strategic goals and create long-term value for our stockholders. We provide employees with competitive compensation packages that include base salary, annual incentive bonuses, 401(k) with a company match up to a specific threshold, and equity awards which align the interests of our employees with our stockholders. Our highly competitive benefits package includes medical, dental, vision, life and disability plans. In addition to these core benefits, Dropbox also provides enhanced mental health benefits, family formation benefits and our adoption and surrogacy assistance program. Our comprehensive programs also provide various leave benefits - including paid parental leave for all eligible employees.</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Employee Wellness and Safety</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the importance of the well-being of our employees. With the shift to our Virtual First work model, we remain committed to supporting their wellness and development. A component of our comprehensive health and wellness benefits package to all employees includes additional time-off opportunities as well as mental and physical wellness benefits. We conduct a bi-annual employee satisfaction survey to gather candid feedback from employees with focus on areas such as experience with our managers, wellness initiatives, career and company initiatives. Survey results are reviewed extensively and become part of our action plans at all levels of the organization.</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safety of our employees is paramount to our success. We have a physical security policy applicable to all our employees with a global physical security team that is empowered to protect the safety of our employees in the event of emergencies or disasters.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Learning and Development</w:t>
      </w:r>
    </w:p>
    <w:p>
      <w:pPr>
        <w:pStyle w:val="TextBody"/>
        <w:bidi w:val="0"/>
        <w:spacing w:lineRule="auto" w:line="288" w:before="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want all of our employees to have thriving careers where they grow and develop in meaningful ways. We develop and provide access to internal learning and development resources to assist in professional development in various ways such as skills-building programs, on-demand learning options, mentoring programs, and leadership development courses. We also offer extensive onboarding and training programs to prepare our employees at all levels for career progression and individual development.</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Diversity and Inclusion</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an equitable and inclusive environment comprised of diverse teams produces more creative solutions, results in better and more innovative products, and is crucial to our efforts to attract and retain key talent. We are focused on building an inclusive culture and sustaining a diverse workforce through a variety of company initiatives. As part of that effort we have a number of executive-sponsored Employee Resource Groups, or ERGs, that provide support for our workforce by fostering an inclusive environment and providing community-building opportunities. In addition, we provide resources and training to employees at all levels to ensure that we are cultivating diverse and inclusive teams, as well as sponsor a number of professional development opportunities.</w:t>
      </w:r>
    </w:p>
    <w:p>
      <w:pPr>
        <w:pStyle w:val="TextBody"/>
        <w:bidi w:val="0"/>
        <w:spacing w:before="0" w:after="0"/>
        <w:ind w:left="0" w:right="0" w:firstLine="450"/>
        <w:jc w:val="left"/>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Community</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empower our employees to give back to their communities by providing paid volunteer time off, matching a portion of employee donations to nonprofits and making product donations to nonprofit organizations nominated by our employees.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Corporate Information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in May 2007 as Evenflow, Inc., a Delaware corporation, and changed our name to Dropbox, Inc. in October 2009. Our principal offices are located at 1800 Owens Street, San Francisco, California, 94158, and our telephone number is (415) 857-6800. Our Class A common stock is listed on the Nasdaq Global Select Market under the symbol “DBX.”</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Available Information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website is located at http://www.dropbox.com/, our investor relations website is located at http://investors.dropbox.com/, and our blog is located at https://blog.dropbox.com/topics/news. We have used, and intend to continue to use, our investor relations website, our blog, press releases, public conference calls and webcasts to disclose material non-public information and to comply with our disclosure obligations under Regulation FD. The following filings are available through our investor relations website after we file them with the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www.sec.gov. The contents of these websites are not incorporated into this filing. Further, the Company’s references to the URLs for these websites are intended to be inactive textual references only.</w:t>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Class A common stock involves a high degree of risk. In addition to the other information set forth in this Annual Report,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retain and upgrade paying users, and any decline in renewals or upgrades could adversely affect our future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we have experienced periods in which our number of paying users has declined, renewals and upgrades of subscriptions to our platform may continue to fluctuate or decline in any period or over time. Paying users may downgrade or not renew their subscriptions because of several factors, such as dissatisfaction with our products, support, pricing, mix of features, or user experience,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including our bundled product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adopting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could negatively impact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Additionally, the timing of certain contract renewals that include a significant number of seat licenses may make any projections relating to our future paying users more uncertain. 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and may continue to see an increase in new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growth could be harmed if we fail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90% of our revenue from self-serve channels. Our self-service channel revenue is driven by word-of-mouth referrals,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recommendations, and positive brand recognition in the marketplace. Any decrease in user satisfaction with our products or support could harm our brand, word-of-mouth referrals, and ability to grow.</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2023, we served over 700 million registered users but only 18.12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periods in which our number of paying users has declined, and our paying and registered user growth rates have declined and may continue to decline in the future as our pricing and packaging strategy and features (including data storage limits) change, our market penetration rates increase, and as a result of market conditions and increasing competition with respect to our current products. The availability of less expensive and bundled competitive products also has negatively impacted and may continue to negatively impact our user growth rate and our ability to convert registered users to paying users. The growth rate of our user base and the rate of conversion of registered users to paying users has declined in the past, and if such trends continue, our revenue may grow more slowly than expected or decline.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events that financially impact our registered users and other prospective paying users, such as macroeconomic factors, layoffs, inflation, increased interest rates, or catastrophic events, have in the past caused and may cause in future periods these users to delay or reduce technology spending, which impacted, and may continue to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and operating results will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damaged, and we could be subject to liability, if there is any unauthorized access to our data or our users’ content, including through privacy and data security breaches or incidents.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 We have also incorporated AI technologies into certain products and expect to continue to incorporate additional AI technologies into our products and otherwise into our business and operations in the future. The use of AI technologies and the accelerated product development lifecycle for AI products may create additional or increase existing cybersecurity risks and may result in security or privacy incidents. Further, cybersecurity attacks may use AI technologies and increase the risk of security incidents.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prevent other security breaches and security incidents, these security measures have not fully protected our systems in the past and cannot guarantee security in the future.</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Emerging and evolving cybersecurity threats pose unique challenges and involve sophisticated threat actors. Computer malware, ransomware, cyber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Virtual First model. Additionally, unapproved internal AI product usage or human error in the product development process each have the potential to result in disclosure of user or company content data.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or other compromise of their networks or systems, our data or our users' data may be improperly accessed, used, or disclosed.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recent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rate of growth has declined in past periods. If we do not successfully execute our plan for future growth, our growth rate may continue to decline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rate of growth of our business and revenue has declined in prior periods and may continue to decline in the future if we are unable to execute on our new product initiatives and plans for future growth. Although we believe our new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initiatives represent an opportunity for future growth, these initiatives, including any AI-based initiatives, may not succeed, and any additional revenue they generate may be insufficient to offset declining rates of growth in other areas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efforts to grow and expand our business, including the introduction of new features and products, places a continuous significant strain on our management, operational, and financial resources. As we introduce new products and features, including AI features, and to the extent our user base and third-party relationships expand, our information technology systems, organizational structures, and internal controls and procedures may not be adequate to support our operations. Moreover, any increasing complexity of our product offerings could harm our customer experience and negatively impact user retention or the conversion of registered users to paying users.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these challenges may be heightened in connection with our Virtual First work model, as we focus on integrating, developing, and motivating an increasingly distributed employee base in various countries around the world, as well as aligning our resources to create a more nimble and streamlined organization. Executing our plans to drive growth will also require significant expenditures and allocation of valuable management resources.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forecast our future results of operations is subject to a number of risks and uncertainties, including our ability to effectively plan for and model future growth, and we have not always and we may not in the future receive our expected return on investments that we make in our business in the time we expect or at all. We have encountered in the past, and may encounter in the future, risks and uncertainties frequently experienced by companies in rapidly changing industries. If we fail to achieve the necessary level of efficiency in our organization, or our investments do not result in the growth we expect, our business, results of operations, and financial condition could be harmed.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may be significantly impacted by a change in general economic, political, and market conditions, including any resulting effect on consumer or business spending.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may be affected by general economic, political, and market conditions, including any resulting negative impact on spending by our business and consumer users. Some of our users may view a paid subscription to our platform as a discretionary purchase, and our paying users have in the past and may in the future reduce their spending on our platform during an economic downturn, especially in the event of a prolonged recessionary period. Concerns about inflation, rising interest rates, unemployment trends, geopolitical issues, including wars and other armed conflicts, global health epidemics and other highly communicable diseases, bank insolvency and related uncertainty and volatility in the financial services industry, or a widespread economic 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user-centric design;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scale of user network;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features and platform experience;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brand;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accessibility across several devices, operating systems, and applications;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third-party integration;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customer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continued innovation;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pricing;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investments in AI;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macroeconomic trends.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the introduction of new technologies and market entrants, we expect competition to intensify. Many of our actual and potential competitors have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or alliances to offer a broader range of products and services than we do. These combinations make it increasingly difficult for us to compete effectively. We expect these trends to continue as competitors continue to strengthen or maintain their market positions.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Demand for our platform is also sensitive to price, and our pricing and packaging has in the past and could in the future negatively impact our top of funnel and conversion rates.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Failure to respond to rapid technological changes, extend our platform, or develop new features or products may harm our ability to compete effectively, which would adversely affect our business.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that could impact short-term growth or profitability. We have made, and intend to continue making, significant investments in developing products that will incorporate AI, and while we are optimistic that such new products will drive future growth of our business, the development of such new features will incur significant costs, we expect to face increasing competition, and there is no guarantee that such new product offerings will ultimately be successful. Additionally, use of newly-developed AI technology could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the European Union has proposed an Artificial Intelligence Act that, if finalized, would prohibit certain AI applications and systems and impose additional requirements on the use of certain applications or systems.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while we believe trends towards remote or distributed work will prove to be significant and long lasting, and that these trends will open up increased market opportunities for us, such as our work on new AI-driven products, such trends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cost-effective manner, we may fail to retain our existing users or increase demand for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The risk of such disruptions and decreased productivity may persist as our workforce operates under a Virtual First model.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and have in the past experienced delays in modifying our platform to assure its compatibility with that of other third parties following development changes. If we are unable to ensure compatibility of our platform with desired third party services, our business may be adversely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continued growth of our user base and the amount and types of information stored, synced, and shared on our platform will require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continue to add, enhance and modify our infrastructure to meet our business needs, we may move or transfer additional content accordingly.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generate revenue from sales of subscriptions to our platform, and declines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awareness of the content collaboration category generally;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availability of products and services that compete with ours;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impact, scale, and duration, of trends towards or away from remote or distributed work;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brand;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customer support;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investments in AI;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macroeconomic trends.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financial results, and growth prospects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limited history of operating with a Virtual First workforce and the long-term impact on our financial results and business operations remains uncertain.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we announced a Virtual First work model pursuant to which remote work has become the primary experience for all of our employees and our intention is for our workforce to continue being more distributed over time. However, we have a limited history of operating with a Virtual First workforce and,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shift to a Virtual First work model could make it increasingly difficult to oversee our increasingly distributed workforce and manage our business,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The extended decline in demand for commercial real estate in San Francisco, in particular, has impacted our subleasing strategy and resulted in us taking additional impairment charges beyond our original expectations.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expand sales to large organizations, which could lengthen sales cycles and result in greater deployment challenges.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Any failure to offer high-quality customer support may harm our relationships with our users and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depends on a strong brand, and if we are unable to maintain and enhance our brand, our ability to expand our base of users will be impaired and our business, results of operations, and financial condition will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continuing to expand our operations outside the United States, where we may be subject to increased business and economic risks that could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paying users across approximately 180 countries and approximately half of our revenue in the year ended December 31, 2023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with applicable international laws, regulations, and standards including laws and regulations with respect to labor and employment, privacy, data protection, cybersecurity, consumer protection, tax, export control and sanctions, and unsolicited email, and the risk of penalties to our users and individual members of management or employees if our practices are deemed to be out of compliance;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recruiting and retaining talented and capable employees in locations outside the United States, and maintaining our company culture across all of our locations, including in light of our Virtual First work model and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of an employee base in jurisdictions that may not give us the same employment and retention flexibility as the United States;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operating in jurisdictions that do not protect intellectual property rights in the same manner or to the same extent as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political, social, and economic instability, conflicts, and wars, and their regional and global ramifications;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diplomatic and trade relationships, including the imposition of new trade restrictions, trade protection measures, import or export requirements, trade embargoes and other trade barriers;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income and other tax laws of the United States or the international jurisdictions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higher costs of doing business internationally, including increased accounting, travel, infrastructure, and legal compliance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natural disasters and public health epidemics on employees, travel and the global economy.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depend on our infrastructure and third-party datacenters, and any disruption in the operation of these facilities or failure to renew the services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relationships with third parties to provide, develop, and create applications that integrate with our platform, and our business could be harmed if we are unable to continue these relationships.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use software and services licensed and procured from third parties to develop and offer our platform. We may need to obtain additional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depend on our ecosystem of developers to create applications that will integrate with our platform. As of December 31, 2023,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have the ability to control or prevent these risks. As a result, issues relating to these applications could adversely affect our business, brand, and reputation.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use of open source software could negatively affect our ability to offer and sell subscriptions to our platform and subject us to possible litigation.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sell subscriptions to our platform and retain users could be harmed by real or perceived material defects or errors in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utilize hardware purchased or leased and software and services licensed from third parties on our platform. Any defects in, or unavailability of, our third-party software, services, or hardware that cause interruptions to the availability of our services, loss of data, or performance issues could,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cause a reduction in revenue or delay in market acceptance of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issue refunds to our users or expose us to claims for damages;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cause us to lose existing users and make it more difficult to attract new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divert our development resources or require us to make extensive changes to our platform, which would increase our expenses;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our technical support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harm our reputation and brand.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acquired, and may in the future acquire, other businesses and technologies, which could require significant management attention, disrupt our business operations, cause us to incur debt or dilute stockholder value.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business strategy, we have acquired or invested in, and may in the future acquire or invest in, other companies, employee teams, or technologies to complement or expand our products, obtain personnel, or otherwise complement or grow our business. For example, in the fourth fiscal quarter of 2022, we acquired key assets from Boxcryptor, a provider of end-to-end "zero knowledge" encryption for cloud storage services, with plans to embed these capabilities natively within Dropbox to provide an additional layer of data protection for certain of our customers on paid plans. Additionally, in the fourth fiscal quarter of 2022, we acquired FormSwift, a cloud-based service that provides users the ability to create, edit, and save critical business forms and agreements.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pursuit of acquisitions or investments may divert the attention of management and cause us to incur various expenses in identifying, investigating, and pursuing suitable acquisitions, whether or not they are consummated.</w:t>
      </w:r>
    </w:p>
    <w:p>
      <w:pPr>
        <w:pStyle w:val="TextBody"/>
        <w:bidi w:val="0"/>
        <w:spacing w:before="0" w:after="0"/>
        <w:ind w:left="0" w:right="0" w:firstLine="450"/>
        <w:jc w:val="left"/>
        <w:rPr/>
      </w:pPr>
      <w:r>
        <w:rPr/>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do complete acquisitions, we may not ultimately strengthen our competitive position or achieve the anticipated benefits from such acquisitions, due to a number of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acquisition-related costs, liabilities, or tax impacts, some of which may be unanticipated;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difficulty utilizing or integrating the acquired intellectual property, technology infrastructure,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difficulty integrating and retaining key employees of acquired businesses and related challenges motivating and retaining our key employees after such acquisition;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ineffective or inadequate, controls, procedures, or policies at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effectively offer, price, and support multiple product lines or services offerings of acquired businesses;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unknown liabilities or risks associated with an acquired business, including those arising from existing contractual obligations, security vulnerabilities, cybersecurity incidents, or litigation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maintain relationships with key customers, suppliers, and partners of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accurately forecast the financial impact of an acquisition transaction, including accounting charges;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challenges integrating accounting, finance and forecasting practices of acquired business within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lack of experience in new markets, products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effectively integrate brand identity of acquired businesses within those of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diversion of management's attention from other business concerns;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use of resources that are needed in other parts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purchase price of companies we acquire may be allocated to acquired goodwill. We review goodwill for impairment at least annually. If our acquisitions do not yield expected returns, we may be required to record impairment charges based this assessment, which could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acquisition we complete could be viewed negatively by users, developers, partners, or investors, and could have adverse effects on our existing business relationships, financial condition, or the value of our capital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current and future indebtedness may limit our operating flexibility or otherwise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such current and future indebtedness could: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make it more difficult for us to satisfy our debt obligations, including the 2026 Notes and the 2028 Notes;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our vulnerability to general adverse economic and industry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dedicate a substantial portion of our cash flow from operations to payments on our indebtedness, thereby reducing the availability of our cash flow to fund working capital and other general corporate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flexibility in planning for, or reacting to, changes in our business and the industry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 our current and future operations, make it more difficult to successfully execute our business strategy, or restrict us from exploiting business opportunities;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place us at a competitive disadvantage compared to our competitors that have less indebtedness or are not subject to restrictive covenants;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 or otherwise impact the pace and timing of repurchases under our stock repurchase program;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availability to borrow additional funds for working capital, capital expenditures, acquisitions, debt service requirements, execution of our business strategy, or other general purposes.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have a material adverse effect on our business, cash flows,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operations may be interrupted and our business, results of operations, and financial condition could be adversely affected if we default on our leasing or credit obligations.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finance a significant portion of our expenditures through leasing arrangements, and we may enter into additional similar arrangements in the future. As of December 31, 2023, we had an aggregate of $1,173.6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repayment of any outstanding lease obligations;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terminate our leasing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terminate our access to the leased datacenters we utilize;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stop delivery of ordered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sell or require us to return our leased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repayment of any outstanding amounts drawn on our revolving credit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terminate our revolving credit facility;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pay significant fees, penalties, or damages.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Financial Performance or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history of net losses, we may increase expenses in the future, and we may not be able to achieve or maintain profitability.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had been profitable on a GAAP basis in prior fiscal quarters, 2021 was our first profitable full fiscal year and we incurred net losses on an annual basis from our inception to that time. We may, however, not achieve or maintain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profitability in future periods, or, if we are profitable, we may not fully achieve our profitability targets. As we strive to grow our business, expenses may increase, particularly as we continue to make investments to scale our business, reposition our products or respond to new technologies including significant investments in AI technologies and product development.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Servicing our 2026 Notes and 2028 Notes may require a significant amount of cash, and we may not have sufficient cash flow or the ability to raise the funds necessary to satisfy our obligations under the 2026 Notes or 2028 Notes.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quarterly results may fluctuate significantly and may not fully reflect the underlying performance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retain and upgrade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new paying users and convert registered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of expenses and recognition of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 as well as entry into or exit of operating and finance leases;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of expenses related to acquisitions;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large indemnification payments to our users or other third parties;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pricing policies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and success of new product feature and service introductions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network outages or actual or perceived security breaches;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competitive dynamics of our industry, including consolidation among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laws and regulations that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and market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catastrophic events, including earthquakes, fires, floods, tsunamis, or other weather events, power loss, telecommunications failures, software or hardware malfunctions, cyber-attack, war, or terrorist attacks, and pandemics;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reserves or other non-cash credits or charges, such as the impairment charges as a result of changes in the corporate real estate market which impacted our subleasing strategy in conjunction with our Virtual First model, and releases of deferred tax asset valuation allowances;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other impacts of shifting our operations to a Virtual First work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 in quarterly results may negatively impact the value of our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results of operations may not immediately reflect downturns or upturns in sales because we recognize revenue from our users over the term of their subscriptions with us.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results of operations, which are reported in U.S. dollars, could be adversely affected if currency exchange rates fluctuate substantially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business across approximately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2023, 27%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convertible note hedge transactions.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federal, state, and foreign net operating loss carryforwards and federal and state research credit carryforwards available to reduce our future taxable income and/or tax liabilities. It is possible that we will not generate sufficient taxable income in time to use all of these net operating loss carryforwards and/or research credit carryforwards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be harmed if we are required to collect sales or other related taxes for our subscription services in jurisdictions where we have not historically done so.</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results of operations and financial condition could be materially affected by the enactment of legislation implementing changes in the U.S. or foreign taxation of international business activities or the adoption of other tax reform policies.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Any such changes could increase our liabilities for taxes, interest and penalties, lead to higher effective tax rates, and harm our cash flows,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Organization for Economic Cooperation and Development (“OECD”) and many countries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intend to adopt these proposals. In December 2022, the Council of the European Union (“EU”) formally adopted the EU Minimum Tax Directive, which would require member states to adopt Pillar Two into their domestic law. The directive requires the rules to initially become effective for fiscal years starting on or after December 31, 2023. Ireland and certain other jurisdictions, in which we operate have enacted legislation to implement Pillar Two. Other countries are actively considering changes to their tax laws to adopt certain parts of the OECD’s proposals. The enactment of Pillar Two legislation is not expected to have a material adverse effect on the Company’s effective tax rate, financial position, results of operations, and cash flows.</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to U.S. or non-U.S. tax laws could have an adverse impact on our business, results of operations, financial condition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publicly disclosed market opportunity estimates, growth forecasts, and key metrics, including the key metrics included in this Annual Report on Form 10-K, as well as in our other public statements, which could prove to be inaccurate, and any real or perceived inaccuracies may harm our reputation and negatively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harmed.</w:t>
      </w:r>
    </w:p>
    <w:p>
      <w:pPr>
        <w:pStyle w:val="TextBody"/>
        <w:bidi w:val="0"/>
        <w:spacing w:before="0" w:after="0"/>
        <w:jc w:val="left"/>
        <w:rPr/>
      </w:pPr>
      <w:r>
        <w:rPr/>
      </w:r>
    </w:p>
    <w:p>
      <w:pPr>
        <w:pStyle w:val="TextBody"/>
        <w:bidi w:val="0"/>
        <w:spacing w:lineRule="auto" w:line="288" w:before="0" w:after="0"/>
        <w:ind w:left="0" w:right="0" w:firstLine="1170"/>
        <w:jc w:val="center"/>
        <w:rPr>
          <w:rFonts w:ascii="Times New Roman;sans-serif" w:hAnsi="Times New Roman;sans-serif"/>
          <w:b/>
          <w:color w:val="000000"/>
          <w:sz w:val="20"/>
        </w:rPr>
      </w:pPr>
      <w:r>
        <w:rPr>
          <w:rFonts w:ascii="Times New Roman;sans-serif" w:hAnsi="Times New Roman;sans-serif"/>
          <w:b/>
          <w:color w:val="000000"/>
          <w:sz w:val="20"/>
        </w:rPr>
        <w:t>Risks Related to Legal and Regulatory Compliance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export and import control laws and regulations that could impair our ability to compete in international markets or subject us to liability if we violate such laws and regulations.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actual or perceived failure to comply with privacy, data protection, and information security laws, regulations, and obligations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expect that there will continue to be new laws, regulations, and industry standards concerning privacy, data protection, AI, and information security proposed and enacted in various jurisdictions.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DPF also applies to transfers from the UK to the U.S. as of October 12, 2023 and in due course will also apply to transfers from Switzerland to the U.S. Switzerland must also adopt its own adequacy decision, which is expected to happen shortly.</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recent decision by the Irish Data Protection Commission (“IDPC”)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may result in data protection regulators applying differing standards for, and requiring additional measures in connection with, transfers of personal data from the EEA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For example, Virginia, Colorado, Utah, and Connecticut have each passed laws similar to the CCPA and CPRA that have taken effect in 2023; Florida, Montana, Oregon, and Texas have enacted similar laws that go into effect in 2024; Tennessee, Delaware, and Iowa have enacted similar laws that go into effect in 2025, and Indiana has enacted a similar law, that will go into effect in 2026. Similar laws are being considered by other state legislatures. These developments create the potential for a patchwork of overlapping but different state laws.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countries are considering or have passed legislation implementing data protection requirements or requiring local storage and processing of data, or similar requirements, that could increase the cost and complexity of delivering our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adversely impacted by changes in internet access for our users or laws specifically governing the internet.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implement usage-based pricing;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discount pricing for competitive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otherwise materially change their pricing rates or schemes;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charge us to deliver our traffic at certain levels or at all;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throttle traffic based on its source or type;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implement bandwidth caps or other usage restrictions;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otherwise try to monetize or control access to their networks.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currently, and may be in the future, party to intellectual property rights claims and other litigation matters and, if resolved adversely, they could have a significant impact on our business, results of operations, or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in the section titled "Legal Proceedings," we have recently been involved in legal proceedings against Motion Offense, which alleged that Dropbox infringes certain of its patents. A jury trial was conducted in May 2023. The jury found in favor of Dropbox on all counts including non-infringement and invalidity of the patents and awarded no damages to Motion Offense. We are currently awaiting entry of judgment by the district court. The final judgment may be appealed to the Federal Circuit. It is not possible presently to either (i) determine the final outcome of this matter or (ii) estimate any maximum possible exposure or range of loss.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failure to protect our intellectual property rights and proprietary information could diminish our brand and other intangible assets.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1,750 issued patents and more than 250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trading price of our Class A common stock may be volatile, and you could lose all or part of your investment.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time-to-time;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of shares of our Class A common stock by us or our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by us or our competitors of new products, features, or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changes in our key metrics;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perceived breaches of, or failures related to, privacy, data protection or data security;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significant change in our management;</w:t>
      </w:r>
    </w:p>
    <w:p>
      <w:pPr>
        <w:pStyle w:val="TextBody"/>
        <w:bidi w:val="0"/>
        <w:spacing w:before="0" w:after="0"/>
        <w:jc w:val="left"/>
        <w:rPr/>
      </w:pPr>
      <w:r>
        <w:rPr/>
      </w:r>
    </w:p>
    <w:p>
      <w:pPr>
        <w:pStyle w:val="TextBody"/>
        <w:bidi w:val="0"/>
        <w:spacing w:lineRule="auto" w:line="259" w:before="0" w:after="0"/>
        <w:ind w:left="0" w:right="0" w:hanging="360"/>
        <w:jc w:val="left"/>
        <w:rPr/>
      </w:pPr>
      <w:r>
        <w:rPr>
          <w:color w:val="000000"/>
        </w:rPr>
        <w:t>•</w:t>
      </w:r>
      <w:r>
        <w:rPr>
          <w:rFonts w:ascii="Times New Roman;sans-serif" w:hAnsi="Times New Roman;sans-serif"/>
          <w:b w:val="false"/>
          <w:color w:val="000000"/>
          <w:sz w:val="20"/>
        </w:rPr>
        <w:t>the inclusion, exclusion, or deletion of our stock from any trading indices, including the S&amp;P 400 Index, to which we were recently added;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conditions and slow or negative growth of our markets and catastrophic events, including earthquakes, fires, floods, tsunamis, or other weather events, power loss, telecommunications failures, software or hardware malfunctions, cyber-attack, war, or other armed conflict, or terrorist attacks, and pandemics.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the past, following periods of volatility in the overall market and the market price of a particular company’s securities, securities class action litigation has often been instituted against these companies. Any securities litigation that may be instituted against us in the future could result in substantial costs and a diversion of our management’s attention and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multi-class structure of our common stock has the effect of concentrating voting control with those stockholders who held our capital stock prior to the completion of our IPO, and it may depress the trading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has one vote per share, our Class B common stock has ten votes per share, and our Class C common stock has no voting rights, except as otherwise required by law. As of December 31, 2023, our directors and executive officers, and their respective affiliates, held in the aggregate 75.2% of the voting power of our capital stock, with Mr. Houston holding approximately 75.1% of the voting power of our capital stock. We are including the Co-Founder Grant (as defined in “Significant Impacts of Stock-Based Compensation” included in Part II, Item 7 of this report)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Substantial future sales could depress the market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relating to our 2026 Notes and 2028 Notes may dilute the ownership interest of stockholders, or may otherwise depress the price of our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restated certificate of incorporation and restated bylaws could make a merger, tender offer, or proxy contest difficult, thereby depressing the market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transaction that would result in a change in control of our company requires the approval of a majority of our outstanding Class B common stock voting as a separate class;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amended and restated bylaws will provide that approval of stockholders holding two-thirds of our outstanding voting power voting as a single class is required for stockholders to amend or adopt any provision of our bylaws;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after the Voting Threshold Date our stockholders will only be able to take action at a meeting of stockholders, and will not be able to take action by written consent for any matter;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until the Voting Threshold Date, our stockholders will be able to act by written consent only if the action is first recommended or approved by the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vacancies on our Board of Directors will be able to be filled only by our Board of Directors and not by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certain litigation against us may be required to be brought in Delaware;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restated certificate of incorporation authorizes undesignated preferred stock, the terms of which may be established and shares of which may be issued, without the approval of the holders of Class A common stock;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advance notice procedures apply for stockholders to nominate candidates for election as directors or to bring matters before an annual meeting of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unless we expressly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in all cases subject to the court having jurisdiction over indispensable parties named as defendants.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also provide that unless we consent in writing to the selection of an alternative forum the federal district courts of the United States of America will be the sole and exclusive forum for resolving any claim asserting a cause of action arising under the Securities Act against any person in connection with any offering of our securities, including any auditor, underwriter, expert, control person, or other defendant.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face relevant litigation and are unable to enforce these provisions, we may incur additional costs associated with resolving the dispute in other jurisdictions, which could harm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cannot guarantee that our stock repurchase program will be fully implemented or that it will enhance long-term stockholder value.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initially implemented a stock repurchase program in 2020. In February 2022, our Board of Directors authorized the repurchase of up to an additional $1.2 billion of the outstanding shares of our Class A common stock and in July 2023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time-to-time in private transactions or open market purchases, as permitted by securities laws and other legal requirements. Although we have previously announced an intention to allocate a significant portion of our free cash flow to share repurchases, any share repurchases remain subject to the circumstances in place at that time, including prevailing market prices. As a result, there can be no guarantee around the timing of our share repurchases, or that the volume of such repurchases will increase. In addition, as part of the IRA, the United States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disrupted by catastrophic events.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have exposure to greater than anticipated tax liabilities, which could adversely impact our results of operations.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Additionally, the Inflation Reduction Act of 2022 (“IRA”) introduced a new book income-minimum corporate income tax on certain large corporations, and a non-deductible excise tax of 1% on certain share repurchases by corporations. The alternative minimum tax is not expected to have a material adverse impact on our business, results of operations, financial conditions, and cash flows. The 1% excise tax on share repurchases will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apply to any repurchase of stock (including transactions deemed to be repurchases for U.S. income tax purposes) we undertake, which will generally increase the costs to us of any share repurchases.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U.S.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reported results of operations may be adversely affected by changes in accounting principles generally accepted in the United States.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predict the impact of future changes to accounting principles or our accounting policies, any of which could negatively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need additional capital, and we cannot be certain that additional financing will be available on favorable terms,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time-to-time,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increased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1B. UNRESOLVED STAFF COMMENTS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importance of assessing, identifying, and managing material risks associated with cybersecurity threats. These risks include, among other things, operational risks; intellectual property theft; fraud; extortion; harm to employees or customers; violation of privacy or security laws and other litigation and legal risk; and reputational risks. We have implemented a variety of cybersecurity processes, technologies, and controls to aid in our efforts to identify, assess and manage such material risks. Our approach includes: (1) an enterprise risk management program, which includes cybersecurity risks and is periodically refreshed; (2) security and privacy reviews designed to identify risks from new features, software, and vendors; (3) a vulnerability management program designed to identify hardware and software vulnerabilities; (4) an internal red team program, which simulates cyber threats, intended to allow us to address vulnerabilities before threat actors identify them; and (5) a threat intelligence program designed to model and research our adversaries. These processes vary in maturity across the business and are processes we work to continually improve.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process for identifying and assessing material risks from cybersecurity threats operates alongside our broader overall risk assessment process, covering all company risks. As part of this process appropriate disclosure personnel will collaborate with subject matter specialists, as necessary, to gather insights for identifying and assessing material cybersecurity threat risks, their severity, and potential mitigations.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maintain an incident response program to prepare for, detect, respond to, and recover from cybersecurity incidents, which include processes to triage, assess severity of, escalate, contain, investigate, and remediate identified incidents, as well as to comply with potentially applicable legal obligations and mitigate brand and reputational damage. Further, we conduct regular tabletop exercises to test and fortify the controls of our cyber incident response program. The incident response team assesses the severity and priority of incidents on a rolling basis, with escalations of cybersecurity incidents provided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team. If a cybersecurity incident is determined to be a material cybersecurity incident, our incident response plan and cybersecurity disclosure controls and procedures define the process to disclose such a material cybersecurity incident.</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Our risk management approach is supplemented by external and internal enterprise risk management audits, including SOC-2 and ISO 27001, which are designed to test the effectiveness of our security controls.</w:t>
      </w:r>
      <w:r>
        <w:rPr>
          <w:color w:val="000000"/>
        </w:rPr>
        <w:t xml:space="preserve"> </w:t>
      </w:r>
      <w:r>
        <w:rPr>
          <w:rFonts w:ascii="Times New Roman;sans-serif" w:hAnsi="Times New Roman;sans-serif"/>
          <w:b w:val="false"/>
          <w:color w:val="000000"/>
          <w:sz w:val="20"/>
        </w:rPr>
        <w:t xml:space="preserve">We conduct penetration testing on a periodic basis and have established an external bug bounty program to allow security researchers to help identify vulnerabilities in our systems before they mature into real-world cybersecurity threats. We also maintain a vendor risk management program designed to identify and mitigate risks associated with third-party suppliers and business partners. This program includes pre-engagement diligence, contractual security and notification provisions, and ongoing monitoring, as appropriate.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“Our business could be damaged, and we could be subject to liability, if there is any unauthorized access to our data or our users’ content, including through privacy and data security breaches or incidents,” included as part of our risk factor disclosures at Item 1A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is actively involved in overseeing cybersecurity risk management. At least once a year, the Board of Directors discusses our programs and policies related to cybersecurity and risk initiatives and considers them closely both from a risk management perspective and as part of Dropbox’s business strategy. Additionally, our audit committee oversees programs and policies related to cybersecurity risks and initiatives. Our audit committee is comprised entirely of independent directors who evaluate these issues at least quarterly.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established a cross-functional leadership team to oversee our information security and privacy programs and practices, as well as to assess, identify, manage and mitigate security and privacy risks. Members of this team also report periodically to the board of directors, audit committee, and members of our senior leadership team. This team includes senior leaders from our legal, privacy, information security, information technology, infrastructure, and compliance teams, including our Chief Privacy Officer, our VP, Business Foundations, our Head of Security, and our Chief Legal Officer. Our Chief Privacy Officer has held various roles advising Dropbox and two other large publicly-traded technology companies on a variety of privacy, regulatory, and product counseling issues since 2010. Our VP, Business Foundations has been with us since 2020, and has worked in the technology industry for over 20 years, working in product development, engineering, and security leadership and risk management roles over that time. Our Head of Security joined Dropbox in 2022 and has held roles in cybersecurity, engineering, and operations, including leadership positions, with a variety of companies for over 20 years. Our Chief Legal Officer has been with us since 2011, having served as our Chief Legal Officer or General Counsel for a total of over seven years, and has over 20 years of experience in the legal profession.</w:t>
      </w:r>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ans-serif" w:hAnsi="Times New Roman;sans-serif"/>
          <w:b w:val="false"/>
          <w:color w:val="000000"/>
          <w:sz w:val="20"/>
        </w:rPr>
        <w:t>Members of senior leadership are informed about and monitor the prevention, mitigation, detection, and remediation of cybersecurity incidents through their management of, and participation in, the cybersecurity risk management and strategy processes described herein, including the operation of our incident response plan.</w:t>
      </w:r>
      <w:r>
        <w:rPr>
          <w:color w:val="000000"/>
        </w:rPr>
        <w:t xml:space="preserve"> </w:t>
      </w:r>
      <w:r>
        <w:rPr>
          <w:rFonts w:ascii="Times New Roman;sans-serif" w:hAnsi="Times New Roman;sans-serif"/>
          <w:b w:val="false"/>
          <w:color w:val="000000"/>
          <w:sz w:val="20"/>
        </w:rPr>
        <w:t>Additionally, all employees are required to complete annual information security and privacy training, which are reviewed and updated annually. They also receive ongoing security awareness education via informational emails, talks and presentations, and resources available on our intranet.</w:t>
      </w:r>
    </w:p>
    <w:p>
      <w:pPr>
        <w:pStyle w:val="TextBody"/>
        <w:bidi w:val="0"/>
        <w:spacing w:before="0" w:after="0"/>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 PROPERTIES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are located in San Francisco, California, pursuant to operating leases that expire in 2033. We lease additional offices in San Francisco and around the world, including in Seattle, Washington and Dublin, Ireland. We have datacenter co-location facilities in California, Oregon, Texas, and Virginia. We believe that these facilities are generally suitable to meet our needs.</w:t>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3. LEGAL PROCEEDINGS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12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pStyle w:val="TextBody"/>
        <w:bidi w:val="0"/>
        <w:spacing w:lineRule="auto" w:line="288" w:before="12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July 12, 2019, Motion Offense, LLC (“Motion Offense”) filed a patent infringement suit in the Western District of Texas (Waco Division) against Dropbox's customer Sprouts Farmers Market (“Sprouts”), based on Sprouts’ use of Dropbox Business. The suit claims that Sprouts’ use of Dropbox Business infringes U.S. Patent Nos. 10,013,158 and 10,021,052. On August 14, 2019, in the District of Delaware, Dropbox filed a complaint for declaratory judgment of no infringement of the patents asserted against Sprouts by Motion Offense (“Delaware Action”), and subsequently amended the complaint to add claims for declaratory judgment that the asserted patents are invalid. Motion Offense’s motion to transfer the Delaware Action to the Western District of Texas was granted. The Western District of Texas stayed the Sprouts case pending resolution of the Dropbox case. On June 15, 2020, Motion Offense filed an amended answer to Dropbox’s declaratory judgment complaint, including counterclaims asserting that Dropbox infringes the 10,013,158 and 10,021,052 patents, as well as U.S. Patent Nos. 10,303,353, 10,613,737, and 10,587,548. On July 23, 2021, Motion Offense filed a related patent infringement suit against Dropbox in the Western District of Texas asserting that Dropbox also infringes U.S. Patent No. 11,044,215. The two cases were consolidated.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the trial in May 2023, the jury found in favor of Dropbox on all counts including non-infringement and invalidity of the patents and awarded no damages to Motion Offense. Dropbox filed a Motion for Entry of Judgment on August 28, 2023 and is currently awaiting entry of judgment by the district court. The final judgment may be appealed to the Federal Circuit. On September 27, 2023, Motion Offense filed a Motion for a New Trial. At a hearing on January 3, 2024, the Court denied Motion Offense’s Motion for a New Trial. On January 8, 2024, the court ordered supplemental briefing relating to the Motion for Entry of Judgment. The parties have filed their opening supplemental briefs and responses are due February 20, 2024.</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Before trial, Motion Offense filed a third patent infringement suit against Dropbox out of the same family of patents as the prior two suits. This suit was not consolidated into the trial. Decisions on the parties' Motions to Dismiss are currently pending. We believe Motion Offense’s allegations in that suit are similarly without merit and will vigorously defend against them.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we remain confident in the Company’s defenses to the asserted allegations in these cases, it is not possible to determine the ultimate outcome at this time, and thus we cannot reasonably estimate the maximum potential exposure or range of possible loss.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4. MINE SAFETY DISCLOSURES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Market Information for Class A Common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has been listed on the Nasdaq Global Market under the symbol "DBX" since March 23, 2018.</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As of February 12, 2024, we had 730 holders of record of our Class A and Class B common stock, respectively, and no holders of our Class C common stock. The actual number of stockholders is greater than this number of record holders and includ</w:t>
      </w:r>
      <w:r>
        <w:rPr>
          <w:rFonts w:ascii="Times New Roman;sans-serif" w:hAnsi="Times New Roman;sans-serif"/>
          <w:b w:val="false"/>
          <w:color w:val="000000"/>
          <w:sz w:val="20"/>
          <w:shd w:fill="FFFFFF" w:val="clear"/>
        </w:rPr>
        <w:t xml:space="preserve">es stockholders who are beneficial owners, but whose shares are held in street name by brokers and other nominees. </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pStyle w:val="TextBody"/>
        <w:bidi w:val="0"/>
        <w:spacing w:before="120" w:after="283"/>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with respect to our repurchases of Class A common stock during the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quarter ended December 31, 2023. </w:t>
      </w:r>
    </w:p>
    <w:tbl>
      <w:tblPr>
        <w:tblW w:w="10205" w:type="dxa"/>
        <w:jc w:val="center"/>
        <w:tblInd w:w="0" w:type="dxa"/>
        <w:tblLayout w:type="fixed"/>
        <w:tblCellMar>
          <w:top w:w="28" w:type="dxa"/>
          <w:left w:w="28" w:type="dxa"/>
          <w:bottom w:w="28" w:type="dxa"/>
          <w:right w:w="28" w:type="dxa"/>
        </w:tblCellMar>
      </w:tblPr>
      <w:tblGrid>
        <w:gridCol w:w="479"/>
        <w:gridCol w:w="308"/>
        <w:gridCol w:w="303"/>
        <w:gridCol w:w="109"/>
        <w:gridCol w:w="109"/>
        <w:gridCol w:w="109"/>
        <w:gridCol w:w="520"/>
        <w:gridCol w:w="520"/>
        <w:gridCol w:w="522"/>
        <w:gridCol w:w="109"/>
        <w:gridCol w:w="109"/>
        <w:gridCol w:w="109"/>
        <w:gridCol w:w="291"/>
        <w:gridCol w:w="852"/>
        <w:gridCol w:w="150"/>
        <w:gridCol w:w="109"/>
        <w:gridCol w:w="109"/>
        <w:gridCol w:w="109"/>
        <w:gridCol w:w="703"/>
        <w:gridCol w:w="703"/>
        <w:gridCol w:w="705"/>
        <w:gridCol w:w="109"/>
        <w:gridCol w:w="109"/>
        <w:gridCol w:w="109"/>
        <w:gridCol w:w="483"/>
        <w:gridCol w:w="1998"/>
        <w:gridCol w:w="360"/>
      </w:tblGrid>
      <w:tr>
        <w:trPr/>
        <w:tc>
          <w:tcPr>
            <w:tcW w:w="47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Total Number of Shares Purchased (in millions)</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Average Price Paid per Share</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Total Number of Shares Purchased as Part of Publicly Announced Programs</w:t>
            </w:r>
          </w:p>
          <w:p>
            <w:pPr>
              <w:pStyle w:val="TableContents"/>
              <w:bidi w:val="0"/>
              <w:spacing w:lineRule="auto" w:line="240" w:before="0" w:after="0"/>
              <w:jc w:val="center"/>
              <w:rPr/>
            </w:pPr>
            <w:r>
              <w:rPr>
                <w:rFonts w:ascii="Times New Roman;sans-serif" w:hAnsi="Times New Roman;sans-serif"/>
                <w:b w:val="false"/>
                <w:color w:val="000000"/>
                <w:sz w:val="18"/>
              </w:rPr>
              <w:t>(in millions)</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Approximate Dollar Value of Shares that May Yet Be Purchased Under Publicly Announced Programs</w:t>
            </w:r>
          </w:p>
          <w:p>
            <w:pPr>
              <w:pStyle w:val="TableContents"/>
              <w:bidi w:val="0"/>
              <w:spacing w:lineRule="auto" w:line="240" w:before="0" w:after="0"/>
              <w:jc w:val="center"/>
              <w:rPr/>
            </w:pPr>
            <w:r>
              <w:rPr>
                <w:rFonts w:ascii="Times New Roman;sans-serif" w:hAnsi="Times New Roman;sans-serif"/>
                <w:b w:val="false"/>
                <w:color w:val="000000"/>
                <w:sz w:val="18"/>
              </w:rPr>
              <w:t>(in millions)</w:t>
            </w:r>
            <w:r>
              <w:rPr>
                <w:rFonts w:ascii="Times New Roman;sans-serif" w:hAnsi="Times New Roman;sans-serif"/>
                <w:b w:val="false"/>
                <w:color w:val="000000"/>
                <w:sz w:val="12"/>
              </w:rPr>
              <w:t>(1)</w:t>
            </w:r>
          </w:p>
        </w:tc>
      </w:tr>
      <w:tr>
        <w:trPr/>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1,476.65 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1.41</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1,439.80 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1,407.80 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On February 17, 2022, we announced that our Board of Directors authorized the repurchase of $1.2 billion of the outstanding shares of our Class A common stock. On July 26, 2023, we announced that our Board of Directors further authorized the repurchase of an additional $1.2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Equity" to our consolidated financial statements included elsewhere in this Annual Report on Form 10-K for additional information related to share repurchases.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Average price paid per share includes costs associated with the repurchases, excluding the 1% excise tax imposed as part of the Inflation Reduction Act.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8"/>
        </w:rPr>
        <w:t>Includes 46,759 shares of restricted common stock withheld by the Company upon vesting of restricted stock awards to satisfy tax withholding requirements.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0" w:after="12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(i) the cumulative total stockholder return on our Class A common stock from March 23, 2018 (the date our Class A common stock commenced trading on the Nasdaq Global Select Market) through December 31, 2023 with (ii) the cumulative total return of the Standard &amp; Poor's 500 Index and the Nasdaq Computer Index over the same period, assuming the investment of $100 in our common stock and in both of the other indices on March 23, 2018 and the reinvestment of dividends. The graph uses the closing market price on March 23, 2018 of $28.48 per share as the initial value of our common stock. As discussed above, we have never declared or paid a cash dividend on our common stock and do not anticipate declaring or paying a cash dividend in the foreseeable future.</w:t>
      </w:r>
    </w:p>
    <w:p>
      <w:pPr>
        <w:pStyle w:val="TextBody"/>
        <w:bidi w:val="0"/>
        <w:spacing w:before="0" w:after="0"/>
        <w:jc w:val="left"/>
        <w:rPr/>
      </w:pPr>
      <w:r>
        <w:rPr/>
      </w:r>
    </w:p>
    <w:p>
      <w:pPr>
        <w:pStyle w:val="TextBody"/>
        <w:bidi w:val="0"/>
        <w:spacing w:before="0" w:after="0"/>
        <w:jc w:val="left"/>
        <w:rPr/>
      </w:pPr>
      <w:r>
        <w:rPr/>
        <w:drawing>
          <wp:inline distT="0" distB="0" distL="0" distR="0">
            <wp:extent cx="6515100" cy="2562225"/>
            <wp:effectExtent l="0" t="0" r="0" b="0"/>
            <wp:docPr id="4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 descr=""/>
                    <pic:cNvPicPr>
                      <a:picLocks noChangeAspect="1" noChangeArrowheads="1"/>
                    </pic:cNvPicPr>
                  </pic:nvPicPr>
                  <pic:blipFill>
                    <a:blip r:embed="rId2"/>
                    <a:stretch>
                      <a:fillRect/>
                    </a:stretch>
                  </pic:blipFill>
                  <pic:spPr bwMode="auto">
                    <a:xfrm>
                      <a:off x="0" y="0"/>
                      <a:ext cx="6515100" cy="25622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*Returns are based on historical results and are not necessarily indicative of future performance. See the disclosure in Part I, Item 1A, “Risk Factors.”</w:t>
      </w: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Unregistered Sales of Equity Securities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ITEM 6.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7.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Annual Report on Form 10-K. For a comparison of our results of operations for the fiscal years ended December 31, 2022 and 2021 see Item 7, Management’s Discussion and Analysis of Financial Condition and Results of Operations, of our Annual Report on Form 10-K for the fiscal year ended December 31, 2022, filed with the SEC on February 22, 2023. </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By solving these universal problems, we’ve become invaluable to our users. The popularity of our platform allows us to scale efficiently. We’ve built a thriving global business with 18.12 million paying users.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Subscription Plans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individuals, families, teams, and organizations by selling subscriptions to our platform, which serve the varying needs of our diverse customer base. Subscribers can purchase individual licenses through our Plus, Professional or Essentials plan, or purchase multiple licenses through our Family plan or our Standard, Advanced, Business, Business Plus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bundle subscription plans, such as Dropbox Essentials for solo professionals, Dropbox Business for small teams, and Dropbox Business Plus for larger teams, provide professionals and teams the ability to consolidate multiple offerings such as PDF editing, eSignature capabilities, document analytics, video collaboration tools, and advanced security functionality into a single place to manage their content.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DocSend customers at the beginning of their respective terms and recognize revenue ratably over the subscription period. DocSend primarily sells within the United States, and the majority of sales are in U.S. dollars.</w:t>
      </w:r>
    </w:p>
    <w:p>
      <w:pPr>
        <w:pStyle w:val="TextBody"/>
        <w:bidi w:val="0"/>
        <w:spacing w:before="0" w:after="0"/>
        <w:ind w:left="0" w:right="0" w:firstLine="36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Dropbox Sign, as our e-signature solution. Dropbox Sign has several product lines, and the pricing and revenue generated from each product line varies. Product lines are primarily priced based on the number of licenses purchased (similar to Dropbox plans), while some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We sell Dropbox Sign products globally and sell primarily in U.S. dollars.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Drive new signups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Increase conversion of registered users to our paid subscription plans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We use these tactics in combination with the goal of generating increased recurring revenues from our existing user base.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Upgrade and expand existing customers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offer a range of paid subscription plans, from Plus, Professional, Essentials and Family for individuals to Standard, Advanced, Business, Business Plus and Enterprise for teams. We analyze usage patterns within our network and run hundreds of targeted marketing campaigns to encourage paying users to upgrade their plans. We prompt individual subscribers who collaborate with others on Dropbox to purchase our Standard, Advanced or Business, and Business Plus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FormSwift.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Impact of Macroeconomic Factors on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in part on worldwide economic and geopolitical conditions and their impact on customer behavior. Worsening economic conditions, including the U.S. Federal Reserve raising interest rates, volatility and uncertainty in the banking and financial services sector, tightening of credit markets, changes in the corporate real estate market, and fluctuations in currency exchange rates impacted our results of operations during the year ended December 31, 2023.</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saw strength within our Individuals plans, but macro headwinds weighed on our Teams plans as well as on FormSwift, DocSend and Dropbox Sign, as customers are being more prudent with their spend and exhibiting higher levels of price sensitivity. </w:t>
      </w:r>
    </w:p>
    <w:p>
      <w:pPr>
        <w:pStyle w:val="TextBody"/>
        <w:bidi w:val="0"/>
        <w:spacing w:before="0" w:after="0"/>
        <w:ind w:left="0" w:right="0" w:firstLine="36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and cash flows are also subject to fluctuations due to changes in foreign currency exchange rates relative to U.S. dollars, our reporting currency, as well as changes in interest rates. Volatile market conditions, directly or indirectly related to macroeconomic or geopolitical events, have, at times, and may in the future negatively impact our results of operations and cash flows. Conversely, we have seen and may continue to see cost savings from the shift to remote and distributed work for all of our employees in areas including events, travel, utilities, and other benefits. Due to our subscription-based business model, any impact of the current macroeconomic environment on our business, particularly as a result of changes in our customer behavior, may not be fully reflected in our results of operations until future periods, if at all.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 discussion of the potential impacts of the macroeconomic environment on our business, see “Risk Factors” included in Part I, Item 1A. of this report.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Reduction in Workforce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2023, we announced a reduction of our global workforce by approximately 16% to streamline our team structure in support of our long-term growth and profitability objectives. During the year ended December 31, 2023, we incurred $39.3 million of expenses related to severance, benefits, and other related items. See Note 1 "Description of the Business and Summary of Significant Accounting Policies - Reduction in Workforce" in our consolidated financial statements included elsewhere in this Annual Report on Form 10-K for additional information.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Virtual First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effects of the COVID-19 pandemic led us to reimagine the way we work, resulting in our announcement in October 2020 of our shift to a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we currently have offices, either through our existing real-estate that were repurposed into collaborative spaces called “Dropbox Studios” or new, flexible spaces known as “On-Demand Spaces”. Consistent with this strategy, we have retained a portion of our office space while the remainder is being or will be subleased.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We recorded impairment charges to net (gain) loss on real estate assets of $3.6 million and $175.2 million during the years ended December 31, 2023 and 2022, respectively, </w:t>
      </w:r>
      <w:r>
        <w:rPr>
          <w:rFonts w:ascii="Times New Roman;sans-serif" w:hAnsi="Times New Roman;sans-serif"/>
          <w:b w:val="false"/>
          <w:color w:val="000000"/>
          <w:sz w:val="18"/>
        </w:rPr>
        <w:t>r</w:t>
      </w:r>
      <w:r>
        <w:rPr>
          <w:rFonts w:ascii="Times New Roman;sans-serif" w:hAnsi="Times New Roman;sans-serif"/>
          <w:b w:val="false"/>
          <w:color w:val="000000"/>
          <w:sz w:val="20"/>
        </w:rPr>
        <w:t xml:space="preserve">elated to real estate assets as a result of changes in the corporate real estate market which impacted the Company's subleasing strategy in conjunction with our Virtual First model. See Note 9, "Leases" for additional information. We may incur additional impairment charges depending on the state of the corporate real estate market or shifts in our Virtual First strategy. In addition to generating sublease income, we expect that as a result of our Virtual First model, we will continue to see savings in certain areas, including reductions in facilities related costs and depreciation expense due to these impairment charges.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we executed a partial termination of our lease for our San Francisco, California corporate headquarters and subsequently recorded a gain on real estate assets of $158.8 million during the year ended December 31, 2023. The gain represents the reduction to our future lease payments in excess of the sublease income we previously anticipated collecting for this space. See Note 9, "Leases" for additional information.</w:t>
      </w:r>
    </w:p>
    <w:p>
      <w:pPr>
        <w:pStyle w:val="TextBody"/>
        <w:bidi w:val="0"/>
        <w:spacing w:before="0" w:after="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a number of operating and financial metrics, including the following key metrics to evaluate our business, measure our performance, identify trends affecting our business, formulate business plans, and make strategic decisions.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Total annual recurring revenue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ARR fluctuates and may decline in some periods as compared to prior periods. For example, ARR declined in the fourth quarter of 2023 as compared to the third quarter of 2023 as a result of factors including our decision to deprecate our previous "as much space as you need" policy for Advanced plans which resulted in incremental churn and reduced top-of funnel interest, as well as a challenging macro environment, and seasonality within our business. We expect to drive ARR growth, however the pace of our future growth may be lower relative to prior periods.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period of the acquisition. We adjust the exchange rates used to calculate Total ARR on an annual basis at the beginning of each fiscal year.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experienced an increase in Total ARR for the period ended December 31, 2023, compared to the period ended December 31, 2022 as a result of an increased mix of sales from our higher-priced subscription plans. In 2023, ARR was negatively impacted by the foreign currency exchange rates used to calculate ARR compared to 2022, as we update exchange rates annually at the beginning of the year.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tables set forth our Total ARR using the exchange rates set at the beginning of the applicable year, as well as on a constant currency basis relative to the exchange rates used in 2023.</w:t>
      </w:r>
    </w:p>
    <w:p>
      <w:pPr>
        <w:pStyle w:val="TextBody"/>
        <w:bidi w:val="0"/>
        <w:spacing w:before="0" w:after="0"/>
        <w:ind w:left="0" w:right="0" w:firstLine="495"/>
        <w:jc w:val="left"/>
        <w:rPr/>
      </w:pPr>
      <w:r>
        <w:rPr/>
      </w:r>
    </w:p>
    <w:tbl>
      <w:tblPr>
        <w:tblW w:w="3467" w:type="dxa"/>
        <w:jc w:val="center"/>
        <w:tblInd w:w="0" w:type="dxa"/>
        <w:tblLayout w:type="fixed"/>
        <w:tblCellMar>
          <w:top w:w="28" w:type="dxa"/>
          <w:left w:w="28" w:type="dxa"/>
          <w:bottom w:w="28" w:type="dxa"/>
          <w:right w:w="28" w:type="dxa"/>
        </w:tblCellMar>
      </w:tblPr>
      <w:tblGrid>
        <w:gridCol w:w="363"/>
        <w:gridCol w:w="320"/>
        <w:gridCol w:w="322"/>
        <w:gridCol w:w="211"/>
        <w:gridCol w:w="616"/>
        <w:gridCol w:w="109"/>
        <w:gridCol w:w="109"/>
        <w:gridCol w:w="109"/>
        <w:gridCol w:w="109"/>
        <w:gridCol w:w="211"/>
        <w:gridCol w:w="616"/>
        <w:gridCol w:w="109"/>
        <w:gridCol w:w="109"/>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tbl>
      <w:tblPr>
        <w:tblW w:w="4186" w:type="dxa"/>
        <w:jc w:val="center"/>
        <w:tblInd w:w="0" w:type="dxa"/>
        <w:tblLayout w:type="fixed"/>
        <w:tblCellMar>
          <w:top w:w="28" w:type="dxa"/>
          <w:left w:w="28" w:type="dxa"/>
          <w:bottom w:w="28" w:type="dxa"/>
          <w:right w:w="28" w:type="dxa"/>
        </w:tblCellMar>
      </w:tblPr>
      <w:tblGrid>
        <w:gridCol w:w="624"/>
        <w:gridCol w:w="548"/>
        <w:gridCol w:w="552"/>
        <w:gridCol w:w="211"/>
        <w:gridCol w:w="616"/>
        <w:gridCol w:w="109"/>
        <w:gridCol w:w="109"/>
        <w:gridCol w:w="109"/>
        <w:gridCol w:w="109"/>
        <w:gridCol w:w="211"/>
        <w:gridCol w:w="616"/>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Constant Currency</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Revaluing our ending Total ARR for fiscal 2023 using exchange rates set at the beginning of fiscal 2024, Total ARR at the end of fiscal 2023 would be $2,540 million.</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Paying users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define paying users as the number of users who have active paid licenses for access to our platform as of the end of the period. One person would count as multiple paying users if the person had more than one active license. For example, a 50-person Dropbox Enterprise team would count as 50 paying users, and an individual Dropbox Plus user would count as one paying user. If that individual Dropbox Plus user was also part of the 50-person Dropbox Enterprise team, we would count the individual as two paying users. We first include paying users related to acquired companies among our paying users in the period of the acquisition.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FormSwift and DocSend, we define paying users as the number of users who have active paid licenses for access to our platform as of the end of the period.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experienced growth in the number of paying users for the periods presented largely from our self-serve channels as well as from FormSwift. However, our overall paying user growth rate has declined and may decline in the future.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total number of paying users fluctuates and may decline in some periods as compared to prior periods. For example, paying users declined in the fourth quarter of 2023 as compared to the third quarter of 2023 primarily as a result of our decision to reduce the prominence of our Family plan on our Plans pages as well as expected seasonality within our business. We expect to drive paying user growth, however the pace of our future growth may be lower relative to prior periods.</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below table sets forth the number of paying users as of December 31, 2023 and 2022. </w:t>
      </w:r>
    </w:p>
    <w:p>
      <w:pPr>
        <w:pStyle w:val="TextBody"/>
        <w:bidi w:val="0"/>
        <w:spacing w:before="0" w:after="0"/>
        <w:ind w:left="0" w:right="0" w:firstLine="495"/>
        <w:jc w:val="left"/>
        <w:rPr/>
      </w:pPr>
      <w:r>
        <w:rPr/>
      </w:r>
    </w:p>
    <w:tbl>
      <w:tblPr>
        <w:tblW w:w="3589" w:type="dxa"/>
        <w:jc w:val="left"/>
        <w:tblInd w:w="0" w:type="dxa"/>
        <w:tblLayout w:type="fixed"/>
        <w:tblCellMar>
          <w:top w:w="28" w:type="dxa"/>
          <w:left w:w="28" w:type="dxa"/>
          <w:bottom w:w="28" w:type="dxa"/>
          <w:right w:w="28" w:type="dxa"/>
        </w:tblCellMar>
      </w:tblPr>
      <w:tblGrid>
        <w:gridCol w:w="412"/>
        <w:gridCol w:w="363"/>
        <w:gridCol w:w="364"/>
        <w:gridCol w:w="308"/>
        <w:gridCol w:w="308"/>
        <w:gridCol w:w="191"/>
        <w:gridCol w:w="191"/>
        <w:gridCol w:w="191"/>
        <w:gridCol w:w="191"/>
        <w:gridCol w:w="308"/>
        <w:gridCol w:w="308"/>
        <w:gridCol w:w="191"/>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users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Average revenue per paying user</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an increased mix of sales towards our higher-priced subscription plans, and our acquisition of FormSwift in the fourth quarter of 2022, offset by Family Plan growth as it carries a lower price per user, and the impact of unfavorable foreign exchange rates across multiple currencies, we experienced an increase in our average revenue per paying user for the year ended December 31, 2023, compared to the year ended December 31, 2022,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sets forth our ARPU for the years ended December 31, 2023 and 2022.</w:t>
      </w:r>
    </w:p>
    <w:p>
      <w:pPr>
        <w:pStyle w:val="TextBody"/>
        <w:bidi w:val="0"/>
        <w:spacing w:before="0" w:after="0"/>
        <w:ind w:left="0" w:right="0" w:firstLine="495"/>
        <w:jc w:val="left"/>
        <w:rPr/>
      </w:pPr>
      <w:r>
        <w:rPr/>
      </w:r>
    </w:p>
    <w:tbl>
      <w:tblPr>
        <w:tblW w:w="3522"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109"/>
        <w:gridCol w:w="211"/>
        <w:gridCol w:w="722"/>
        <w:gridCol w:w="109"/>
        <w:gridCol w:w="109"/>
        <w:gridCol w:w="109"/>
        <w:gridCol w:w="109"/>
        <w:gridCol w:w="211"/>
        <w:gridCol w:w="721"/>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generally accepted accounting principles, or GAAP, we believe that free cash flow, or FCF, a non-GAAP financial measure, is useful in evaluating our liquidity.</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FCF decreased for the year ended December 31, 2023, compared to the year ended December 31, 2022, primarily due to payments related to our reduction in workforce during the year ended December 31, 2023.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FCF to generally increase in future periods as we increase subscription sales and drive operating efficiencies. We expect to continue to purchase infrastructure equipment to support our user base and anticipate that our capital expenditures will generally remain consistent in future periods as we continue to invest in our internal infrastructure, network and security. The timing of our operating expenses as described below, may result in FCF to vary from period to period as a percentage of revenue.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FCF to the most comparable GAAP measure, net cash provided by operating activities:</w:t>
      </w:r>
    </w:p>
    <w:p>
      <w:pPr>
        <w:pStyle w:val="TextBody"/>
        <w:bidi w:val="0"/>
        <w:spacing w:before="0" w:after="0"/>
        <w:ind w:left="0" w:right="0" w:firstLine="495"/>
        <w:jc w:val="left"/>
        <w:rPr/>
      </w:pPr>
      <w:r>
        <w:rPr/>
      </w:r>
    </w:p>
    <w:tbl>
      <w:tblPr>
        <w:tblW w:w="5709" w:type="dxa"/>
        <w:jc w:val="left"/>
        <w:tblInd w:w="0" w:type="dxa"/>
        <w:tblLayout w:type="fixed"/>
        <w:tblCellMar>
          <w:top w:w="28" w:type="dxa"/>
          <w:left w:w="28" w:type="dxa"/>
          <w:bottom w:w="28" w:type="dxa"/>
          <w:right w:w="28" w:type="dxa"/>
        </w:tblCellMar>
      </w:tblPr>
      <w:tblGrid>
        <w:gridCol w:w="1254"/>
        <w:gridCol w:w="1104"/>
        <w:gridCol w:w="1107"/>
        <w:gridCol w:w="211"/>
        <w:gridCol w:w="616"/>
        <w:gridCol w:w="109"/>
        <w:gridCol w:w="109"/>
        <w:gridCol w:w="109"/>
        <w:gridCol w:w="109"/>
        <w:gridCol w:w="211"/>
        <w:gridCol w:w="61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sales of subscriptions to our platform.</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driven primarily by conversions and upsells to our paid plans. We also generate revenue from transaction based products and fees from the referral of users to our partners. We generate over 90% of our revenue from self-serve channels. No customer represented more than 1% of our revenue in the periods presented.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growth is impacted by our number of paying users, as well as our ability to increase the average revenue per paying user. Our overall paying user growth rate has declined and we expect growth in paying users to fluctuate from period to period in the future. Accordingly, if we do not increase the average revenue per paying user, for example through pricing and packaging changes or increased sales of our higher priced subscription plans, to offset slower growth or decline in paying users, our revenue and revenue growth rate will decline.</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margin</w:t>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Cost of revenue.</w:t>
      </w:r>
      <w:r>
        <w:rPr>
          <w:color w:val="000000"/>
        </w:rPr>
        <w:t xml:space="preserve"> </w:t>
      </w:r>
      <w:r>
        <w:rPr>
          <w:rFonts w:ascii="Times New Roman;sans-serif" w:hAnsi="Times New Roman;sans-serif"/>
          <w:b w:val="false"/>
          <w:color w:val="000000"/>
          <w:sz w:val="20"/>
        </w:rPr>
        <w:t>Our cost of revenue consists primarily of expenses associated with the storage, delivery, and distribution of our platform for both paying 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expenses related to our reduction in workforce such as severance, benefits and other related items,</w:t>
      </w:r>
      <w:r>
        <w:rPr>
          <w:color w:val="000000"/>
        </w:rPr>
        <w:t xml:space="preserve"> </w:t>
      </w:r>
      <w:r>
        <w:rPr>
          <w:rFonts w:ascii="Times New Roman;sans-serif" w:hAnsi="Times New Roman;sans-serif"/>
          <w:b w:val="false"/>
          <w:color w:val="000000"/>
          <w:sz w:val="20"/>
        </w:rPr>
        <w:t>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We plan to continue increasing the capacity and enhancing the capability and reliability of our infrastructure to support user growth and increased use of our platform. We expect that cost of revenue will decrease in absolute dollars in the near term due to the useful lives of certain infrastructure server and component assets increasing from four to five years and increase in absolute dollars in the long term. The expected change in useful lives is described in Item 7. "Change</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Accounting</w:t>
      </w:r>
      <w:r>
        <w:rPr>
          <w:color w:val="000000"/>
        </w:rPr>
        <w:t xml:space="preserve"> </w:t>
      </w:r>
      <w:r>
        <w:rPr>
          <w:rFonts w:ascii="Times New Roman;sans-serif" w:hAnsi="Times New Roman;sans-serif"/>
          <w:b w:val="false"/>
          <w:color w:val="000000"/>
          <w:sz w:val="20"/>
        </w:rPr>
        <w:t>Estimate".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Gross margin is gross profit expressed as a percentage of revenue. Our gross margin may fluctuate from period to period based on the 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Our research and development expenses consist primarily of employee-related costs for our engineering, product, and design teams, expenses related to our reduction in workforce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research and development costs will decrease in absolute dollars and as a percentage of revenue in the near term and fluctuate in absolute dollars and decrease as a percentage of revenue in the long term as we reinvest some savings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our reduction in workforce that occurred in the second quarter of 2023 into future growth initiatives. We plan to continue to hire employees for our engineering, product, and design teams in roles critical to those initiatives.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Our sales and marketing expenses relate to both self-serve and outbound sales activities, and consist primarily of employee-related costs, expenses related to our reduction in workforce such as severance, benefits and other related items,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sales and marketing expenses will fluctuate in absolute dollars and as a percentage of revenue in both the near term and long term. We plan to continue to invest in sales and marketing, long term, to grow our user base and increase our brand awareness. The trend and timing of sales and marketing expenses will depend in part on the timing of marketing campaigns.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Our general and administrative expenses consist primarily of employee-related costs for our legal, finance, human resources, and other administrative teams, as well as certain executives. In addition, general and administrative expenses include expenses related to our reduction in workforce such as severance, benefits and other related items, allocated overhead, outside legal, accounting and other professional fees, and non income-based taxes.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remain relatively constant in both the near term and the long term as a percentage of revenue.</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Net (gain) loss on real estate assets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real estate assets consists primarily of a gain due to the partial termination of our lease for our San Francisco, California corporate headquarters in 2023 and impairment charges related to certain right-of-use assets and other lease related assets in 2023 and 2022. See Note 9, "Leases" for additional information.</w:t>
      </w:r>
    </w:p>
    <w:p>
      <w:pPr>
        <w:pStyle w:val="TextBody"/>
        <w:bidi w:val="0"/>
        <w:spacing w:before="20" w:after="283"/>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Interest income (expense), net</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 consists primarily of interest income earned on our money market funds classified as cash and cash equivalents and short-term investments as well as interest expense related to our finance lease obligations for infrastructure and amortization of debt issuance costs.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Other (loss) income, net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 consists primarily of U.S. federal, state and foreign jurisdiction income taxes. For 2023, the difference between the U.S. statutory rate and our effective tax rate is primarily due to jurisdictional mix of earnings, tax credits and state income taxes. For 2022, the difference between the U.S. statutory rate and our effective tax rate is primarily due to changes to the valuation allowance on deferred tax assets, research credits and the impact of capitalization of research and experimental expenditures.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w:t>
      </w:r>
    </w:p>
    <w:tbl>
      <w:tblPr>
        <w:tblW w:w="6580" w:type="dxa"/>
        <w:jc w:val="left"/>
        <w:tblInd w:w="0" w:type="dxa"/>
        <w:tblLayout w:type="fixed"/>
        <w:tblCellMar>
          <w:top w:w="28" w:type="dxa"/>
          <w:left w:w="28" w:type="dxa"/>
          <w:bottom w:w="28" w:type="dxa"/>
          <w:right w:w="28" w:type="dxa"/>
        </w:tblCellMar>
      </w:tblPr>
      <w:tblGrid>
        <w:gridCol w:w="1300"/>
        <w:gridCol w:w="1145"/>
        <w:gridCol w:w="1155"/>
        <w:gridCol w:w="109"/>
        <w:gridCol w:w="109"/>
        <w:gridCol w:w="109"/>
        <w:gridCol w:w="109"/>
        <w:gridCol w:w="211"/>
        <w:gridCol w:w="766"/>
        <w:gridCol w:w="109"/>
        <w:gridCol w:w="109"/>
        <w:gridCol w:w="109"/>
        <w:gridCol w:w="109"/>
        <w:gridCol w:w="211"/>
        <w:gridCol w:w="766"/>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(gain) loss on real estate assets</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 for) benefit from income taxes</w:t>
            </w:r>
            <w:r>
              <w:rPr>
                <w:rFonts w:ascii="Times New Roman;sans-serif" w:hAnsi="Times New Roman;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follows:</w:t>
      </w:r>
    </w:p>
    <w:p>
      <w:pPr>
        <w:pStyle w:val="TextBody"/>
        <w:bidi w:val="0"/>
        <w:spacing w:before="0" w:after="0"/>
        <w:jc w:val="left"/>
        <w:rPr/>
      </w:pPr>
      <w:r>
        <w:rPr/>
      </w:r>
    </w:p>
    <w:tbl>
      <w:tblPr>
        <w:tblW w:w="5530" w:type="dxa"/>
        <w:jc w:val="center"/>
        <w:tblInd w:w="0" w:type="dxa"/>
        <w:tblLayout w:type="fixed"/>
        <w:tblCellMar>
          <w:top w:w="28" w:type="dxa"/>
          <w:left w:w="28" w:type="dxa"/>
          <w:bottom w:w="28" w:type="dxa"/>
          <w:right w:w="28" w:type="dxa"/>
        </w:tblCellMar>
      </w:tblPr>
      <w:tblGrid>
        <w:gridCol w:w="992"/>
        <w:gridCol w:w="874"/>
        <w:gridCol w:w="878"/>
        <w:gridCol w:w="109"/>
        <w:gridCol w:w="109"/>
        <w:gridCol w:w="119"/>
        <w:gridCol w:w="119"/>
        <w:gridCol w:w="230"/>
        <w:gridCol w:w="673"/>
        <w:gridCol w:w="11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expenses related to our reduction in workforce such as severance, benefits and other related items during the year ended December 31, 2023. See Note 1, "Description of the Business and Summary of Significant Accounting Policies - Reduction in Workforce" for additional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Includes a one-time gain of $158.8 million related to the partial termination of our lease for our San Francisco, California corporate headquarters for the year ended December 31, 2023 and impairment charges related to real estate assets for the years ended December 31, 2023 and 2022.</w:t>
      </w:r>
    </w:p>
    <w:p>
      <w:pPr>
        <w:pStyle w:val="TextBody"/>
        <w:bidi w:val="0"/>
        <w:spacing w:before="0" w:after="0"/>
        <w:jc w:val="left"/>
        <w:rPr/>
      </w:pPr>
      <w:r>
        <w:rPr/>
      </w:r>
    </w:p>
    <w:p>
      <w:pPr>
        <w:pStyle w:val="TextBody"/>
        <w:bidi w:val="0"/>
        <w:spacing w:lineRule="auto" w:line="288" w:before="20" w:after="283"/>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 xml:space="preserve">Results of Operations for the year ended December 31, 2022 includes a one-time benefit from income taxes of $420.2 million due to the release of a valuation allowance on the U.S. federal and certain state deferred tax assets.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2"/>
        </w:rPr>
        <w:t xml:space="preserve">(5) </w:t>
      </w:r>
      <w:r>
        <w:rPr>
          <w:rFonts w:ascii="Times New Roman;sans-serif" w:hAnsi="Times New Roman;sans-serif"/>
          <w:b w:val="false"/>
          <w:color w:val="000000"/>
          <w:sz w:val="18"/>
        </w:rPr>
        <w:t>On March 15, 2023, our President resigned, resulting in the reversal of $6.7 million in stock-based compensation expense. Of the total amount reversed, $4.4 million related to expense recognized prior to January 1, 2023.</w:t>
      </w:r>
    </w:p>
    <w:p>
      <w:pPr>
        <w:pStyle w:val="TextBody"/>
        <w:bidi w:val="0"/>
        <w:spacing w:before="0" w:after="0"/>
        <w:jc w:val="left"/>
        <w:rPr/>
      </w:pPr>
      <w:r>
        <w:rPr/>
      </w:r>
    </w:p>
    <w:p>
      <w:pPr>
        <w:pStyle w:val="TextBody"/>
        <w:bidi w:val="0"/>
        <w:spacing w:before="20" w:after="283"/>
        <w:jc w:val="left"/>
        <w:rPr/>
      </w:pPr>
      <w:r>
        <w:rPr/>
      </w:r>
    </w:p>
    <w:p>
      <w:pPr>
        <w:pStyle w:val="TextBody"/>
        <w:bidi w:val="0"/>
        <w:spacing w:before="20" w:after="283"/>
        <w:jc w:val="left"/>
        <w:rPr/>
      </w:pPr>
      <w:r>
        <w:rPr/>
      </w:r>
    </w:p>
    <w:p>
      <w:pPr>
        <w:pStyle w:val="TextBody"/>
        <w:bidi w:val="0"/>
        <w:spacing w:before="20" w:after="283"/>
        <w:jc w:val="left"/>
        <w:rPr/>
      </w:pPr>
      <w:r>
        <w:rPr/>
      </w:r>
    </w:p>
    <w:p>
      <w:pPr>
        <w:pStyle w:val="TextBody"/>
        <w:bidi w:val="0"/>
        <w:spacing w:before="20" w:after="283"/>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each of the periods presented as a percentage of revenue:</w:t>
      </w:r>
    </w:p>
    <w:tbl>
      <w:tblPr>
        <w:tblW w:w="6324" w:type="dxa"/>
        <w:jc w:val="left"/>
        <w:tblInd w:w="0" w:type="dxa"/>
        <w:tblLayout w:type="fixed"/>
        <w:tblCellMar>
          <w:top w:w="28" w:type="dxa"/>
          <w:left w:w="28" w:type="dxa"/>
          <w:bottom w:w="28" w:type="dxa"/>
          <w:right w:w="28" w:type="dxa"/>
        </w:tblCellMar>
      </w:tblPr>
      <w:tblGrid>
        <w:gridCol w:w="1300"/>
        <w:gridCol w:w="1145"/>
        <w:gridCol w:w="1155"/>
        <w:gridCol w:w="109"/>
        <w:gridCol w:w="109"/>
        <w:gridCol w:w="194"/>
        <w:gridCol w:w="194"/>
        <w:gridCol w:w="233"/>
        <w:gridCol w:w="233"/>
        <w:gridCol w:w="500"/>
        <w:gridCol w:w="112"/>
        <w:gridCol w:w="112"/>
        <w:gridCol w:w="112"/>
        <w:gridCol w:w="233"/>
        <w:gridCol w:w="233"/>
        <w:gridCol w:w="350"/>
      </w:tblGrid>
      <w:tr>
        <w:trPr/>
        <w:tc>
          <w:tcPr>
            <w:tcW w:w="130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152" w:type="dxa"/>
            <w:gridSpan w:val="6"/>
            <w:tcBorders/>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11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a % of revenue)*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(1)(2)</w:t>
            </w: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(gain) loss on real estate assets</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 for) benefit from income taxes</w:t>
            </w:r>
            <w:r>
              <w:rPr>
                <w:rFonts w:ascii="Times New Roman;sans-serif" w:hAnsi="Times New Roman;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a percentage of revenue as follows:</w:t>
      </w:r>
    </w:p>
    <w:p>
      <w:pPr>
        <w:pStyle w:val="TextBody"/>
        <w:bidi w:val="0"/>
        <w:spacing w:before="0" w:after="0"/>
        <w:jc w:val="left"/>
        <w:rPr/>
      </w:pPr>
      <w:r>
        <w:rPr/>
      </w:r>
    </w:p>
    <w:tbl>
      <w:tblPr>
        <w:tblW w:w="5297" w:type="dxa"/>
        <w:jc w:val="center"/>
        <w:tblInd w:w="0" w:type="dxa"/>
        <w:tblLayout w:type="fixed"/>
        <w:tblCellMar>
          <w:top w:w="28" w:type="dxa"/>
          <w:left w:w="28" w:type="dxa"/>
          <w:bottom w:w="28" w:type="dxa"/>
          <w:right w:w="28" w:type="dxa"/>
        </w:tblCellMar>
      </w:tblPr>
      <w:tblGrid>
        <w:gridCol w:w="992"/>
        <w:gridCol w:w="874"/>
        <w:gridCol w:w="878"/>
        <w:gridCol w:w="109"/>
        <w:gridCol w:w="109"/>
        <w:gridCol w:w="194"/>
        <w:gridCol w:w="194"/>
        <w:gridCol w:w="200"/>
        <w:gridCol w:w="200"/>
        <w:gridCol w:w="500"/>
        <w:gridCol w:w="112"/>
        <w:gridCol w:w="112"/>
        <w:gridCol w:w="112"/>
        <w:gridCol w:w="180"/>
        <w:gridCol w:w="181"/>
        <w:gridCol w:w="350"/>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047" w:type="dxa"/>
            <w:gridSpan w:val="6"/>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a % of revenue)*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expenses related to our reduction in workforce such as severance, benefits and other related items during the year ended December 31, 2023. See Note 1, "Description of the Business and Summary of Significant Accounting Policies - Reduction in Workforce" for additional information.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Includes a one-time gain of $158.8 million related to the partial termination of our lease for our San Francisco, California corporate headquarters for the year ended December 31, 2023 and impairment charges related to real estate assets for the years ended December 31, 2023 and 2022.</w:t>
      </w:r>
    </w:p>
    <w:p>
      <w:pPr>
        <w:pStyle w:val="TextBody"/>
        <w:bidi w:val="0"/>
        <w:spacing w:before="0" w:after="0"/>
        <w:jc w:val="left"/>
        <w:rPr/>
      </w:pPr>
      <w:r>
        <w:rPr/>
      </w:r>
    </w:p>
    <w:p>
      <w:pPr>
        <w:pStyle w:val="TextBody"/>
        <w:bidi w:val="0"/>
        <w:spacing w:lineRule="auto" w:line="288" w:before="20" w:after="283"/>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 xml:space="preserve">Results of Operations for the year ended December 31, 2022 includes a one-time benefit from income taxes of $420.2 million due to the release of a valuation allowance on the U.S. federal and certain state deferred tax assets. </w:t>
      </w:r>
    </w:p>
    <w:p>
      <w:pPr>
        <w:pStyle w:val="TextBody"/>
        <w:bidi w:val="0"/>
        <w:spacing w:before="20" w:after="283"/>
        <w:jc w:val="left"/>
        <w:rPr/>
      </w:pPr>
      <w:r>
        <w:rPr/>
      </w:r>
    </w:p>
    <w:p>
      <w:pPr>
        <w:pStyle w:val="TextBody"/>
        <w:bidi w:val="0"/>
        <w:spacing w:lineRule="auto" w:line="288" w:before="20" w:after="283"/>
        <w:jc w:val="left"/>
        <w:rPr/>
      </w:pPr>
      <w:r>
        <w:rPr>
          <w:rFonts w:ascii="Times New Roman;sans-serif" w:hAnsi="Times New Roman;sans-serif"/>
          <w:b w:val="false"/>
          <w:color w:val="000000"/>
          <w:sz w:val="12"/>
        </w:rPr>
        <w:t xml:space="preserve">(5) </w:t>
      </w:r>
      <w:r>
        <w:rPr>
          <w:rFonts w:ascii="Times New Roman;sans-serif" w:hAnsi="Times New Roman;sans-serif"/>
          <w:b w:val="false"/>
          <w:color w:val="000000"/>
          <w:sz w:val="18"/>
        </w:rPr>
        <w:t>On March 15, 2023, our President resigned, resulting in the reversal of $6.7 million in stock-based compensation expense. Of the total amount reversed, $4.4 million related to expense recognized prior to January 1, 2023.</w:t>
      </w:r>
    </w:p>
    <w:p>
      <w:pPr>
        <w:pStyle w:val="TextBody"/>
        <w:bidi w:val="0"/>
        <w:spacing w:before="20" w:after="283"/>
        <w:jc w:val="left"/>
        <w:rPr/>
      </w:pPr>
      <w:r>
        <w:rPr/>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*Percentages may not foot due to rounding.</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2023 and 2022</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5966" w:type="dxa"/>
        <w:jc w:val="left"/>
        <w:tblInd w:w="0" w:type="dxa"/>
        <w:tblLayout w:type="fixed"/>
        <w:tblCellMar>
          <w:top w:w="28" w:type="dxa"/>
          <w:left w:w="28" w:type="dxa"/>
          <w:bottom w:w="28" w:type="dxa"/>
          <w:right w:w="28" w:type="dxa"/>
        </w:tblCellMar>
      </w:tblPr>
      <w:tblGrid>
        <w:gridCol w:w="304"/>
        <w:gridCol w:w="268"/>
        <w:gridCol w:w="26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211"/>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Revenue increased $176.7 million or 7.6% during the year ended December 31, 2023, as compared to the year ended December 31, 2022,</w:t>
      </w:r>
      <w:r>
        <w:rPr>
          <w:color w:val="000000"/>
          <w:shd w:fill="FFFFFF" w:val="clear"/>
        </w:rPr>
        <w:t xml:space="preserve"> </w:t>
      </w:r>
      <w:r>
        <w:rPr>
          <w:rFonts w:ascii="Times New Roman;sans-serif" w:hAnsi="Times New Roman;sans-serif"/>
          <w:b w:val="false"/>
          <w:color w:val="000000"/>
          <w:sz w:val="20"/>
          <w:shd w:fill="FFFFFF" w:val="clear"/>
        </w:rPr>
        <w:t>primarily due to an increase of $215.7 million from additional paying users, and the acquisition of FormSwift in the fourth quarter of 2022. These increases were offset by a $39.0 million unfavorable impact from changes in foreign exchange rates across multiple currencies.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gross profit, and gross margin</w:t>
      </w:r>
    </w:p>
    <w:tbl>
      <w:tblPr>
        <w:tblW w:w="6508"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28"/>
        <w:gridCol w:w="554"/>
        <w:gridCol w:w="119"/>
        <w:gridCol w:w="109"/>
        <w:gridCol w:w="109"/>
        <w:gridCol w:w="109"/>
        <w:gridCol w:w="211"/>
        <w:gridCol w:w="211"/>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$34.3 million or 7.7% during the year ended December 31, 2023, as compared to the year ended December 31, 2022, primarily due to increases of $13.4 million in infrastructure costs, $7.2 million in credit card fees, $6.3 million in amortization of intangible assets, $5.0 million in outside services, and $2.7 million in employee-related costs.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 remained flat during the year ended December 31, 2023 compared to the year ended December 31, 2022, primarily due to a 7.6% increase in revenue during the period, which was offset by an increase in our cost of revenue described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099"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11"/>
        <w:gridCol w:w="211"/>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$44.6 million or 5.0% during the year ended December 31, 2023, as compared to the year ended December 31, 2022, primarily due to an increase of $29.7 million in employee-related costs driven by costs attributable to our reduction in workforce, including severance. Additionally, there was an increase of $18.0 million in third-party hosting and software fees. These increases were offset by a decrease of $4.9 million in allocated overhead.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633" w:type="dxa"/>
        <w:jc w:val="left"/>
        <w:tblInd w:w="0" w:type="dxa"/>
        <w:tblLayout w:type="fixed"/>
        <w:tblCellMar>
          <w:top w:w="28" w:type="dxa"/>
          <w:left w:w="28" w:type="dxa"/>
          <w:bottom w:w="28" w:type="dxa"/>
          <w:right w:w="28" w:type="dxa"/>
        </w:tblCellMar>
      </w:tblPr>
      <w:tblGrid>
        <w:gridCol w:w="634"/>
        <w:gridCol w:w="558"/>
        <w:gridCol w:w="562"/>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55"/>
        <w:gridCol w:w="256"/>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$56.6 million or 13.8% during the year ended December 31, 2023, as compared to the year ended December 31, 2022, primarily due to increases of $36.9 million related to advertising and other marketing related expenses, $8.1 million in amortization of intangible assets, $6.3 million in employee-related costs, and $5.5 million in app store fees due to increased sales.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7099" w:type="dxa"/>
        <w:jc w:val="left"/>
        <w:tblInd w:w="0" w:type="dxa"/>
        <w:tblLayout w:type="fixed"/>
        <w:tblCellMar>
          <w:top w:w="28" w:type="dxa"/>
          <w:left w:w="28" w:type="dxa"/>
          <w:bottom w:w="28" w:type="dxa"/>
          <w:right w:w="28" w:type="dxa"/>
        </w:tblCellMar>
      </w:tblPr>
      <w:tblGrid>
        <w:gridCol w:w="837"/>
        <w:gridCol w:w="735"/>
        <w:gridCol w:w="737"/>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11"/>
        <w:gridCol w:w="211"/>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$14.2 million or 6.4% during the year ended December 31, 2023, as compared to the year ended December 31, 2022, primarily due to increases of $18.3 million in employee-related costs, $4.4 million in allocated overhead, and $2.4 million in outside services. These increases were offset by a decrease of $9.0 million in non-income based taxes.</w:t>
      </w:r>
    </w:p>
    <w:p>
      <w:pPr>
        <w:pStyle w:val="TextBody"/>
        <w:bidi w:val="0"/>
        <w:spacing w:lineRule="auto" w:line="288" w:before="24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Net (gain) loss on real estate assets</w:t>
      </w:r>
    </w:p>
    <w:tbl>
      <w:tblPr>
        <w:tblW w:w="8003" w:type="dxa"/>
        <w:jc w:val="left"/>
        <w:tblInd w:w="0" w:type="dxa"/>
        <w:tblLayout w:type="fixed"/>
        <w:tblCellMar>
          <w:top w:w="28" w:type="dxa"/>
          <w:left w:w="28" w:type="dxa"/>
          <w:bottom w:w="28" w:type="dxa"/>
          <w:right w:w="28" w:type="dxa"/>
        </w:tblCellMar>
      </w:tblPr>
      <w:tblGrid>
        <w:gridCol w:w="1051"/>
        <w:gridCol w:w="925"/>
        <w:gridCol w:w="934"/>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69"/>
        <w:gridCol w:w="271"/>
        <w:gridCol w:w="614"/>
      </w:tblGrid>
      <w:tr>
        <w:trPr/>
        <w:tc>
          <w:tcPr>
            <w:tcW w:w="105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real estate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real estate assets was $(155.2) million and $175.2 million during the years ended December 31, 2023 and 2022, respectively, primarily due to a gain of $158.8 million as a result of the partial termination of our lease for our San Francisco, California corporate headquarters, offset by $3.6 million of impairment charges during the year ended December 31, 2023 as compared to $175.2 million of impairment charges for the year ended December 31, 2022 due to changes in the corporate real estate market, which impacted our subleasing strategy in conjunction with our Virtual First model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 (expense),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 increased by $16.1 million during the year ended December 31, 2023, as compared to the year ended December 31, 2022, primarily due to higher interest income as a result of interest rate increases.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(loss)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(loss) income, net decreased by $11.8 million during the year ended December 31, 2023, as compared to the year ended December 31, 2022, primarily due to a $6.2 million reduction in other income from sales of retired infrastructure assets and a $5.1 million decrease in gains on equity investments.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benefit from income taxes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val="false"/>
          <w:color w:val="000000"/>
          <w:sz w:val="20"/>
          <w:shd w:fill="FFFFFF" w:val="clear"/>
        </w:rPr>
        <w:t>(Provision for) benefit from income taxes increased</w:t>
      </w:r>
      <w:r>
        <w:rPr>
          <w:color w:val="000000"/>
        </w:rPr>
        <w:t xml:space="preserve"> </w:t>
      </w:r>
      <w:r>
        <w:rPr>
          <w:rFonts w:ascii="Times New Roman;sans-serif" w:hAnsi="Times New Roman;sans-serif"/>
          <w:b w:val="false"/>
          <w:color w:val="000000"/>
          <w:sz w:val="20"/>
        </w:rPr>
        <w:t>$461.3 million</w:t>
      </w:r>
      <w:r>
        <w:rPr>
          <w:color w:val="000000"/>
          <w:shd w:fill="FFFFFF" w:val="clear"/>
        </w:rPr>
        <w:t xml:space="preserve">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year ended December 31, 2023</w:t>
      </w:r>
      <w:r>
        <w:rPr>
          <w:rFonts w:ascii="Times New Roman;sans-serif" w:hAnsi="Times New Roman;sans-serif"/>
          <w:b w:val="false"/>
          <w:color w:val="000000"/>
          <w:sz w:val="20"/>
          <w:shd w:fill="FFFFFF" w:val="clear"/>
        </w:rPr>
        <w:t xml:space="preserve">, as compared to the </w:t>
      </w:r>
      <w:r>
        <w:rPr>
          <w:rFonts w:ascii="Times New Roman;sans-serif" w:hAnsi="Times New Roman;sans-serif"/>
          <w:b w:val="false"/>
          <w:color w:val="000000"/>
          <w:sz w:val="20"/>
        </w:rPr>
        <w:t>year ended December 31, 2022</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primarily due to $420.2 million of tax benefits from the release of the valuation allowance on the U.S. federal and certain state deferred tax assets in the year ended December 31, 2022, and an increase in income before income taxes in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cash and cash equivalents of $614.9 million and short-term investments of $741.1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December 31, 2023, $362.7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types. We believe these policies mitigate our exposure to risk concentrations.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financed our operations primarily through cash generated from our operations, the issuance of the Notes,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a $500.0 million credit facility for additional working capital flexibility, as described below.</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2021, we issued approximately $1.4 billion in aggregate principal amount of convertible senior notes (the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do not bear regular interest and the principal does not accrete. The Notes of each series may bear special interest as the remedy relating to our failure to comply with certain of our reporting obligations. These Notes can be converted or repurchased prior to maturity if certain conditions are met.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In February 2022, our Board of Directors authorized the repurchase of up to $</w:t>
      </w:r>
      <w:r>
        <w:rPr>
          <w:rFonts w:ascii="Times New Roman;sans-serif" w:hAnsi="Times New Roman;sans-serif"/>
          <w:b w:val="false"/>
          <w:color w:val="000000"/>
          <w:sz w:val="20"/>
          <w:shd w:fill="FFFFFF" w:val="clear"/>
        </w:rPr>
        <w:t>1.2 billion</w:t>
      </w:r>
      <w:r>
        <w:rPr>
          <w:color w:val="000000"/>
        </w:rPr>
        <w:t xml:space="preserve"> </w:t>
      </w:r>
      <w:r>
        <w:rPr>
          <w:rFonts w:ascii="Times New Roman;sans-serif" w:hAnsi="Times New Roman;sans-serif"/>
          <w:b w:val="false"/>
          <w:color w:val="000000"/>
          <w:sz w:val="20"/>
        </w:rPr>
        <w:t>of the outstanding shares of our Class A common stock. In July 2023, our Board of Directors authorized the repurchase of up to an additional $</w:t>
      </w:r>
      <w:r>
        <w:rPr>
          <w:rFonts w:ascii="Times New Roman;sans-serif" w:hAnsi="Times New Roman;sans-serif"/>
          <w:b w:val="false"/>
          <w:color w:val="000000"/>
          <w:sz w:val="20"/>
          <w:shd w:fill="FFFFFF" w:val="clear"/>
        </w:rPr>
        <w:t>1.2</w:t>
      </w:r>
      <w:r>
        <w:rPr>
          <w:color w:val="000000"/>
        </w:rPr>
        <w:t xml:space="preserve"> </w:t>
      </w:r>
      <w:r>
        <w:rPr>
          <w:rFonts w:ascii="Times New Roman;sans-serif" w:hAnsi="Times New Roman;sans-serif"/>
          <w:b w:val="false"/>
          <w:color w:val="000000"/>
          <w:sz w:val="20"/>
        </w:rPr>
        <w:t xml:space="preserve">billion of the outstanding shares of our Class A common stock.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year ended December 31, 2023, we repurchased and subsequently retired 22.7 million shares of our Class A common stock for an aggregate amount of $542.8 million. </w:t>
      </w:r>
      <w:r>
        <w:rPr>
          <w:rFonts w:ascii="Times New Roman;sans-serif" w:hAnsi="Times New Roman;sans-serif"/>
          <w:b w:val="false"/>
          <w:color w:val="000000"/>
          <w:sz w:val="20"/>
          <w:shd w:fill="FFFFFF" w:val="clear"/>
        </w:rPr>
        <w:t xml:space="preserve">Included in the cost of treasury stock acquired pursuant to common share repurchases is the 1% excise tax imposed as part of the Inflation Reduction Act. </w:t>
      </w:r>
      <w:r>
        <w:rPr>
          <w:rFonts w:ascii="Times New Roman;sans-serif" w:hAnsi="Times New Roman;sans-serif"/>
          <w:b w:val="false"/>
          <w:color w:val="000000"/>
          <w:sz w:val="20"/>
        </w:rPr>
        <w:t>The pace of our share repurchases may fluctuate due to various circumstances, including market conditions and our stock price.</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2017, we entered into a $600.0 million credit facility with a syndicate of financial institutions, which we subsequently amended in February 2018, February 2021, and March 2023. Pursuant to the terms of the revolving credit facility, we may issue letters of credit under the revolving credit facility, which reduce the total amount available for borrowing under such facility.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and the letter of credit sublimit from $187.5 million to $65.0 million. We may from time-to-time request increases in the borrowing capacity under the revolving credit facility of up to $250.0 million, provided no event of default has occurred or is continuing or would result from such increase. In March 2023, we amended the revolving credit facility to update our borrowing benchmark from LIBOR to SOFR. The revolving credit facility terminates on February 23, 2026.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borrowings under the revolving credit facility accrues at a variable rate tied to SOFR or an alternative base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There is an additional fronting fee of 0.125% per annum multiplied by the average aggregate daily maximum amount available under all letters of credit.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December 31, 2023.</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no amounts outstanding under the revolving credit facility and an aggregate of $31.7 million in letters of credit issued under the revolving credit facility. Our total available borrowing capacity under the revolving credit facility was $468.3 million as of December 31, 2023.</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have utilized a significant portion of our U.S. federal, state and foreign net operating losses. Future utilization of remaining net operating loss and research credit carryforwards are subject to statutory limits. Accordingly, we expect our cash tax obligations will increase in the foreseeable future.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together with our short-term investments, cash provided by operations and amounts available under the revolving credit facility, will be sufficient to meet our needs for the foreseeable future. In addition to the convertible notes discussed above, as of December 31, 2023, we have cash commitments due to additional known contractual obligations.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cash commitments due to known contractual obligations primarily relate to operating and finance lease arrangements. As of December 31, 2023, we additionally had $191.7 million of commitments with third-party vendors for services related to our infrastructure, infrastructure warranty contracts, and asset retirement obligations for office modifications, with terms of 13 years or less.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lease arrangements consist of leases for our offices and datacenters with terms of 13 years or less. As of December 31, 2023, future non-cancelable minimum rental payments related to operating leases were $674.7 million, which includes $228.3 million of future contractual rent payments allocated to non-lease components, and excludes rent payments from our subtenants and variable operating expenses. As of December 31, 2023, we are entitled to non-cancelable rent payments from our subtenants of $72.5 million, which will be collected over the next 10 years. Our finance lease arrangements primarily consist of leases for our infrastructure with terms of 4 years or less. As of December 31, 2023, future non-cancelable minimum rental payments under finance leases were $307.2 million. Refer to Note 9, "Leases", for more information.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were as follows for the periods presented:</w:t>
      </w:r>
    </w:p>
    <w:tbl>
      <w:tblPr>
        <w:tblW w:w="7404" w:type="dxa"/>
        <w:jc w:val="left"/>
        <w:tblInd w:w="0" w:type="dxa"/>
        <w:tblLayout w:type="fixed"/>
        <w:tblCellMar>
          <w:top w:w="28" w:type="dxa"/>
          <w:left w:w="28" w:type="dxa"/>
          <w:bottom w:w="28" w:type="dxa"/>
          <w:right w:w="28" w:type="dxa"/>
        </w:tblCellMar>
      </w:tblPr>
      <w:tblGrid>
        <w:gridCol w:w="1840"/>
        <w:gridCol w:w="1620"/>
        <w:gridCol w:w="1625"/>
        <w:gridCol w:w="211"/>
        <w:gridCol w:w="616"/>
        <w:gridCol w:w="109"/>
        <w:gridCol w:w="109"/>
        <w:gridCol w:w="109"/>
        <w:gridCol w:w="109"/>
        <w:gridCol w:w="211"/>
        <w:gridCol w:w="691"/>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and net (gain) loss on real estate assets, as well as the effect of changes in operating assets and liabilities.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net cash provided by operating activities was $783.7 million, which primarily consisted of our net income of $453.6 million, adjusted for stock-based compensation expense of $338.0 million, depreciation and amortization expenses of $170.0 million, net gain on real estate assets of $155.2 million, and net cash outflow of $146.8 million from operating assets and liabilities. The outflow from operating assets and liabilities was primarily due to the payment of our corporate bonus, payments for our reduction in workforce, payment for the termination fee for the partial termination of our lease for our San Francisco, California corporate headquarters, and key employee holdback payments related to acquisitions, offset by an increase in deferred revenue from increased subscription sales, as a majority of our paying users are invoiced in advance. </w:t>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net cash provided by investing activities was $395.2 million, which primarily related to $395.9 million in net investment activity inflows, driven by the sales and maturities of short-term investments, net of purchases. The increase was partially offset by cash paid for capital expenditures of $24.3 million related to purchases of infrastructure assets at our datacenters. </w:t>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is primarily impacted by cash used for repurchases of common stock, tax withholding obligations for the release of restricted stock units ("RSUs") and restricted stock awards ("RSAs"), and principal payments on finance lease obligations for our infrastructure equipment.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net cash used in financing activities was $799.2 million, which primarily consisted of $539.9 million for the repurchase of our common stock, $135.1 million for the satisfaction of tax withholding obligations for the release of restricted stock units and awards, and $126.6 million in principal payments on finance lease obligations.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Significant Impacts of Stock-Based Compensation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Co-Founder Grant</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2017, the Board of Directors approved the grant to Drew Houston, the Company's Co-Founder and Chief Executive Officer, of 10.3 million shares of Class A common stock in the form of RSAs (the "Co-Founder Grant").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 </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tbl>
      <w:tblPr>
        <w:tblW w:w="4961" w:type="dxa"/>
        <w:jc w:val="left"/>
        <w:tblInd w:w="0" w:type="dxa"/>
        <w:tblLayout w:type="fixed"/>
        <w:tblCellMar>
          <w:top w:w="28" w:type="dxa"/>
          <w:left w:w="28" w:type="dxa"/>
          <w:bottom w:w="28" w:type="dxa"/>
          <w:right w:w="28" w:type="dxa"/>
        </w:tblCellMar>
      </w:tblPr>
      <w:tblGrid>
        <w:gridCol w:w="707"/>
        <w:gridCol w:w="621"/>
        <w:gridCol w:w="623"/>
        <w:gridCol w:w="109"/>
        <w:gridCol w:w="109"/>
        <w:gridCol w:w="109"/>
        <w:gridCol w:w="770"/>
        <w:gridCol w:w="770"/>
        <w:gridCol w:w="771"/>
        <w:gridCol w:w="109"/>
        <w:gridCol w:w="109"/>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Company Stock Price</w:t>
              <w:br/>
              <w:t>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Eligible to Vest for</w:t>
              <w:br/>
              <w:t>Mr. Houston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2,066,667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1,033,334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1,033,334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1,033,333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1,033,333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1,033,333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1,033,333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1,033,333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1,033,333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Vesting Condition for the Co-Founder Grant was satisfied on the date the Company’s shares of Class A common stock commenced trading on the Nasdaq Global Select Market in connection with the Company’s IPO, which was March 23, 2018.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first tranche of the Co-Founder Grant, or 2.1 million shares of Class A common stock,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w:t>
      </w:r>
    </w:p>
    <w:p>
      <w:pPr>
        <w:pStyle w:val="TextBody"/>
        <w:bidi w:val="0"/>
        <w:spacing w:before="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the related notes thereto included elsewhere in this Annual Report on Form 10-K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more fully described in Note 1 “Description of the Business and Summary of Significant Accounting Policies” to our Consolidated Financial Statements in Part II, Item 8 of this Annual Report on Form 10-K, we believe that the accounting policies described below involve a greater degree of judgment and estimation uncertainty.</w:t>
      </w:r>
    </w:p>
    <w:p>
      <w:pPr>
        <w:pStyle w:val="TextBody"/>
        <w:bidi w:val="0"/>
        <w:spacing w:lineRule="auto" w:line="288" w:before="24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Net (gain) loss on real estate assets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assess any changes to lease agreements in accordance with ASC 842, Leases (“ASC 842”). When amendments to existing lease agreements occur, we remeasure and reallocate the remaining consideration to the lease and non-lease components in the contract using a relative standalone price allocation, as well as reassess the classification of the lease at the effective date of the modification.</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2023, we executed an amendment to the lease ("the lease amendment") for our San Francisco, California corporate headquarters. As a result of the lease amendment, we remeasured the related lease liability and right-of-use asset using the estimated incremental borrowing rate as of the modification date and using a relative standalone price reallocation of total contract consideration between the lease and non-lease components of the contract. The non-lease components include common area maintenance costs, which are significant in relation to the overall agreement. The determination of the standalone price of the lease and non-lease components involved judgment and was based on assumptions including future market rent rates, free rent periods and anticipated increases to common area maintenance costs. As a result of the lease amendment, we recognized a one-time gain of $158.8 million in the fourth quarter of 2023 from the corresponding remeasurement of the lease liability and adjustment to the right-of-use asset (which was previously impaired), partially offset by an increase in the liability for unrecoverable common area maintenance costs. Refer to Note 9, "Leases", for more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360, Property, Plant, and Equipment (“ASC 360”), we evaluate our long-lived assets for impairment whenever events and circumstances indicate that the assets might be impaired. When the projected undiscounted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estimated to be generated by those assets are less than their carrying amounts, the assets are adjusted to their estimated fair value and an impairment loss is recorded as a component of operating income.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2020, as a result of our Virtual First strategy, we reassessed our asset groupings and evaluated the recoverability of our right-of-use and related lease assets, including leasehold improvements, furniture and fixtures, and computer equipment. We monitor ongoing changes in the corporate real estate market that may impact our subleasing strategy in conjunction with our Virtual First model. We recorded impairment charges related to real estate assets of $3.6 million during the year ended December 31, 2023. Estimating the fair value of our real estate assets can require the application of significant judgment. Refer to Note 9, "Leases", for more information. </w:t>
      </w:r>
    </w:p>
    <w:p>
      <w:pPr>
        <w:pStyle w:val="TextBody"/>
        <w:bidi w:val="0"/>
        <w:spacing w:before="0" w:after="0"/>
        <w:ind w:left="0" w:right="0" w:firstLine="495"/>
        <w:jc w:val="left"/>
        <w:rPr/>
      </w:pPr>
      <w:r>
        <w:rPr/>
      </w:r>
    </w:p>
    <w:p>
      <w:pPr>
        <w:pStyle w:val="TextBody"/>
        <w:bidi w:val="0"/>
        <w:spacing w:lineRule="auto" w:line="288" w:before="0" w:after="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balances reflect the effects of temporary differences between the financial reporting and tax bases of our assets and liabilities using enacted tax rates expected to apply when taxes are actually paid or recovered. In addition, deferred tax assets are recorded for net operating loss and credit carryforwards.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provided against deferred tax assets unless it is more likely than not that they will be realized based on all available positive and negative evidence. Such evidence, which requires management's judgment, includes, but is not limited to, recent cumulative earnings or losses, expectations of future taxable income by taxing jurisdiction, and the carry-forward periods available for the utilization of deferred tax assets. To the extent sufficient positive evidence becomes available, we may release all or a portion of our valuation allowance in one or more future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we evaluated the realizability of our deferred tax assets, which resulted in releasing part of our historical valuation allowance during the year ended December 31, 2022. Future releases of the remaining valuation allowance, if any, would result in the recognition of certain deferred tax assets which may include a material income tax benefit for the period in which such release is recorded. Refer to Note 14, “Income Taxes” to the Consolidated Financial Statements in Part II, Item 8 of this Annual Report on Form 10-K for more information.</w:t>
      </w:r>
    </w:p>
    <w:p>
      <w:pPr>
        <w:pStyle w:val="TextBody"/>
        <w:bidi w:val="0"/>
        <w:spacing w:before="0" w:after="0"/>
        <w:ind w:left="0" w:right="0" w:firstLine="360"/>
        <w:jc w:val="left"/>
        <w:rPr/>
      </w:pPr>
      <w:r>
        <w:rPr/>
      </w:r>
    </w:p>
    <w:p>
      <w:pPr>
        <w:pStyle w:val="TextBody"/>
        <w:bidi w:val="0"/>
        <w:spacing w:lineRule="auto" w:line="268" w:before="0" w:after="160"/>
        <w:jc w:val="left"/>
        <w:rPr>
          <w:rFonts w:ascii="Times New Roman;sans-serif" w:hAnsi="Times New Roman;sans-serif"/>
          <w:b/>
          <w:color w:val="000000"/>
          <w:sz w:val="20"/>
        </w:rPr>
      </w:pPr>
      <w:r>
        <w:rPr>
          <w:rFonts w:ascii="Times New Roman;sans-serif" w:hAnsi="Times New Roman;sans-serif"/>
          <w:b/>
          <w:color w:val="000000"/>
          <w:sz w:val="20"/>
        </w:rPr>
        <w:t>Change in Accounting Estimate</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2024, we determined that the useful lives of certain infrastructure server and component assets, which are included in “Property and equipment, net”, should be increased from four to five years, as we plan to extend the economic life of these assets in light of recent technological advancements. This change in useful lives will be effective beginning in fiscal year 2024, and is expected to have an estimated favorable impact for the full fiscal year 2024 to cost of revenue and operating income of approximately $30.5 million based on assets that were included in “Property and equipment, net” as of December 31, 2023. </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16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1, “Description of the Business and Summary of Significant Accounting Policies” to our consolidated financial statements included elsewhere in this Annual Report on Form 10-K for recently adopted accounting pronouncements as of the date of this Annual Report on Form 10-K.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7A. QUANTITATIVE AND QUALITATIVE DISCLOSURES ABOUT MARKET RISK</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and cash equivalents of $614.9 million and short-term investments of $741.1 million as of December 31, 2023.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borrowings under the revolving credit facility bear interest at a variable rate tied to SOFR or an alternative base rate. As of December 31, 2023, we had no amounts outstanding under the revolving credit facility. We do not have any other long-term debt or financial liabilities with floating interest rates that would subject us to interest rate fluctuations.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 hypothetical increase in interest rates by 100 basis points would have resulted in a $7.9 million reduction in the market value of our investment portfolio. This estimate is based on a sensitivity model that measures market value changes when changes in interest rates occur.</w:t>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and cash flows are subject to fluctuations due to changes in foreign currency exchange rates relative to U.S. dollars, our reporting currency.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revenue is generated in U.S. dollars, with the remainder generated in Euros, British pounds sterling, Australian dollars, Canadian dollars, and Japanese yen.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increased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year ended December 31, 2023, 27%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net foreign currency transaction losses of $3.2 million and net foreign currency transaction gains of $0.2 million during the years ended December 31, 2023 and 2022, respectively. A hypothetical 10% change in foreign currency rates would not have resulted in material gains or losses for the years ended December 31, 2023 and 2022.</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engaged in any hedging activities. As our international operations grow, we will continue to reassess our approach to managing risks relating to fluctuations in currency rates.</w:t>
      </w:r>
    </w:p>
    <w:p>
      <w:pPr>
        <w:pStyle w:val="TextBody"/>
        <w:bidi w:val="0"/>
        <w:spacing w:before="0" w:after="160"/>
        <w:ind w:left="0" w:right="0" w:firstLine="450"/>
        <w:jc w:val="left"/>
        <w:rPr/>
      </w:pPr>
      <w:r>
        <w:rPr/>
      </w:r>
    </w:p>
    <w:p>
      <w:pPr>
        <w:pStyle w:val="TextBody"/>
        <w:bidi w:val="0"/>
        <w:spacing w:before="0" w:after="160"/>
        <w:ind w:left="0" w:right="0" w:firstLine="450"/>
        <w:jc w:val="left"/>
        <w:rPr/>
      </w:pPr>
      <w:r>
        <w:rPr/>
      </w:r>
    </w:p>
    <w:p>
      <w:pPr>
        <w:pStyle w:val="TextBody"/>
        <w:bidi w:val="0"/>
        <w:spacing w:before="0" w:after="160"/>
        <w:ind w:left="0" w:right="0" w:firstLine="450"/>
        <w:jc w:val="left"/>
        <w:rPr/>
      </w:pPr>
      <w:r>
        <w:rPr/>
      </w:r>
    </w:p>
    <w:p>
      <w:pPr>
        <w:pStyle w:val="TextBody"/>
        <w:bidi w:val="0"/>
        <w:spacing w:before="0" w:after="16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8.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6811" w:type="dxa"/>
        <w:jc w:val="left"/>
        <w:tblInd w:w="0" w:type="dxa"/>
        <w:tblLayout w:type="fixed"/>
        <w:tblCellMar>
          <w:top w:w="28" w:type="dxa"/>
          <w:left w:w="28" w:type="dxa"/>
          <w:bottom w:w="28" w:type="dxa"/>
          <w:right w:w="28" w:type="dxa"/>
        </w:tblCellMar>
      </w:tblPr>
      <w:tblGrid>
        <w:gridCol w:w="2259"/>
        <w:gridCol w:w="1985"/>
        <w:gridCol w:w="1996"/>
        <w:gridCol w:w="167"/>
        <w:gridCol w:w="167"/>
        <w:gridCol w:w="237"/>
      </w:tblGrid>
      <w:tr>
        <w:trPr/>
        <w:tc>
          <w:tcPr>
            <w:tcW w:w="225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498">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3e54989dff154942aebc35c9d71d6423_1498">
              <w:r>
                <w:rPr>
                  <w:rStyle w:val="InternetLink"/>
                  <w:rFonts w:ascii="Times New Roman;sans-serif" w:hAnsi="Times New Roman;sans-serif"/>
                  <w:b w:val="false"/>
                  <w:color w:val="0000FF"/>
                  <w:sz w:val="20"/>
                  <w:u w:val="single"/>
                </w:rPr>
                <w:t>67</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9">
              <w:r>
                <w:rPr>
                  <w:rStyle w:val="InternetLink"/>
                  <w:rFonts w:ascii="Times New Roman;sans-serif" w:hAnsi="Times New Roman;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19">
              <w:r>
                <w:rPr>
                  <w:rStyle w:val="InternetLink"/>
                  <w:rFonts w:ascii="Times New Roman;sans-serif" w:hAnsi="Times New Roman;sans-serif"/>
                  <w:b w:val="false"/>
                  <w:color w:val="0000FF"/>
                  <w:sz w:val="20"/>
                  <w:u w:val="single"/>
                </w:rPr>
                <w:t>70</w:t>
              </w:r>
            </w:hyperlink>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22">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22">
              <w:r>
                <w:rPr>
                  <w:rStyle w:val="InternetLink"/>
                  <w:rFonts w:ascii="Times New Roman;sans-serif" w:hAnsi="Times New Roman;sans-serif"/>
                  <w:b w:val="false"/>
                  <w:color w:val="0000FF"/>
                  <w:sz w:val="20"/>
                  <w:u w:val="single"/>
                </w:rPr>
                <w:t>71</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28">
              <w:r>
                <w:rPr>
                  <w:rStyle w:val="InternetLink"/>
                  <w:rFonts w:ascii="Times New Roman;sans-serif" w:hAnsi="Times New Roman;sans-serif"/>
                  <w:b w:val="false"/>
                  <w:color w:val="0000FF"/>
                  <w:sz w:val="20"/>
                  <w:u w:val="single"/>
                </w:rPr>
                <w:t>Consolidated Statements of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28">
              <w:r>
                <w:rPr>
                  <w:rStyle w:val="InternetLink"/>
                  <w:rFonts w:ascii="Times New Roman;sans-serif" w:hAnsi="Times New Roman;sans-serif"/>
                  <w:b w:val="false"/>
                  <w:color w:val="0000FF"/>
                  <w:sz w:val="20"/>
                  <w:u w:val="single"/>
                </w:rPr>
                <w:t>72</w:t>
              </w:r>
            </w:hyperlink>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31">
              <w:r>
                <w:rPr>
                  <w:rStyle w:val="InternetLink"/>
                  <w:rFonts w:ascii="Times New Roman;sans-serif" w:hAnsi="Times New Roman;sans-serif"/>
                  <w:b w:val="false"/>
                  <w:color w:val="0000FF"/>
                  <w:sz w:val="20"/>
                  <w:u w:val="single"/>
                </w:rPr>
                <w:t>Consolidated Statements of Stockholders’ (Deficit) Equity</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31">
              <w:r>
                <w:rPr>
                  <w:rStyle w:val="InternetLink"/>
                  <w:rFonts w:ascii="Times New Roman;sans-serif" w:hAnsi="Times New Roman;sans-serif"/>
                  <w:b w:val="false"/>
                  <w:color w:val="0000FF"/>
                  <w:sz w:val="20"/>
                  <w:u w:val="single"/>
                </w:rPr>
                <w:t>73</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34">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34">
              <w:r>
                <w:rPr>
                  <w:rStyle w:val="InternetLink"/>
                  <w:rFonts w:ascii="Times New Roman;sans-serif" w:hAnsi="Times New Roman;sans-serif"/>
                  <w:b w:val="false"/>
                  <w:color w:val="0000FF"/>
                  <w:sz w:val="20"/>
                  <w:u w:val="single"/>
                </w:rPr>
                <w:t>74</w:t>
              </w:r>
            </w:hyperlink>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37">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3e54989dff154942aebc35c9d71d6423_37">
              <w:r>
                <w:rPr>
                  <w:rStyle w:val="InternetLink"/>
                  <w:rFonts w:ascii="Times New Roman;sans-serif" w:hAnsi="Times New Roman;sans-serif"/>
                  <w:b w:val="false"/>
                  <w:color w:val="0000FF"/>
                  <w:sz w:val="20"/>
                  <w:u w:val="single"/>
                </w:rPr>
                <w:t>76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Dropbox, Inc.</w:t>
      </w:r>
    </w:p>
    <w:p>
      <w:pPr>
        <w:pStyle w:val="TextBody"/>
        <w:bidi w:val="0"/>
        <w:spacing w:before="240" w:after="283"/>
        <w:jc w:val="left"/>
        <w:rPr/>
      </w:pPr>
      <w:r>
        <w:rPr/>
      </w:r>
    </w:p>
    <w:p>
      <w:pPr>
        <w:pStyle w:val="TextBody"/>
        <w:bidi w:val="0"/>
        <w:spacing w:lineRule="auto" w:line="556" w:before="0" w:after="12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We have audited the accompanying consolidated balance sheets of Dropbox, Inc. (the Company) as of December 31, 2023 and 2022, the related consolidated statements of operations, comprehensive income, stockholders' (deficit)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16, 2024 expressed an unqualified opinion thereon.</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firstLine="72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55"/>
        <w:gridCol w:w="401"/>
        <w:gridCol w:w="403"/>
        <w:gridCol w:w="2767"/>
        <w:gridCol w:w="2767"/>
        <w:gridCol w:w="3412"/>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412"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4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Note 1 to the consolidated financial statements, the Company derives its revenue from subscription fees from customers for access to its platform, which it recognizes ratably over the related contractual term. The Company’s revenue recognition process involves several applications responsible for the initiation, processing, and recording of transactions from the Company’s various sales channels, and the calculation of revenue in accordance with the Company’s accounting policy.</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the Company's accounting for revenue from contracts with customers was challenging and complex due to the high volume of individually-low-monetary-value transactions, and the dependency on the effective design and operation of multiple applications, some of which are specifically designed for the Company’s business.</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472"/>
        <w:gridCol w:w="415"/>
        <w:gridCol w:w="416"/>
        <w:gridCol w:w="2605"/>
        <w:gridCol w:w="2605"/>
        <w:gridCol w:w="3692"/>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internal controls over the Company’s accounting for revenue from contracts with customers. For example, with the assistance of IT professionals, we tested the controls over the initiation and billing of new and recurring subscriptions, the recognition of revenue, and the Company’s cash to billings reconciliation process. We also tested the controls related to the key application interfaces between the initiation, billing, and accounting systems, which included controls related to access to the relevant applications and data and changes to the relevant systems and interfaces, as well as controls over the configuration of the relevant applications.</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test the Company’s accounting for revenue from contracts with customers, we performed substantive audit procedures that included, among others, testing on a sample basis the completeness and accuracy of the underlying data within the Company’s billing system, performing data analytics by extracting data from the billing system to evaluate the completeness and accuracy of recorded revenue and deferred revenue amounts, tracing a sample of sales transactions to source data, and testing a sample of cash to billings reconciliations.</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56"/>
        <w:gridCol w:w="401"/>
        <w:gridCol w:w="403"/>
        <w:gridCol w:w="2617"/>
        <w:gridCol w:w="2617"/>
        <w:gridCol w:w="3711"/>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Gain from remeasurement of operating lease liability and right-of-use asset </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9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in Note 9 to the consolidated financial statements, in the year ended December 31, 2023, the Company executed a lease amendment related to its corporate headquarters. In accordance with ASC 842, the Company remeasured its related lease liability and adjusted the right-of-use asset as of the amendment date, resulting in a gain of $158.8 million.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the remeasurement of the Company’s lease liability was challenging and complex due to the estimation required by management to allocate the total consideration between the lease and non-lease components based on their relative standalone values. The estimation required the use of judgmental assumptions, including current and future market rent rates, that had a significant effect on the total consideration allocated to each component as well as the resulting gain from the remeasurement of the Company’s operating lease liability and adjustment of the right-of-use asset.</w:t>
            </w:r>
          </w:p>
        </w:tc>
      </w:tr>
    </w:tbl>
    <w:tbl>
      <w:tblPr>
        <w:tblW w:w="10205" w:type="dxa"/>
        <w:jc w:val="center"/>
        <w:tblInd w:w="0" w:type="dxa"/>
        <w:tblLayout w:type="fixed"/>
        <w:tblCellMar>
          <w:top w:w="28" w:type="dxa"/>
          <w:left w:w="28" w:type="dxa"/>
          <w:bottom w:w="28" w:type="dxa"/>
          <w:right w:w="28" w:type="dxa"/>
        </w:tblCellMar>
      </w:tblPr>
      <w:tblGrid>
        <w:gridCol w:w="547"/>
        <w:gridCol w:w="481"/>
        <w:gridCol w:w="483"/>
        <w:gridCol w:w="2545"/>
        <w:gridCol w:w="2545"/>
        <w:gridCol w:w="3604"/>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internal controls over the Company’s processes to remeasure the lease liability. For example, we tested the controls over the determination of the standalone values of the lease and non-lease components, including the determination and review of the underlying assumptions used to develop the Company’s estimates.</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testing of the Company's remeasurement of the lease liability included, among other procedures, evaluating the assumptions used to allocate the total consideration between the lease and non-lease components. For example, we compared the current and future rent rate assumptions to relevant market data, including recent sublease activity. We also involved our valuation specialists to assist in our evaluation of the assumptions used by management.</w:t>
            </w:r>
          </w:p>
        </w:tc>
      </w:tr>
    </w:tbl>
    <w:p>
      <w:pPr>
        <w:pStyle w:val="TextBody"/>
        <w:bidi w:val="0"/>
        <w:spacing w:before="0" w:after="0"/>
        <w:jc w:val="left"/>
        <w:rPr/>
      </w:pPr>
      <w:r>
        <w:rPr/>
      </w:r>
    </w:p>
    <w:tbl>
      <w:tblPr>
        <w:tblW w:w="4530" w:type="dxa"/>
        <w:jc w:val="left"/>
        <w:tblInd w:w="0" w:type="dxa"/>
        <w:tblLayout w:type="fixed"/>
        <w:tblCellMar>
          <w:top w:w="28" w:type="dxa"/>
          <w:left w:w="28" w:type="dxa"/>
          <w:bottom w:w="28" w:type="dxa"/>
          <w:right w:w="28" w:type="dxa"/>
        </w:tblCellMar>
      </w:tblPr>
      <w:tblGrid>
        <w:gridCol w:w="1449"/>
        <w:gridCol w:w="1271"/>
        <w:gridCol w:w="1810"/>
      </w:tblGrid>
      <w:tr>
        <w:trPr/>
        <w:tc>
          <w:tcPr>
            <w:tcW w:w="144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2013.</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California</w:t>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556"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lineRule="auto" w:line="55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Dropbox, Inc.</w:t>
      </w:r>
    </w:p>
    <w:p>
      <w:pPr>
        <w:pStyle w:val="TextBody"/>
        <w:bidi w:val="0"/>
        <w:spacing w:lineRule="auto" w:line="288" w:before="0" w:after="160"/>
        <w:jc w:val="left"/>
        <w:rPr>
          <w:rFonts w:ascii="Times New Roman;sans-serif" w:hAnsi="Times New Roman;sans-serif"/>
          <w:b/>
          <w:color w:val="333333"/>
          <w:sz w:val="20"/>
        </w:rPr>
      </w:pPr>
      <w:r>
        <w:rPr>
          <w:rFonts w:ascii="Times New Roman;sans-serif" w:hAnsi="Times New Roman;sans-serif"/>
          <w:b/>
          <w:color w:val="333333"/>
          <w:sz w:val="20"/>
        </w:rPr>
        <w:t>Opinion on Internal Control Over Financial Reporting</w:t>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We have audited Dropbox, Inc.’s internal control over financial reporting as of December 31, 2023, based on criteria established in Internal Control—Integrated Framework issued by the Committee of Sponsoring Organizations of the Treadway Commission (2013 framework) (the COSO criteria). In our opinion, Dropbox, Inc. (the Company) maintained, in all material respects, effective internal control over financial reporting as of December 31, 2023, based on the COSO criteria.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stockholders’ (deficit) equity and cash flows for each of the three years in the period ended December 31, 2023, and the related notes and our report dated February 16, 2024 expressed an unqualified opinion thereon.</w:t>
      </w:r>
    </w:p>
    <w:p>
      <w:pPr>
        <w:pStyle w:val="TextBody"/>
        <w:bidi w:val="0"/>
        <w:spacing w:before="0" w:after="0"/>
        <w:jc w:val="left"/>
        <w:rPr/>
      </w:pPr>
      <w:r>
        <w:rPr/>
      </w:r>
    </w:p>
    <w:p>
      <w:pPr>
        <w:pStyle w:val="TextBody"/>
        <w:bidi w:val="0"/>
        <w:spacing w:lineRule="auto" w:line="288" w:before="0" w:after="160"/>
        <w:jc w:val="left"/>
        <w:rPr>
          <w:rFonts w:ascii="Times New Roman;sans-serif" w:hAnsi="Times New Roman;sans-serif"/>
          <w:b/>
          <w:color w:val="333333"/>
          <w:sz w:val="20"/>
        </w:rPr>
      </w:pPr>
      <w:r>
        <w:rPr>
          <w:rFonts w:ascii="Times New Roman;sans-serif" w:hAnsi="Times New Roman;sans-serif"/>
          <w:b/>
          <w:color w:val="333333"/>
          <w:sz w:val="20"/>
        </w:rPr>
        <w:t>Basis for Opinion</w:t>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firstLine="720"/>
        <w:jc w:val="left"/>
        <w:rPr/>
      </w:pPr>
      <w:r>
        <w:rPr/>
      </w:r>
    </w:p>
    <w:p>
      <w:pPr>
        <w:pStyle w:val="TextBody"/>
        <w:bidi w:val="0"/>
        <w:spacing w:lineRule="auto" w:line="288" w:before="0" w:after="160"/>
        <w:jc w:val="left"/>
        <w:rPr>
          <w:rFonts w:ascii="Times New Roman;sans-serif" w:hAnsi="Times New Roman;sans-serif"/>
          <w:b/>
          <w:color w:val="333333"/>
          <w:sz w:val="20"/>
        </w:rPr>
      </w:pPr>
      <w:r>
        <w:rPr>
          <w:rFonts w:ascii="Times New Roman;sans-serif" w:hAnsi="Times New Roman;sans-serif"/>
          <w:b/>
          <w:color w:val="333333"/>
          <w:sz w:val="20"/>
        </w:rPr>
        <w:t>Definition and Limitations of Internal Control Over Financial Reporting</w:t>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333333"/>
          <w:sz w:val="20"/>
        </w:rPr>
      </w:pPr>
      <w:r>
        <w:rPr>
          <w:rFonts w:ascii="Times New Roman;sans-serif" w:hAnsi="Times New Roman;sans-serif"/>
          <w:b w:val="false"/>
          <w:color w:val="333333"/>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San Francisco, California</w:t>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February 16, 2024</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par value)</w:t>
      </w:r>
    </w:p>
    <w:tbl>
      <w:tblPr>
        <w:tblW w:w="10205" w:type="dxa"/>
        <w:jc w:val="left"/>
        <w:tblInd w:w="0" w:type="dxa"/>
        <w:tblLayout w:type="fixed"/>
        <w:tblCellMar>
          <w:top w:w="28" w:type="dxa"/>
          <w:left w:w="28" w:type="dxa"/>
          <w:bottom w:w="28" w:type="dxa"/>
          <w:right w:w="28" w:type="dxa"/>
        </w:tblCellMar>
      </w:tblPr>
      <w:tblGrid>
        <w:gridCol w:w="2996"/>
        <w:gridCol w:w="2371"/>
        <w:gridCol w:w="2293"/>
        <w:gridCol w:w="211"/>
        <w:gridCol w:w="766"/>
        <w:gridCol w:w="109"/>
        <w:gridCol w:w="109"/>
        <w:gridCol w:w="109"/>
        <w:gridCol w:w="109"/>
        <w:gridCol w:w="211"/>
        <w:gridCol w:w="766"/>
        <w:gridCol w:w="155"/>
      </w:tblGrid>
      <w:tr>
        <w:trPr/>
        <w:tc>
          <w:tcPr>
            <w:tcW w:w="299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7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 non-current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non-current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non-current liabilities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$0.00001 par value; no shares authorized, issued and outstanding as of December 31, 2023; no shares authorized, issued and outstanding as of December 31, 2022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$0.00001 par value; 240.0 shares authorized, and no shares issued and outstanding as of December 31, 2023; 240.0 shares authorized and no shares issued and outstanding as of December 31, 2022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$0.00001 par value; Class A common stock - 2,400.0 shares authorized and 256.0 shares issued and outstanding as of December 31, 2023; 2,400.0 shares authorized and 267.2 shares issued and outstanding as of December 31, 2022; Class B common stock - 475.0 shares authorized and 80.7 shares issued and outstanding as of December 31, 2023; 475.0 shares authorized and 82.2 shares issued and outstanding as of December 31, 2022; Class C common stock - 800.0 shares authorized and no shares issued and outstanding as of December 31, 2023; 800.0 shares authorized and no shares issued and outstanding as of December 31, 2022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deficit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2316"/>
        <w:gridCol w:w="1744"/>
        <w:gridCol w:w="1750"/>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6"/>
      </w:tblGrid>
      <w:tr>
        <w:trPr/>
        <w:tc>
          <w:tcPr>
            <w:tcW w:w="231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460" w:type="dxa"/>
            <w:gridSpan w:val="6"/>
            <w:tcBorders/>
          </w:tcPr>
          <w:p>
            <w:pPr>
              <w:pStyle w:val="TableContents"/>
              <w:bidi w:val="0"/>
              <w:spacing w:before="0" w:after="283"/>
              <w:jc w:val="left"/>
              <w:rPr>
                <w:sz w:val="4"/>
                <w:szCs w:val="4"/>
              </w:rPr>
            </w:pPr>
            <w:r>
              <w:rPr>
                <w:sz w:val="4"/>
                <w:szCs w:val="4"/>
              </w:rPr>
            </w:r>
          </w:p>
        </w:tc>
      </w:tr>
      <w:tr>
        <w:trPr/>
        <w:tc>
          <w:tcPr>
            <w:tcW w:w="5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(gain) loss on real estate assets</w:t>
            </w:r>
            <w:r>
              <w:rPr>
                <w:rFonts w:ascii="Times New Roman;sans-serif" w:hAnsi="Times New Roman;sans-serif"/>
                <w:b w:val="false"/>
                <w:color w:val="000000"/>
                <w:sz w:val="13"/>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(loss) income, net</w:t>
            </w:r>
            <w:r>
              <w:rPr>
                <w:rFonts w:ascii="Times New Roman;sans-serif" w:hAnsi="Times New Roman;sans-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 for) benefit from income taxes</w:t>
            </w:r>
            <w:r>
              <w:rPr>
                <w:rFonts w:ascii="Times New Roman;sans-serif" w:hAnsi="Times New Roman;sans-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share-basic and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in computing net income per share attributable to common stockholders,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0" w:after="283"/>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follows:</w:t>
      </w:r>
    </w:p>
    <w:tbl>
      <w:tblPr>
        <w:tblW w:w="6687" w:type="dxa"/>
        <w:jc w:val="left"/>
        <w:tblInd w:w="0" w:type="dxa"/>
        <w:tblLayout w:type="fixed"/>
        <w:tblCellMar>
          <w:top w:w="28" w:type="dxa"/>
          <w:left w:w="28" w:type="dxa"/>
          <w:bottom w:w="28" w:type="dxa"/>
          <w:right w:w="28" w:type="dxa"/>
        </w:tblCellMar>
      </w:tblPr>
      <w:tblGrid>
        <w:gridCol w:w="992"/>
        <w:gridCol w:w="874"/>
        <w:gridCol w:w="878"/>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expenses related to the Company's reduction in workforce such as severance, benefits and other related items during the year ended December 31, 2023. See Note 1, "Description of the Business and Summary of Significant Accounting Policies - Reduction in Workforce" for additional information.</w:t>
      </w:r>
    </w:p>
    <w:p>
      <w:pPr>
        <w:pStyle w:val="TextBody"/>
        <w:bidi w:val="0"/>
        <w:spacing w:lineRule="auto" w:line="288" w:before="0" w:after="12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Includes a one-time gain of $158.8 million related to the partial termination of the Company's lease for its San Francisco, California corporate headquarters for the year ended December 31, 2023 and impairment charges related to real estate assets for the years ended December 31, 2023, 2022 and 2021.</w:t>
      </w:r>
    </w:p>
    <w:p>
      <w:pPr>
        <w:pStyle w:val="TextBody"/>
        <w:bidi w:val="0"/>
        <w:spacing w:lineRule="auto" w:line="288" w:before="20" w:after="120"/>
        <w:jc w:val="left"/>
        <w:rPr/>
      </w:pPr>
      <w:r>
        <w:rPr>
          <w:rFonts w:ascii="Times New Roman;sans-serif" w:hAnsi="Times New Roman;sans-serif"/>
          <w:b w:val="false"/>
          <w:color w:val="000000"/>
          <w:sz w:val="12"/>
        </w:rPr>
        <w:t>(4)</w:t>
      </w:r>
      <w:r>
        <w:rPr>
          <w:color w:val="000000"/>
        </w:rPr>
        <w:t xml:space="preserve"> </w:t>
      </w:r>
      <w:r>
        <w:rPr>
          <w:rFonts w:ascii="Times New Roman;sans-serif" w:hAnsi="Times New Roman;sans-serif"/>
          <w:b w:val="false"/>
          <w:color w:val="000000"/>
          <w:sz w:val="18"/>
        </w:rPr>
        <w:t>For the year ended December 31, 2021, a $13.6 million gain related to the partial termination of the Company's lease for its San Francisco, California corporate headquarters was reclassified from other (loss) income, net to net (gain) loss on real estate assets to conform with current period presentation.</w:t>
      </w:r>
    </w:p>
    <w:p>
      <w:pPr>
        <w:pStyle w:val="TextBody"/>
        <w:bidi w:val="0"/>
        <w:spacing w:lineRule="auto" w:line="288" w:before="0" w:after="120"/>
        <w:jc w:val="left"/>
        <w:rPr/>
      </w:pPr>
      <w:r>
        <w:rPr>
          <w:rFonts w:ascii="Times New Roman;sans-serif" w:hAnsi="Times New Roman;sans-serif"/>
          <w:b w:val="false"/>
          <w:color w:val="000000"/>
          <w:sz w:val="12"/>
        </w:rPr>
        <w:t xml:space="preserve">(5) </w:t>
      </w:r>
      <w:r>
        <w:rPr>
          <w:rFonts w:ascii="Times New Roman;sans-serif" w:hAnsi="Times New Roman;sans-serif"/>
          <w:b w:val="false"/>
          <w:color w:val="000000"/>
          <w:sz w:val="18"/>
        </w:rPr>
        <w:t>Results of Operations for the year ended December 31, 2022 includes a one-time benefit from income taxes of $420.2 million due to the release of a valuation allowance on the U.S. federal and certain state deferred tax assets. Results of Operations for the year ended December 31, 2021 includes a one-time benefit from income taxes of $38.1 million from the release of a valuation allowance on the Irish deferred tax assets.</w:t>
      </w:r>
    </w:p>
    <w:p>
      <w:pPr>
        <w:pStyle w:val="TextBody"/>
        <w:bidi w:val="0"/>
        <w:spacing w:lineRule="auto" w:line="288" w:before="20" w:after="120"/>
        <w:jc w:val="left"/>
        <w:rPr/>
      </w:pPr>
      <w:r>
        <w:rPr>
          <w:rFonts w:ascii="Times New Roman;sans-serif" w:hAnsi="Times New Roman;sans-serif"/>
          <w:b w:val="false"/>
          <w:color w:val="000000"/>
          <w:sz w:val="12"/>
        </w:rPr>
        <w:t xml:space="preserve">(6) </w:t>
      </w:r>
      <w:r>
        <w:rPr>
          <w:rFonts w:ascii="Times New Roman;sans-serif" w:hAnsi="Times New Roman;sans-serif"/>
          <w:b w:val="false"/>
          <w:color w:val="000000"/>
          <w:sz w:val="18"/>
        </w:rPr>
        <w:t>On March 15, 2023, the Company's President resigned, resulting in the reversal of $6.7 million in stock-based compensation expense. Of the total amount reversed, $4.4 million related to expense recognized prior to January 1, 2023.</w:t>
      </w:r>
    </w:p>
    <w:p>
      <w:pPr>
        <w:pStyle w:val="TextBody"/>
        <w:bidi w:val="0"/>
        <w:spacing w:lineRule="auto" w:line="288" w:before="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millions) </w:t>
      </w:r>
    </w:p>
    <w:tbl>
      <w:tblPr>
        <w:tblW w:w="9718" w:type="dxa"/>
        <w:jc w:val="left"/>
        <w:tblInd w:w="0" w:type="dxa"/>
        <w:tblLayout w:type="fixed"/>
        <w:tblCellMar>
          <w:top w:w="28" w:type="dxa"/>
          <w:left w:w="28" w:type="dxa"/>
          <w:bottom w:w="28" w:type="dxa"/>
          <w:right w:w="28" w:type="dxa"/>
        </w:tblCellMar>
      </w:tblPr>
      <w:tblGrid>
        <w:gridCol w:w="2091"/>
        <w:gridCol w:w="1833"/>
        <w:gridCol w:w="185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091"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gains and (losses) on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(DEFICIT)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bl>
      <w:tblPr>
        <w:tblW w:w="11540" w:type="dxa"/>
        <w:jc w:val="left"/>
        <w:tblInd w:w="0" w:type="dxa"/>
        <w:tblLayout w:type="fixed"/>
        <w:tblCellMar>
          <w:top w:w="28" w:type="dxa"/>
          <w:left w:w="28" w:type="dxa"/>
          <w:bottom w:w="28" w:type="dxa"/>
          <w:right w:w="28" w:type="dxa"/>
        </w:tblCellMar>
      </w:tblPr>
      <w:tblGrid>
        <w:gridCol w:w="728"/>
        <w:gridCol w:w="311"/>
        <w:gridCol w:w="312"/>
        <w:gridCol w:w="225"/>
        <w:gridCol w:w="225"/>
        <w:gridCol w:w="226"/>
        <w:gridCol w:w="109"/>
        <w:gridCol w:w="109"/>
        <w:gridCol w:w="109"/>
        <w:gridCol w:w="215"/>
        <w:gridCol w:w="445"/>
        <w:gridCol w:w="121"/>
        <w:gridCol w:w="109"/>
        <w:gridCol w:w="109"/>
        <w:gridCol w:w="109"/>
        <w:gridCol w:w="285"/>
        <w:gridCol w:w="286"/>
        <w:gridCol w:w="192"/>
        <w:gridCol w:w="109"/>
        <w:gridCol w:w="109"/>
        <w:gridCol w:w="109"/>
        <w:gridCol w:w="266"/>
        <w:gridCol w:w="406"/>
        <w:gridCol w:w="109"/>
        <w:gridCol w:w="109"/>
        <w:gridCol w:w="109"/>
        <w:gridCol w:w="109"/>
        <w:gridCol w:w="196"/>
        <w:gridCol w:w="706"/>
        <w:gridCol w:w="109"/>
        <w:gridCol w:w="109"/>
        <w:gridCol w:w="109"/>
        <w:gridCol w:w="109"/>
        <w:gridCol w:w="235"/>
        <w:gridCol w:w="849"/>
        <w:gridCol w:w="132"/>
        <w:gridCol w:w="109"/>
        <w:gridCol w:w="109"/>
        <w:gridCol w:w="109"/>
        <w:gridCol w:w="344"/>
        <w:gridCol w:w="845"/>
        <w:gridCol w:w="192"/>
        <w:gridCol w:w="109"/>
        <w:gridCol w:w="109"/>
        <w:gridCol w:w="109"/>
        <w:gridCol w:w="274"/>
        <w:gridCol w:w="800"/>
        <w:gridCol w:w="217"/>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w:t>
              <w:b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stockholders’</w:t>
            </w:r>
          </w:p>
          <w:p>
            <w:pPr>
              <w:pStyle w:val="TableContents"/>
              <w:bidi w:val="0"/>
              <w:spacing w:lineRule="auto" w:line="268" w:before="0" w:after="0"/>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 xml:space="preserve">(deficit) equity </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Balance at December 31, 2020 </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405.7</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2,564.3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(2,241.4)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10.9</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333.8</w:t>
            </w:r>
            <w:r>
              <w:rPr>
                <w:color w:val="000000"/>
              </w:rPr>
              <w:t>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 and awards</w:t>
            </w:r>
          </w:p>
        </w:tc>
        <w:tc>
          <w:tcPr>
            <w:tcW w:w="4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related to net share settlement of restricted stock units and awards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awards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stock options in connection with acquisition</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bond hedges in connection with issuance of convertible senior notes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warrants in connection with issuance of convertible senior notes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attributable to bond hedges purchased in connection with issuance of convertible senior notes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375.5</w:t>
            </w: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2,448.1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(2,739.4)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(2.6)</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(293.9)</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 and awards</w:t>
            </w:r>
          </w:p>
        </w:tc>
        <w:tc>
          <w:tcPr>
            <w:tcW w:w="4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related to net share settlement of restricted stock units and awards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awards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attributable to bond hedges purchased in connection with issuance of convertible senior notes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349.4</w:t>
            </w:r>
            <w:r>
              <w:rPr>
                <w:color w:val="000000"/>
              </w:rPr>
              <w:t>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2,511.6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(2,772.1)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(48.9)</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(309.4)</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restricted stock units and awards</w:t>
            </w:r>
          </w:p>
        </w:tc>
        <w:tc>
          <w:tcPr>
            <w:tcW w:w="45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related to net share settlement of restricted stock units and awards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(542.8)</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 and awards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336.7</w:t>
            </w:r>
            <w:r>
              <w:rPr>
                <w:color w:val="000000"/>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2,598.0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(2,742.3)</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(21.5)</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(165.8)</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bl>
      <w:tblPr>
        <w:tblW w:w="9880" w:type="dxa"/>
        <w:jc w:val="center"/>
        <w:tblInd w:w="0" w:type="dxa"/>
        <w:tblLayout w:type="fixed"/>
        <w:tblCellMar>
          <w:top w:w="28" w:type="dxa"/>
          <w:left w:w="28" w:type="dxa"/>
          <w:bottom w:w="28" w:type="dxa"/>
          <w:right w:w="28" w:type="dxa"/>
        </w:tblCellMar>
      </w:tblPr>
      <w:tblGrid>
        <w:gridCol w:w="2385"/>
        <w:gridCol w:w="2092"/>
        <w:gridCol w:w="2108"/>
        <w:gridCol w:w="196"/>
        <w:gridCol w:w="556"/>
        <w:gridCol w:w="109"/>
        <w:gridCol w:w="109"/>
        <w:gridCol w:w="109"/>
        <w:gridCol w:w="109"/>
        <w:gridCol w:w="196"/>
        <w:gridCol w:w="556"/>
        <w:gridCol w:w="109"/>
        <w:gridCol w:w="109"/>
        <w:gridCol w:w="109"/>
        <w:gridCol w:w="109"/>
        <w:gridCol w:w="199"/>
        <w:gridCol w:w="566"/>
        <w:gridCol w:w="154"/>
      </w:tblGrid>
      <w:tr>
        <w:trPr/>
        <w:tc>
          <w:tcPr>
            <w:tcW w:w="2385"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br/>
              <w:t>December 31,</w:t>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flow from operating activities </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 loss on real estate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gains on equity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commissions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and other receivables,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improvement allowance reimbursement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lease termination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combinations,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equity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 from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convertible senior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convertible note hedge in connection with issuance of convertible senior notes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warrants in connection with issuance of convertible senior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tbl>
      <w:tblPr>
        <w:tblW w:w="9622" w:type="dxa"/>
        <w:jc w:val="center"/>
        <w:tblInd w:w="0" w:type="dxa"/>
        <w:tblLayout w:type="fixed"/>
        <w:tblCellMar>
          <w:top w:w="28" w:type="dxa"/>
          <w:left w:w="28" w:type="dxa"/>
          <w:bottom w:w="28" w:type="dxa"/>
          <w:right w:w="28" w:type="dxa"/>
        </w:tblCellMar>
      </w:tblPr>
      <w:tblGrid>
        <w:gridCol w:w="2286"/>
        <w:gridCol w:w="2010"/>
        <w:gridCol w:w="2018"/>
        <w:gridCol w:w="196"/>
        <w:gridCol w:w="556"/>
        <w:gridCol w:w="109"/>
        <w:gridCol w:w="109"/>
        <w:gridCol w:w="109"/>
        <w:gridCol w:w="109"/>
        <w:gridCol w:w="199"/>
        <w:gridCol w:w="566"/>
        <w:gridCol w:w="109"/>
        <w:gridCol w:w="109"/>
        <w:gridCol w:w="109"/>
        <w:gridCol w:w="109"/>
        <w:gridCol w:w="199"/>
        <w:gridCol w:w="566"/>
        <w:gridCol w:w="154"/>
      </w:tblGrid>
      <w:tr>
        <w:trPr/>
        <w:tc>
          <w:tcPr>
            <w:tcW w:w="2286"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w:t>
              <w:br/>
              <w:t>December 31,</w:t>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restricted stock units and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taxes withheld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finance lease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provided by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cash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data: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received and accrued in 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acquired under finance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Description of the Business and Summary of Significant Accounting Policies</w:t>
      </w:r>
    </w:p>
    <w:p>
      <w:pPr>
        <w:pStyle w:val="TextBody"/>
        <w:bidi w:val="0"/>
        <w:spacing w:before="0" w:after="12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Dropbox, Inc. (the “Company” or “Dropbox”) helps keep life organized and work moving. The Company was incorporated in May 2007 as Evenflow, Inc., a Delaware corporation, and changed its name to Dropbox, Inc. in October 2009. The Company is headquartered in San Francisco, California.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 </w:t>
      </w:r>
    </w:p>
    <w:p>
      <w:pPr>
        <w:pStyle w:val="TextBody"/>
        <w:bidi w:val="0"/>
        <w:spacing w:before="120" w:after="283"/>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lineRule="auto" w:line="288" w:before="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prior year balances in order to conform to the current period presentation. For the year ended December 31, 2021, a gain related to the partial termination of the Company's lease for its San Francisco, California corporate headquarters was reclassified from "Other (loss) income, net" to "Net (gain) loss on real estate assets". These reclassifications had no impact on the previously reported net income or accumulated deficit.</w: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Management evaluates these estimates and assumptions on a regular basis. Actual results may differ materially from these estimates.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most significant estimates and judgments related to the remeasurement of its lease liability, valuation of right-of-use and related lease assets and income taxes.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2024, the Company determined that the useful lives of certain infrastructure server and component assets, which are included in “Property and equipment, net”, should be increased from four to five years, as the Company plans to extend the economic life of these assets in light of recent technological advancements. This change in useful lives will be effective beginning fiscal year 2024, and will have an estimated favorable impact to cost of revenue and operating income in fiscal year 2024 of approximately $30.5 million based on assets that were included in “Property and equipment, net” as of December 31, 2023. </w: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Financial information about segments and geographic areas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for information regarding the Company’s long-lived assets and revenue by geography.</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Foreign currency transactions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 net of tax.</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realized from foreign currency transactions (those transactions denominated in currencies other than the foreign subsidiaries’ functional currency) are included in Other (loss) income, net. Monetary assets and liabilities are remeasured using foreign currency exchange rates at the end of the period, and non-monetary assets are remeasured based on historical exchange rates. The Company recorded net foreign currency transaction losses of $3.2 million and net foreign currency transaction gains of $0.2 million during the years ended December 31, 2023 and 2022, respectively.</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Allocation of the transaction price to the performance obligations in the contract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subscription agreements are generally non-cancelable and have monthly or annual contractual terms with a small percentage having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contract liabilities when cash payments are received or due in advance of performance to deferred revenue. Deferred revenue primarily relates to the advance consideration received from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 xml:space="preserve">The Company recognized </w:t>
      </w:r>
      <w:r>
        <w:rPr>
          <w:rFonts w:ascii="Times New Roman;sans-serif" w:hAnsi="Times New Roman;sans-serif"/>
          <w:b w:val="false"/>
          <w:color w:val="000000"/>
          <w:sz w:val="20"/>
          <w:shd w:fill="FFFFFF" w:val="clear"/>
        </w:rPr>
        <w:t>$701.6 million, $671.5</w:t>
      </w:r>
      <w:r>
        <w:rPr>
          <w:color w:val="000000"/>
        </w:rPr>
        <w:t xml:space="preserve"> </w:t>
      </w:r>
      <w:r>
        <w:rPr>
          <w:rFonts w:ascii="Times New Roman;sans-serif" w:hAnsi="Times New Roman;sans-serif"/>
          <w:b w:val="false"/>
          <w:color w:val="000000"/>
          <w:sz w:val="20"/>
        </w:rPr>
        <w:t xml:space="preserve">million and </w:t>
      </w:r>
      <w:r>
        <w:rPr>
          <w:rFonts w:ascii="Times New Roman;sans-serif" w:hAnsi="Times New Roman;sans-serif"/>
          <w:b w:val="false"/>
          <w:color w:val="000000"/>
          <w:sz w:val="20"/>
          <w:shd w:fill="FFFFFF" w:val="clear"/>
        </w:rPr>
        <w:t>$610.5</w:t>
      </w:r>
      <w:r>
        <w:rPr>
          <w:color w:val="000000"/>
        </w:rPr>
        <w:t xml:space="preserve"> </w:t>
      </w:r>
      <w:r>
        <w:rPr>
          <w:rFonts w:ascii="Times New Roman;sans-serif" w:hAnsi="Times New Roman;sans-serif"/>
          <w:b w:val="false"/>
          <w:color w:val="000000"/>
          <w:sz w:val="20"/>
        </w:rPr>
        <w:t>million of revenue during the years ended December 31, 2023, 2022 and 2021, respectively, that was included in the deferred revenue balances at the beginning of their respective periods.</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 xml:space="preserve">As of December 31, 2023, future estimated revenue related to performance obligations that were unsatisfied or partially unsatisfied was </w:t>
      </w:r>
      <w:r>
        <w:rPr>
          <w:rFonts w:ascii="Times New Roman;sans-serif" w:hAnsi="Times New Roman;sans-serif"/>
          <w:b w:val="false"/>
          <w:color w:val="000000"/>
          <w:sz w:val="20"/>
          <w:shd w:fill="FFFFFF" w:val="clear"/>
        </w:rPr>
        <w:t>$799.5</w:t>
      </w:r>
      <w:r>
        <w:rPr>
          <w:color w:val="000000"/>
        </w:rPr>
        <w:t xml:space="preserve"> </w:t>
      </w:r>
      <w:r>
        <w:rPr>
          <w:rFonts w:ascii="Times New Roman;sans-serif" w:hAnsi="Times New Roman;sans-serif"/>
          <w:b w:val="false"/>
          <w:color w:val="000000"/>
          <w:sz w:val="20"/>
        </w:rPr>
        <w:t>million. The substantial majority of the unsatisfied performance obligations will be satisfied over the next twelve months.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service-based vesting condition over a four-year period vesting quarterly, as the only stock-based awards to its employees, with the exception of awards granted to its co-founder and certain executives, and has not granted any stock options to employees under the Dropbox Equity Incentive Plans.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recognizes compensation expense associated with RSUs on a straight-line basis over the requisite service period and accounts for forfeitures in the period in which they occur.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determines the fair value of each share of underlying common stock based on the closing price of the Company's Class A common stock as reported on the Nasdaq Global Select Market on the date of the grant.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certain stock price targets may not be satisfied. The first tranche of the Co-Founder Grant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12 "Stockholders' (Deficit) Equity" to our consolidated financial statements for further information.</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Reduction in Workforce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27, 2023, the Company announced a reduction of its global workforce by approximately 16% to streamline its team structure in support of its long-term growth and profitability objectives. The Company incurred charges of $39.3 million in connection with the reduction in workforce, primarily consisting of cash expenditures for severance payments, employee benefits and related costs.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severance and related charges are included within the Company's consolidated statements of operations for the year ended December 31, 2023 as follows:</w:t>
      </w:r>
    </w:p>
    <w:p>
      <w:pPr>
        <w:pStyle w:val="TextBody"/>
        <w:bidi w:val="0"/>
        <w:spacing w:before="0" w:after="0"/>
        <w:ind w:left="0" w:right="0" w:firstLine="495"/>
        <w:jc w:val="left"/>
        <w:rPr/>
      </w:pPr>
      <w:r>
        <w:rPr/>
      </w:r>
    </w:p>
    <w:tbl>
      <w:tblPr>
        <w:tblW w:w="3404" w:type="dxa"/>
        <w:jc w:val="left"/>
        <w:tblInd w:w="0" w:type="dxa"/>
        <w:tblLayout w:type="fixed"/>
        <w:tblCellMar>
          <w:top w:w="28" w:type="dxa"/>
          <w:left w:w="28" w:type="dxa"/>
          <w:bottom w:w="28" w:type="dxa"/>
          <w:right w:w="28" w:type="dxa"/>
        </w:tblCellMar>
      </w:tblPr>
      <w:tblGrid>
        <w:gridCol w:w="835"/>
        <w:gridCol w:w="736"/>
        <w:gridCol w:w="739"/>
        <w:gridCol w:w="109"/>
        <w:gridCol w:w="109"/>
        <w:gridCol w:w="211"/>
        <w:gridCol w:w="51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changes in liabilities resulting from the severance charges and related accruals were as follows:</w:t>
      </w:r>
    </w:p>
    <w:tbl>
      <w:tblPr>
        <w:tblW w:w="5385" w:type="dxa"/>
        <w:jc w:val="left"/>
        <w:tblInd w:w="0" w:type="dxa"/>
        <w:tblLayout w:type="fixed"/>
        <w:tblCellMar>
          <w:top w:w="28" w:type="dxa"/>
          <w:left w:w="28" w:type="dxa"/>
          <w:bottom w:w="28" w:type="dxa"/>
          <w:right w:w="28" w:type="dxa"/>
        </w:tblCellMar>
      </w:tblPr>
      <w:tblGrid>
        <w:gridCol w:w="1022"/>
        <w:gridCol w:w="898"/>
        <w:gridCol w:w="900"/>
        <w:gridCol w:w="701"/>
        <w:gridCol w:w="1349"/>
        <w:gridCol w:w="515"/>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Severance and Related Costs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Advertising and promotional expense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and promotional expenses are primarily included in sales and marketing expenses within the consolidated statements of operations and are expensed when incurred. Advertising and promotional expenses were $131.7 million, $94.8 million, and $108.6 million during the years ended December 31, 2023, 2022, and 2021, respectively.</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monitors its credit risk by considering factors such as historical experience, credit ratings, current economic conditions, and reasonable and supportable forecasts.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Short-term investments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consolidated balance sheets.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short-term investments are recorded at fair value each reporting period. Unrealized gains and losses on these short-term investments are reported as a separate component of accumulated other comprehensive loss in the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year ended December 31, 2023. As of December 31, 2023 and 2022, no allowance for credit losses in short-term investments was recorded.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Concentrations of risk</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concentrations of credit risk consist primarily of cash, cash equivalents, accounts receivable, and short-term investments. Although the Company deposits its cash and cash equivalents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 xml:space="preserve">Trade accounts receivable are typically unsecured and are derived from revenue earned from customers located around the world. Two </w:t>
      </w:r>
      <w:r>
        <w:rPr>
          <w:rFonts w:ascii="Times New Roman;sans-serif" w:hAnsi="Times New Roman;sans-serif"/>
          <w:b w:val="false"/>
          <w:color w:val="000000"/>
          <w:sz w:val="20"/>
          <w:shd w:fill="FFFFFF" w:val="clear"/>
        </w:rPr>
        <w:t>distribution partners accounted for</w:t>
      </w:r>
      <w:r>
        <w:rPr>
          <w:color w:val="000000"/>
        </w:rPr>
        <w:t xml:space="preserve"> </w:t>
      </w:r>
      <w:r>
        <w:rPr>
          <w:rFonts w:ascii="Times New Roman;sans-serif" w:hAnsi="Times New Roman;sans-serif"/>
          <w:b w:val="false"/>
          <w:color w:val="000000"/>
          <w:sz w:val="20"/>
        </w:rPr>
        <w:t>11% and 43% of</w:t>
      </w:r>
      <w:r>
        <w:rPr>
          <w:color w:val="000000"/>
          <w:shd w:fill="FFFFFF" w:val="clear"/>
        </w:rPr>
        <w:t xml:space="preserve"> </w:t>
      </w:r>
      <w:r>
        <w:rPr>
          <w:rFonts w:ascii="Times New Roman;sans-serif" w:hAnsi="Times New Roman;sans-serif"/>
          <w:b w:val="false"/>
          <w:color w:val="000000"/>
          <w:sz w:val="20"/>
          <w:shd w:fill="FFFFFF" w:val="clear"/>
        </w:rPr>
        <w:t xml:space="preserve">total trade and other receivables, net as of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2023. </w:t>
      </w:r>
      <w:r>
        <w:rPr>
          <w:rFonts w:ascii="Times New Roman;sans-serif" w:hAnsi="Times New Roman;sans-serif"/>
          <w:b w:val="false"/>
          <w:color w:val="000000"/>
          <w:sz w:val="20"/>
        </w:rPr>
        <w:t>Two</w:t>
      </w:r>
      <w:r>
        <w:rPr>
          <w:color w:val="000000"/>
          <w:shd w:fill="FFFFFF" w:val="clear"/>
        </w:rPr>
        <w:t xml:space="preserve"> </w:t>
      </w:r>
      <w:r>
        <w:rPr>
          <w:rFonts w:ascii="Times New Roman;sans-serif" w:hAnsi="Times New Roman;sans-serif"/>
          <w:b w:val="false"/>
          <w:color w:val="000000"/>
          <w:sz w:val="20"/>
          <w:shd w:fill="FFFFFF" w:val="clear"/>
        </w:rPr>
        <w:t>distribution partners accounted for</w:t>
      </w:r>
      <w:r>
        <w:rPr>
          <w:color w:val="000000"/>
        </w:rPr>
        <w:t xml:space="preserve"> </w:t>
      </w:r>
      <w:r>
        <w:rPr>
          <w:rFonts w:ascii="Times New Roman;sans-serif" w:hAnsi="Times New Roman;sans-serif"/>
          <w:b w:val="false"/>
          <w:color w:val="000000"/>
          <w:sz w:val="20"/>
        </w:rPr>
        <w:t>12% and 30% o</w:t>
      </w:r>
      <w:r>
        <w:rPr>
          <w:rFonts w:ascii="Times New Roman;sans-serif" w:hAnsi="Times New Roman;sans-serif"/>
          <w:b w:val="false"/>
          <w:color w:val="000000"/>
          <w:sz w:val="20"/>
          <w:shd w:fill="FFFFFF" w:val="clear"/>
        </w:rPr>
        <w:t xml:space="preserve">f total trade and other receivables, net as of December 31, 2022. </w:t>
      </w:r>
      <w:r>
        <w:rPr>
          <w:rFonts w:ascii="Times New Roman;sans-serif" w:hAnsi="Times New Roman;sans-serif"/>
          <w:b w:val="false"/>
          <w:color w:val="000000"/>
          <w:sz w:val="20"/>
        </w:rPr>
        <w:t>No customer accounted for more than 10% of the Company’s revenue in the periods presented.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hosts its services and serves all of its users using a combination of its own custom-built infrastructure that it leases and operates in co-location facilities and third-party datacenter services such as Amazon Web Services ("AWS"). The Company's technology infrastructure, combined with select use of AWS resources, provides a distributed and scalable architecture on a global scale. The Company has designed its platform with multiple layers of redundancy to guard against data loss and deliver high availability.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Trade and other receivables, net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and other receivables, net consists primarily of trade receivables that are recorded at the invoice amount, net of an allowance for expected credit losses.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expected credit losses is based on the Company’s assessment of the collectability of accounts receivable. The Company assesses collectability by reviewing accounts receivable on a collective basis where similar characteristics exist and on an individual basis when the Company identifies specific customers with known disputes or collectability issues. The Company regularly reviews the adequacy of the allowance for expected credit losses by considering the age of each outstanding invoice, the collection history of each customer, and other relevant factors, including contractual term and current and future economic conditions. The Company's allowance for expected credit losses was $1.1 million and $0.7 million as of December 31, 2023 and 2022, respectively.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Non-trade receivables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non-trade receivables to reflect amounts due for activities outside of its subscription agreements, such as indemnification assets and receivables from tenants. Non-trade receivables totaled $6.9 million and $6.5 million, as of December 31, 2023 and 2022, respectively, and are classified within prepaid expenses and other current assets in the accompanying consolidated balance sheets. See "—Lease obligations” for further discussion.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Deferred commissions, net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consolidated balance sheets. The Company deferred incremental costs of obtaining a contract of $24.7 million and $33.5 million during the years ended December 31, 2023 and 2022,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 net included in prepaid and other current assets were $23.4 million and $33.6 million as of December 31, 2023 and 2022, respectively. Deferred commissions, net included in other assets were $22.0 million and $25.7 million as of December 31, 2023 and 2022,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$38.6 million, $39.5 million and $32.3 million for the years ended December 31, 2023, 2022 and 2021 respectively. Amortization of deferred commissions costs are included in sales and marketing expense in the accompanying consolidated statements of operations. There was no impairment loss in relation to the deferred costs for any period presented.</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useful lives of property and equipment:</w:t>
      </w:r>
    </w:p>
    <w:p>
      <w:pPr>
        <w:pStyle w:val="TextBody"/>
        <w:bidi w:val="0"/>
        <w:spacing w:before="0" w:after="0"/>
        <w:ind w:left="0" w:right="0" w:firstLine="495"/>
        <w:jc w:val="left"/>
        <w:rPr/>
      </w:pPr>
      <w:r>
        <w:rPr/>
      </w:r>
    </w:p>
    <w:tbl>
      <w:tblPr>
        <w:tblW w:w="8335" w:type="dxa"/>
        <w:jc w:val="left"/>
        <w:tblInd w:w="0" w:type="dxa"/>
        <w:tblLayout w:type="fixed"/>
        <w:tblCellMar>
          <w:top w:w="28" w:type="dxa"/>
          <w:left w:w="28" w:type="dxa"/>
          <w:bottom w:w="28" w:type="dxa"/>
          <w:right w:w="28" w:type="dxa"/>
        </w:tblCellMar>
      </w:tblPr>
      <w:tblGrid>
        <w:gridCol w:w="1275"/>
        <w:gridCol w:w="1121"/>
        <w:gridCol w:w="1128"/>
        <w:gridCol w:w="109"/>
        <w:gridCol w:w="109"/>
        <w:gridCol w:w="109"/>
        <w:gridCol w:w="1314"/>
        <w:gridCol w:w="1314"/>
        <w:gridCol w:w="1856"/>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life</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 to 30 years</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Datacenter and other computer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7 years</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estimated useful life or remaining lease term</w:t>
            </w:r>
          </w:p>
        </w:tc>
      </w:tr>
    </w:tbl>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space, datacenters, and equipment under non-cancelable finance and operating leases with various expiration dates through 2036. The Company determines if an arrangement contains a lease at inception.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operating lease agreements contain tenant improvement allowances from its landlords. These allowances are accounted for as lease incentives and decrease the Company's right-of-use asset and reduce single lease cost over the lease term.</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Company's Virtual First strategy, Dropbox has retained a portion of its office space for in-person collaboration while the remainder will be subleased. The Company recorded total impairment charges of $3.6 million, $175.2 million and $31.3 million during the years ended December 31, 2023, 2022 and 2021, respectively, related to real estate assets as a result of changes in the corporate real estate market which impacted the Company's subleasing strategy in conjunction with the Virtual First model. See Note 9 "Leases" to our consolidated financial statements included elsewhere in this Annual Report on Form 10-K for further information.</w:t>
      </w:r>
    </w:p>
    <w:p>
      <w:pPr>
        <w:pStyle w:val="TextBody"/>
        <w:bidi w:val="0"/>
        <w:spacing w:before="0" w:after="0"/>
        <w:ind w:left="0" w:right="0" w:firstLine="495"/>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2023, the Company executed an amendment to partially terminate the lease ("the lease amendment") for its San Francisco, California corporate headquarters. As a result of the lease amendment, the Company recognized a one-time gain of $158.8 million in the fourth quarter of 2023 from the corresponding remeasurement of the lease liability and adjustment of the right-of-use asset (which was previously impaired), partially offset by an increase in the liability for unrecoverable common area maintenance costs. In the fourth quarter of 2021, the Company also executed an amendment to partially terminate its San Francisco, California corporate headquarters. As a result of the lease amendment, the Company recognized a one-time gain of $13.6 million from the corresponding remeasurement of the lease liability and adjustment of the right-of-use asset. The gains are recorded within net (gain) loss on real estate assets. See Note 9 "Leases" for further information.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consolidated statements of operations. Initial asset values and finance lease obligations are based on the present value of future minimum lease payments.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 </w:t>
      </w:r>
    </w:p>
    <w:p>
      <w:pPr>
        <w:pStyle w:val="TextBody"/>
        <w:bidi w:val="0"/>
        <w:spacing w:lineRule="auto" w:line="288" w:before="36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Internal use software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costs related to developed or modified software solely for its internal use and cloud-based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2023, 2022 and 2021.</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pStyle w:val="TextBody"/>
        <w:bidi w:val="0"/>
        <w:spacing w:before="120" w:after="283"/>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Long-lived assets, including goodwill and other acquired intangible assets, net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for impairment at least annually in the fourth quarter, or more frequently if events or changes in circumstances would more likely than not reduce the fair value of its single reporting unit below its carrying value. At December 31, 2023, the single reporting unit had a negative carrying value of net assets. Goodwill allocated to the single reporting unit is $402.2 million at December 31, 2023.</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recorded impairment charges on goodwill or intangible assets for the periods presented in these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total impairment charges of $3.6 million, $175.2 million and $31.3 million during the years ended December 31, 2023, 2022 and 2021, respectively, related to real estate assets as a result of changes in the corporate real estate market which impacted the Company's subleasing strategy in conjunction with our Virtual First model. See Note 9 "Leases" for further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 As of December 31, 2022, the Company released the valuation allowance on its U.S. federal and certain state deferred tax assets resulting in an income tax benefit of $420.2 million.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Cuts and Jobs Act of 2017 ("TCJA") subjects a U.S. shareholder to current tax on global intangible low-taxed income ("GILTI") earned by foreign subsidiaries. The Company accounts for GILTI as a period cost as incurred.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ind w:left="0" w:right="0" w:firstLine="495"/>
        <w:jc w:val="left"/>
        <w:rPr/>
      </w:pPr>
      <w:r>
        <w:rPr/>
      </w:r>
    </w:p>
    <w:p>
      <w:pPr>
        <w:pStyle w:val="TextBody"/>
        <w:bidi w:val="0"/>
        <w:spacing w:lineRule="auto" w:line="288" w:before="0" w:after="60"/>
        <w:jc w:val="left"/>
        <w:rPr/>
      </w:pP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Quoted prices in active markets for identical assets or liabilities.</w:t>
      </w:r>
    </w:p>
    <w:p>
      <w:pPr>
        <w:pStyle w:val="TextBody"/>
        <w:bidi w:val="0"/>
        <w:spacing w:lineRule="auto" w:line="288" w:before="120" w:after="283"/>
        <w:jc w:val="left"/>
        <w:rPr/>
      </w:pP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20" w:after="283"/>
        <w:jc w:val="left"/>
        <w:rPr/>
      </w:pP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Inputs that are generally unobservable and typically reflect management’s estimate of assumptions that market participants would use in pricing the asset or liability.</w:t>
      </w:r>
    </w:p>
    <w:p>
      <w:pPr>
        <w:pStyle w:val="TextBody"/>
        <w:bidi w:val="0"/>
        <w:spacing w:before="120" w:after="283"/>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requires disclosure of incremental segment information on an annual and interim basis. ASU 2023-07 will be effective for the fiscal year beginning January 1, 2024, and interim periods within the fiscal year beginning January 1, 2025, with early adoption permitted, and requiring application on a fully retrospective basis. The Company is currently evaluating the impact of this standard on the Company's consolidated financial statement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xml:space="preserve">, to enhance income tax disclosures primarily through changes in rate reconciliation and income taxes paid disclosures. The amendments in ASU 2023-09 are effective for annual periods beginning after December 15, 2024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prospective basis. Early adoption is permitted. The Company is currently evaluating the impact of this standard on the Company's consolidated financial statement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before="0" w:after="0"/>
        <w:ind w:left="0" w:right="0" w:firstLine="495"/>
        <w:jc w:val="left"/>
        <w:rPr/>
      </w:pPr>
      <w:r>
        <w:rPr/>
      </w:r>
    </w:p>
    <w:p>
      <w:pPr>
        <w:pStyle w:val="TextBody"/>
        <w:bidi w:val="0"/>
        <w:spacing w:lineRule="auto" w:line="288" w:before="0" w:after="420"/>
        <w:ind w:left="0" w:right="0" w:firstLine="495"/>
        <w:jc w:val="left"/>
        <w:rPr/>
      </w:pPr>
      <w:r>
        <w:rPr>
          <w:rFonts w:ascii="Times New Roman;sans-serif" w:hAnsi="Times New Roman;sans-serif"/>
          <w:b w:val="false"/>
          <w:color w:val="000000"/>
          <w:sz w:val="20"/>
        </w:rPr>
        <w:t xml:space="preserve">In March 2022, the FASB issued ASU 2022-02, </w:t>
      </w:r>
      <w:r>
        <w:rPr>
          <w:rFonts w:ascii="Times New Roman;sans-serif" w:hAnsi="Times New Roman;sans-serif"/>
          <w:b w:val="false"/>
          <w:i/>
          <w:color w:val="000000"/>
          <w:sz w:val="20"/>
        </w:rPr>
        <w:t xml:space="preserve">Financial Instruments—Credit Losses (Topic 326): Troubled Debt Restructurings and Vintage Disclosures, </w:t>
      </w:r>
      <w:r>
        <w:rPr>
          <w:rFonts w:ascii="Times New Roman;sans-serif" w:hAnsi="Times New Roman;sans-serif"/>
          <w:b w:val="false"/>
          <w:color w:val="000000"/>
          <w:sz w:val="20"/>
        </w:rPr>
        <w:t>which eliminates the accounting guidance on troubled debt restructurings for creditors in ASC 310-40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refinancings and restructurings for borrowers experiencing financial difficulty. The Company adopted ASU 2022-02 on January 1, 2023. The adoption of the standard did not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2.Cash, Cash Equivalents and Short-Term Investments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unrealized gains and losses and estimated fair value of the Company's cash, cash equivalents and short-term investments as of December 31, 2023 and 2022 consisted of the following:</w:t>
      </w:r>
    </w:p>
    <w:p>
      <w:pPr>
        <w:pStyle w:val="TextBody"/>
        <w:bidi w:val="0"/>
        <w:spacing w:before="0" w:after="0"/>
        <w:ind w:left="0" w:right="0" w:firstLine="495"/>
        <w:jc w:val="left"/>
        <w:rPr/>
      </w:pPr>
      <w:r>
        <w:rPr/>
      </w:r>
    </w:p>
    <w:tbl>
      <w:tblPr>
        <w:tblW w:w="10085" w:type="dxa"/>
        <w:jc w:val="center"/>
        <w:tblInd w:w="0" w:type="dxa"/>
        <w:tblLayout w:type="fixed"/>
        <w:tblCellMar>
          <w:top w:w="28" w:type="dxa"/>
          <w:left w:w="28" w:type="dxa"/>
          <w:bottom w:w="28" w:type="dxa"/>
          <w:right w:w="28" w:type="dxa"/>
        </w:tblCellMar>
      </w:tblPr>
      <w:tblGrid>
        <w:gridCol w:w="991"/>
        <w:gridCol w:w="870"/>
        <w:gridCol w:w="884"/>
        <w:gridCol w:w="277"/>
        <w:gridCol w:w="1005"/>
        <w:gridCol w:w="143"/>
        <w:gridCol w:w="109"/>
        <w:gridCol w:w="109"/>
        <w:gridCol w:w="109"/>
        <w:gridCol w:w="436"/>
        <w:gridCol w:w="838"/>
        <w:gridCol w:w="226"/>
        <w:gridCol w:w="109"/>
        <w:gridCol w:w="109"/>
        <w:gridCol w:w="109"/>
        <w:gridCol w:w="366"/>
        <w:gridCol w:w="914"/>
        <w:gridCol w:w="190"/>
        <w:gridCol w:w="109"/>
        <w:gridCol w:w="109"/>
        <w:gridCol w:w="109"/>
        <w:gridCol w:w="366"/>
        <w:gridCol w:w="1331"/>
        <w:gridCol w:w="267"/>
      </w:tblGrid>
      <w:tr>
        <w:trPr/>
        <w:tc>
          <w:tcPr>
            <w:tcW w:w="99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&amp; cash equivalents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1,356.0 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tbl>
      <w:tblPr>
        <w:tblW w:w="10085" w:type="dxa"/>
        <w:jc w:val="left"/>
        <w:tblInd w:w="0" w:type="dxa"/>
        <w:tblLayout w:type="fixed"/>
        <w:tblCellMar>
          <w:top w:w="28" w:type="dxa"/>
          <w:left w:w="28" w:type="dxa"/>
          <w:bottom w:w="28" w:type="dxa"/>
          <w:right w:w="28" w:type="dxa"/>
        </w:tblCellMar>
      </w:tblPr>
      <w:tblGrid>
        <w:gridCol w:w="991"/>
        <w:gridCol w:w="870"/>
        <w:gridCol w:w="884"/>
        <w:gridCol w:w="277"/>
        <w:gridCol w:w="1005"/>
        <w:gridCol w:w="143"/>
        <w:gridCol w:w="109"/>
        <w:gridCol w:w="109"/>
        <w:gridCol w:w="109"/>
        <w:gridCol w:w="436"/>
        <w:gridCol w:w="838"/>
        <w:gridCol w:w="226"/>
        <w:gridCol w:w="109"/>
        <w:gridCol w:w="109"/>
        <w:gridCol w:w="109"/>
        <w:gridCol w:w="366"/>
        <w:gridCol w:w="914"/>
        <w:gridCol w:w="190"/>
        <w:gridCol w:w="109"/>
        <w:gridCol w:w="109"/>
        <w:gridCol w:w="109"/>
        <w:gridCol w:w="366"/>
        <w:gridCol w:w="1331"/>
        <w:gridCol w:w="267"/>
      </w:tblGrid>
      <w:tr>
        <w:trPr/>
        <w:tc>
          <w:tcPr>
            <w:tcW w:w="99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&amp; cash equivalents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cash and cash equivalents is cash in transit from payment processors for credit and debit card transactions of $17.0 million and $12.4 million as of December 31, 2023 and 2022,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short-term investments were designated as available-for-sale securities as of December 31, 2023 and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contractual maturities of the Company’s short-term investments as of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p>
      <w:pPr>
        <w:pStyle w:val="TextBody"/>
        <w:bidi w:val="0"/>
        <w:spacing w:before="0" w:after="0"/>
        <w:jc w:val="left"/>
        <w:rPr/>
      </w:pPr>
      <w:r>
        <w:rPr/>
      </w:r>
    </w:p>
    <w:tbl>
      <w:tblPr>
        <w:tblW w:w="6220" w:type="dxa"/>
        <w:jc w:val="center"/>
        <w:tblInd w:w="0" w:type="dxa"/>
        <w:tblLayout w:type="fixed"/>
        <w:tblCellMar>
          <w:top w:w="28" w:type="dxa"/>
          <w:left w:w="28" w:type="dxa"/>
          <w:bottom w:w="28" w:type="dxa"/>
          <w:right w:w="28" w:type="dxa"/>
        </w:tblCellMar>
      </w:tblPr>
      <w:tblGrid>
        <w:gridCol w:w="957"/>
        <w:gridCol w:w="838"/>
        <w:gridCol w:w="845"/>
        <w:gridCol w:w="310"/>
        <w:gridCol w:w="908"/>
        <w:gridCol w:w="161"/>
        <w:gridCol w:w="109"/>
        <w:gridCol w:w="109"/>
        <w:gridCol w:w="109"/>
        <w:gridCol w:w="402"/>
        <w:gridCol w:w="1176"/>
        <w:gridCol w:w="296"/>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between one to three years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three years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398 short-term investments in unrealized loss positions as of December 31, 2023. There were no material gains or losses from short-term investments that were reclassified out of accumulated other comprehensive loss for the years ended December 31, 2023 or 2022.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Company’s short-term investments portfolio consisted of nine security types, seven of which were in an unrealized loss position. The Company’s short-term investments had unrealized losses of approximately $21.3 million as of December 31, 2023. The following tables present the breakdown of the short-term investments that have been in a continuous unrealized loss position aggregated by investment category, as of December 31, 2023 and 2022: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605" cy="14605"/>
                <wp:effectExtent l="0" t="0" r="0" b="0"/>
                <wp:wrapNone/>
                <wp:docPr id="86" name="Frame8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2"/>
        <w:gridCol w:w="482"/>
        <w:gridCol w:w="485"/>
        <w:gridCol w:w="224"/>
        <w:gridCol w:w="543"/>
        <w:gridCol w:w="115"/>
        <w:gridCol w:w="109"/>
        <w:gridCol w:w="109"/>
        <w:gridCol w:w="109"/>
        <w:gridCol w:w="384"/>
        <w:gridCol w:w="766"/>
        <w:gridCol w:w="199"/>
        <w:gridCol w:w="109"/>
        <w:gridCol w:w="109"/>
        <w:gridCol w:w="109"/>
        <w:gridCol w:w="216"/>
        <w:gridCol w:w="631"/>
        <w:gridCol w:w="111"/>
        <w:gridCol w:w="109"/>
        <w:gridCol w:w="109"/>
        <w:gridCol w:w="109"/>
        <w:gridCol w:w="336"/>
        <w:gridCol w:w="839"/>
        <w:gridCol w:w="174"/>
        <w:gridCol w:w="109"/>
        <w:gridCol w:w="109"/>
        <w:gridCol w:w="109"/>
        <w:gridCol w:w="216"/>
        <w:gridCol w:w="631"/>
        <w:gridCol w:w="111"/>
        <w:gridCol w:w="109"/>
        <w:gridCol w:w="109"/>
        <w:gridCol w:w="109"/>
        <w:gridCol w:w="329"/>
        <w:gridCol w:w="823"/>
        <w:gridCol w:w="253"/>
      </w:tblGrid>
      <w:tr>
        <w:trPr/>
        <w:tc>
          <w:tcPr>
            <w:tcW w:w="70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696"/>
        <w:gridCol w:w="474"/>
        <w:gridCol w:w="477"/>
        <w:gridCol w:w="215"/>
        <w:gridCol w:w="630"/>
        <w:gridCol w:w="111"/>
        <w:gridCol w:w="109"/>
        <w:gridCol w:w="109"/>
        <w:gridCol w:w="109"/>
        <w:gridCol w:w="379"/>
        <w:gridCol w:w="757"/>
        <w:gridCol w:w="196"/>
        <w:gridCol w:w="109"/>
        <w:gridCol w:w="109"/>
        <w:gridCol w:w="109"/>
        <w:gridCol w:w="215"/>
        <w:gridCol w:w="630"/>
        <w:gridCol w:w="111"/>
        <w:gridCol w:w="109"/>
        <w:gridCol w:w="109"/>
        <w:gridCol w:w="109"/>
        <w:gridCol w:w="332"/>
        <w:gridCol w:w="829"/>
        <w:gridCol w:w="172"/>
        <w:gridCol w:w="109"/>
        <w:gridCol w:w="109"/>
        <w:gridCol w:w="109"/>
        <w:gridCol w:w="215"/>
        <w:gridCol w:w="630"/>
        <w:gridCol w:w="111"/>
        <w:gridCol w:w="109"/>
        <w:gridCol w:w="109"/>
        <w:gridCol w:w="109"/>
        <w:gridCol w:w="325"/>
        <w:gridCol w:w="813"/>
        <w:gridCol w:w="252"/>
      </w:tblGrid>
      <w:tr>
        <w:trPr/>
        <w:tc>
          <w:tcPr>
            <w:tcW w:w="6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interest income from its cash, cash equivalents, and short-term investments of $34.6 million, $15.7 million and $7.5 million during the years ended December 31, 2023, 2022 and 2021,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3.Fair Value Measurements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instruments that are measured at fair value on a recurring basis using the input categories discussed in Note 1:   </w:t>
      </w:r>
    </w:p>
    <w:p>
      <w:pPr>
        <w:pStyle w:val="TextBody"/>
        <w:bidi w:val="0"/>
        <w:spacing w:before="0" w:after="0"/>
        <w:ind w:left="0" w:right="0" w:firstLine="495"/>
        <w:jc w:val="left"/>
        <w:rPr/>
      </w:pPr>
      <w:r>
        <w:rPr/>
      </w:r>
    </w:p>
    <w:tbl>
      <w:tblPr>
        <w:tblW w:w="7463" w:type="dxa"/>
        <w:jc w:val="center"/>
        <w:tblInd w:w="0" w:type="dxa"/>
        <w:tblLayout w:type="fixed"/>
        <w:tblCellMar>
          <w:top w:w="28" w:type="dxa"/>
          <w:left w:w="28" w:type="dxa"/>
          <w:bottom w:w="28" w:type="dxa"/>
          <w:right w:w="28" w:type="dxa"/>
        </w:tblCellMar>
      </w:tblPr>
      <w:tblGrid>
        <w:gridCol w:w="993"/>
        <w:gridCol w:w="875"/>
        <w:gridCol w:w="877"/>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76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613" w:type="dxa"/>
        <w:jc w:val="center"/>
        <w:tblInd w:w="0" w:type="dxa"/>
        <w:tblLayout w:type="fixed"/>
        <w:tblCellMar>
          <w:top w:w="28" w:type="dxa"/>
          <w:left w:w="28" w:type="dxa"/>
          <w:bottom w:w="28" w:type="dxa"/>
          <w:right w:w="28" w:type="dxa"/>
        </w:tblCellMar>
      </w:tblPr>
      <w:tblGrid>
        <w:gridCol w:w="994"/>
        <w:gridCol w:w="874"/>
        <w:gridCol w:w="877"/>
        <w:gridCol w:w="211"/>
        <w:gridCol w:w="616"/>
        <w:gridCol w:w="109"/>
        <w:gridCol w:w="109"/>
        <w:gridCol w:w="109"/>
        <w:gridCol w:w="109"/>
        <w:gridCol w:w="211"/>
        <w:gridCol w:w="766"/>
        <w:gridCol w:w="109"/>
        <w:gridCol w:w="109"/>
        <w:gridCol w:w="109"/>
        <w:gridCol w:w="109"/>
        <w:gridCol w:w="213"/>
        <w:gridCol w:w="411"/>
        <w:gridCol w:w="110"/>
        <w:gridCol w:w="109"/>
        <w:gridCol w:w="109"/>
        <w:gridCol w:w="109"/>
        <w:gridCol w:w="211"/>
        <w:gridCol w:w="76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transfers between levels of the fair value hierarchy during the periods presented.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held in banks, accounts receivable and accounts payable approximate fair value due to their short-term maturities and are excluded from the fair value table above.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December 31, 2023. Refer to Note 8 "Debt" for further details on the 2026 Notes and 2028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2026 Notes and the 2028 Notes, based on a market approach as of December 31, 2023 was approximately $684.8 million and $700.5 million, respectively. The Notes were categorized as Level 2 instruments as the estimated fair value was determined based on the estimated or actual bids and offers of the Notes in an over-the-counter market on the last business day of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4.Property and Equipment, Net</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p>
      <w:pPr>
        <w:pStyle w:val="TextBody"/>
        <w:bidi w:val="0"/>
        <w:spacing w:before="0" w:after="0"/>
        <w:ind w:left="0" w:right="0" w:firstLine="495"/>
        <w:jc w:val="left"/>
        <w:rPr/>
      </w:pPr>
      <w:r>
        <w:rPr/>
      </w:r>
    </w:p>
    <w:tbl>
      <w:tblPr>
        <w:tblW w:w="5934" w:type="dxa"/>
        <w:jc w:val="center"/>
        <w:tblInd w:w="0" w:type="dxa"/>
        <w:tblLayout w:type="fixed"/>
        <w:tblCellMar>
          <w:top w:w="28" w:type="dxa"/>
          <w:left w:w="28" w:type="dxa"/>
          <w:bottom w:w="28" w:type="dxa"/>
          <w:right w:w="28" w:type="dxa"/>
        </w:tblCellMar>
      </w:tblPr>
      <w:tblGrid>
        <w:gridCol w:w="1337"/>
        <w:gridCol w:w="1173"/>
        <w:gridCol w:w="1180"/>
        <w:gridCol w:w="211"/>
        <w:gridCol w:w="616"/>
        <w:gridCol w:w="109"/>
        <w:gridCol w:w="109"/>
        <w:gridCol w:w="109"/>
        <w:gridCol w:w="109"/>
        <w:gridCol w:w="211"/>
        <w:gridCol w:w="61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Datacenter and other 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The Company leases certain infrastructure, computer equipment, and furniture from various third parties, through equipment finance leases. Infrastructure assets as of December 31, 2023 and 2022 included a total of</w:t>
      </w:r>
      <w:r>
        <w:rPr>
          <w:color w:val="000000"/>
          <w:shd w:fill="FFFFFF" w:val="clear"/>
        </w:rPr>
        <w:t xml:space="preserve"> </w:t>
      </w:r>
      <w:r>
        <w:rPr>
          <w:rFonts w:ascii="Times New Roman;sans-serif" w:hAnsi="Times New Roman;sans-serif"/>
          <w:b w:val="false"/>
          <w:color w:val="000000"/>
          <w:sz w:val="20"/>
        </w:rPr>
        <w:t>$457.4</w:t>
      </w:r>
      <w:r>
        <w:rPr>
          <w:color w:val="000000"/>
          <w:shd w:fill="FFFFFF" w:val="clear"/>
        </w:rPr>
        <w:t xml:space="preserve"> </w:t>
      </w:r>
      <w:r>
        <w:rPr>
          <w:rFonts w:ascii="Times New Roman;sans-serif" w:hAnsi="Times New Roman;sans-serif"/>
          <w:b w:val="false"/>
          <w:color w:val="000000"/>
          <w:sz w:val="20"/>
          <w:shd w:fill="FFFFFF" w:val="clear"/>
        </w:rPr>
        <w:t>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$456.4</w:t>
      </w:r>
      <w:r>
        <w:rPr>
          <w:color w:val="000000"/>
        </w:rPr>
        <w:t xml:space="preserve"> </w:t>
      </w:r>
      <w:r>
        <w:rPr>
          <w:rFonts w:ascii="Times New Roman;sans-serif" w:hAnsi="Times New Roman;sans-serif"/>
          <w:b w:val="false"/>
          <w:color w:val="000000"/>
          <w:sz w:val="20"/>
        </w:rPr>
        <w:t>million, respectively,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$234.7</w:t>
      </w:r>
      <w:r>
        <w:rPr>
          <w:color w:val="000000"/>
          <w:shd w:fill="FFFFFF" w:val="clear"/>
        </w:rPr>
        <w:t xml:space="preserve"> </w:t>
      </w:r>
      <w:r>
        <w:rPr>
          <w:rFonts w:ascii="Times New Roman;sans-serif" w:hAnsi="Times New Roman;sans-serif"/>
          <w:b w:val="false"/>
          <w:color w:val="000000"/>
          <w:sz w:val="20"/>
          <w:shd w:fill="FFFFFF" w:val="clear"/>
        </w:rPr>
        <w:t>million</w:t>
      </w:r>
      <w:r>
        <w:rPr>
          <w:color w:val="000000"/>
        </w:rPr>
        <w:t xml:space="preserve"> </w:t>
      </w:r>
      <w:r>
        <w:rPr>
          <w:rFonts w:ascii="Times New Roman;sans-serif" w:hAnsi="Times New Roman;sans-serif"/>
          <w:b w:val="false"/>
          <w:color w:val="000000"/>
          <w:sz w:val="20"/>
        </w:rPr>
        <w:t>and $240.9 million as of December 31, 2023 and 2022,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Depreciation expense related to property and equipment was</w:t>
      </w:r>
      <w:r>
        <w:rPr>
          <w:color w:val="000000"/>
          <w:shd w:fill="FFFFFF" w:val="clear"/>
        </w:rPr>
        <w:t xml:space="preserve"> </w:t>
      </w:r>
      <w:r>
        <w:rPr>
          <w:rFonts w:ascii="Times New Roman;sans-serif" w:hAnsi="Times New Roman;sans-serif"/>
          <w:b w:val="false"/>
          <w:color w:val="000000"/>
          <w:sz w:val="20"/>
          <w:shd w:fill="FFFFFF" w:val="clear"/>
        </w:rPr>
        <w:t>$139.7 million and $140.9</w:t>
      </w:r>
      <w:r>
        <w:rPr>
          <w:color w:val="000000"/>
        </w:rPr>
        <w:t xml:space="preserve"> </w:t>
      </w:r>
      <w:r>
        <w:rPr>
          <w:rFonts w:ascii="Times New Roman;sans-serif" w:hAnsi="Times New Roman;sans-serif"/>
          <w:b w:val="false"/>
          <w:color w:val="000000"/>
          <w:sz w:val="20"/>
        </w:rPr>
        <w:t>million for the years ended December 31, 2023 and 2022, respectively.</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5.Business Combinations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2022 Business Combination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2022, the Company acquired 100% ownership of FormSwift, a cloud-based service that gives individuals and businesses a simple solution to create, complete, edit, and save critical business forms and agreements. The Company believes the combination of Dropbox, Dropbox Sign, DocSend, and FormSwift will help customers across industries manage end-to-end document workflows—from content collaboration to sharing and e-signature—giving them more control over their most important agreements. The results of FormSwift's operations have been included in the Company’s consolidated results of operations since the date of acquisition. </w:t>
      </w:r>
    </w:p>
    <w:p>
      <w:pPr>
        <w:pStyle w:val="TextBody"/>
        <w:bidi w:val="0"/>
        <w:spacing w:before="24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consideration transferred consisted of the following:</w:t>
      </w:r>
    </w:p>
    <w:tbl>
      <w:tblPr>
        <w:tblW w:w="6989" w:type="dxa"/>
        <w:jc w:val="left"/>
        <w:tblInd w:w="0" w:type="dxa"/>
        <w:tblLayout w:type="fixed"/>
        <w:tblCellMar>
          <w:top w:w="28" w:type="dxa"/>
          <w:left w:w="28" w:type="dxa"/>
          <w:bottom w:w="28" w:type="dxa"/>
          <w:right w:w="28" w:type="dxa"/>
        </w:tblCellMar>
      </w:tblPr>
      <w:tblGrid>
        <w:gridCol w:w="1762"/>
        <w:gridCol w:w="1548"/>
        <w:gridCol w:w="1550"/>
        <w:gridCol w:w="512"/>
        <w:gridCol w:w="1241"/>
        <w:gridCol w:w="376"/>
      </w:tblGrid>
      <w:tr>
        <w:trPr/>
        <w:tc>
          <w:tcPr>
            <w:tcW w:w="176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consideration</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to stockholders</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extinguishing shadow stock units</w:t>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paid by Dropbox on behalf of FormSwift</w:t>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purchase consideration</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Indemnification holdback </w:t>
            </w:r>
            <w:r>
              <w:rPr>
                <w:rFonts w:ascii="Times New Roman;sans-serif" w:hAnsi="Times New Roman;sans-serif"/>
                <w:b w:val="false"/>
                <w:color w:val="000000"/>
                <w:sz w:val="13"/>
              </w:rPr>
              <w:t>(1)</w:t>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adjustments</w:t>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Approximately $14.3 million of the total purchase consideration was withheld as an indemnification holdback to be used for the purpose of satisfying any indemnification claims made by the Company for a period of 18 months following the transaction close date. Any remaining indemnity will be released to the seller's representative following the 18 month period.</w:t>
      </w:r>
    </w:p>
    <w:p>
      <w:pPr>
        <w:pStyle w:val="TextBody"/>
        <w:bidi w:val="0"/>
        <w:spacing w:lineRule="auto" w:line="26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total purchase consideration above, the Company has compensation agreements with key FormSwift personnel consisting of $25.7 million in cash payments subject to ongoing employee service. The related expenses are recognized within research and development expenses over the required service period of three years. The cash payment was transferred to a paying agent escrow account immediately upon the acquisition close date. The related payments will be paid out by the escrow agent as they vest.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consideration was allocated to the tangible and intangible assets and liabilities acquired as of the acquisition date, with the excess recorded to goodwill as shown below.</w:t>
      </w:r>
    </w:p>
    <w:p>
      <w:pPr>
        <w:pStyle w:val="TextBody"/>
        <w:bidi w:val="0"/>
        <w:spacing w:before="0" w:after="0"/>
        <w:ind w:left="0" w:right="0" w:firstLine="495"/>
        <w:jc w:val="left"/>
        <w:rPr/>
      </w:pPr>
      <w:r>
        <w:rPr/>
      </w:r>
    </w:p>
    <w:tbl>
      <w:tblPr>
        <w:tblW w:w="4805" w:type="dxa"/>
        <w:jc w:val="left"/>
        <w:tblInd w:w="0" w:type="dxa"/>
        <w:tblLayout w:type="fixed"/>
        <w:tblCellMar>
          <w:top w:w="28" w:type="dxa"/>
          <w:left w:w="28" w:type="dxa"/>
          <w:bottom w:w="28" w:type="dxa"/>
          <w:right w:w="28" w:type="dxa"/>
        </w:tblCellMar>
      </w:tblPr>
      <w:tblGrid>
        <w:gridCol w:w="1423"/>
        <w:gridCol w:w="1250"/>
        <w:gridCol w:w="1256"/>
        <w:gridCol w:w="211"/>
        <w:gridCol w:w="511"/>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prepaid and other assets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and other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excluding goodwill</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Goodwill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goodwill recognized was primarily attributable to the opportunity to expand the user base of the Company's platform. A portion of the goodwill is deductible for U.S. federal income tax purposes.</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separately identifiable finite-lived intangible assets acquired and estimated weighted average useful lives as of the acquisition date are as follows: </w:t>
      </w:r>
    </w:p>
    <w:p>
      <w:pPr>
        <w:pStyle w:val="TextBody"/>
        <w:bidi w:val="0"/>
        <w:spacing w:before="0" w:after="0"/>
        <w:ind w:left="0" w:right="0" w:firstLine="495"/>
        <w:jc w:val="left"/>
        <w:rPr/>
      </w:pPr>
      <w:r>
        <w:rPr/>
      </w:r>
    </w:p>
    <w:tbl>
      <w:tblPr>
        <w:tblW w:w="9054" w:type="dxa"/>
        <w:jc w:val="left"/>
        <w:tblInd w:w="0" w:type="dxa"/>
        <w:tblLayout w:type="fixed"/>
        <w:tblCellMar>
          <w:top w:w="28" w:type="dxa"/>
          <w:left w:w="28" w:type="dxa"/>
          <w:bottom w:w="28" w:type="dxa"/>
          <w:right w:w="28" w:type="dxa"/>
        </w:tblCellMar>
      </w:tblPr>
      <w:tblGrid>
        <w:gridCol w:w="1277"/>
        <w:gridCol w:w="1120"/>
        <w:gridCol w:w="1127"/>
        <w:gridCol w:w="456"/>
        <w:gridCol w:w="1106"/>
        <w:gridCol w:w="237"/>
        <w:gridCol w:w="109"/>
        <w:gridCol w:w="109"/>
        <w:gridCol w:w="109"/>
        <w:gridCol w:w="995"/>
        <w:gridCol w:w="995"/>
        <w:gridCol w:w="1414"/>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weighted average useful lives</w:t>
              <w:br/>
              <w:t> (In years)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4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acquisition-related intangible assets were determined using the following methodologies: the multi-period excess earnings method for developed technology, the with and without method for customer relationships, and the relief from royalty method for the trade name, respectively. The valuation model inputs required the application of significant judgment by management. The acquired intangible assets had a total weighted average amortization period of 3.7 years.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One-time acquisition-related diligence costs of $1.3 million were expensed within general and administrative expenses as incurred during the year ended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2021 Business Combination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2021, the Company acquired all outstanding stock of DocSend, a secure document sharing and analytics company. The Company believes the combination of Dropbox, Dropbox Sign, and DocSend will help customers across industries manage end-to-end document workflows—from content collaboration to sharing and e-signature—giving them more control over their business results. The results of DocSend's operations have been included in the Company’s consolidated results of operations since the date of acquisition.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consideration transferred consisted of the following:</w:t>
      </w:r>
    </w:p>
    <w:tbl>
      <w:tblPr>
        <w:tblW w:w="8894" w:type="dxa"/>
        <w:jc w:val="left"/>
        <w:tblInd w:w="0" w:type="dxa"/>
        <w:tblLayout w:type="fixed"/>
        <w:tblCellMar>
          <w:top w:w="28" w:type="dxa"/>
          <w:left w:w="28" w:type="dxa"/>
          <w:bottom w:w="28" w:type="dxa"/>
          <w:right w:w="28" w:type="dxa"/>
        </w:tblCellMar>
      </w:tblPr>
      <w:tblGrid>
        <w:gridCol w:w="2452"/>
        <w:gridCol w:w="2153"/>
        <w:gridCol w:w="2160"/>
        <w:gridCol w:w="456"/>
        <w:gridCol w:w="1337"/>
        <w:gridCol w:w="336"/>
      </w:tblGrid>
      <w:tr>
        <w:trPr/>
        <w:tc>
          <w:tcPr>
            <w:tcW w:w="245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consideration</w:t>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to common and preferred stockholders and vested option holders</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paid by Dropbox on behalf of DocSend</w:t>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Fair value of assumed DocSend options attributable to pre-combination services</w:t>
            </w:r>
            <w:r>
              <w:rPr>
                <w:rFonts w:ascii="Times New Roman;sans-serif" w:hAnsi="Times New Roman;sans-serif"/>
                <w:b w:val="false"/>
                <w:color w:val="000000"/>
                <w:sz w:val="13"/>
              </w:rPr>
              <w:t>(1)</w:t>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adjustments</w:t>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6"/>
        </w:rPr>
        <w:t>The fair value of options assumed was based upon the Black-Scholes option-pricing model.</w:t>
      </w:r>
    </w:p>
    <w:p>
      <w:pPr>
        <w:pStyle w:val="TextBody"/>
        <w:bidi w:val="0"/>
        <w:spacing w:before="120" w:after="283"/>
        <w:ind w:left="0" w:right="0" w:firstLine="495"/>
        <w:jc w:val="left"/>
        <w:rPr/>
      </w:pPr>
      <w:r>
        <w:rPr/>
      </w:r>
    </w:p>
    <w:p>
      <w:pPr>
        <w:pStyle w:val="TextBody"/>
        <w:bidi w:val="0"/>
        <w:spacing w:lineRule="auto" w:line="268" w:before="0" w:after="0"/>
        <w:ind w:left="0" w:right="0" w:firstLine="495"/>
        <w:jc w:val="left"/>
        <w:rPr/>
      </w:pPr>
      <w:r>
        <w:rPr>
          <w:rFonts w:ascii="Times New Roman;sans-serif" w:hAnsi="Times New Roman;sans-serif"/>
          <w:b w:val="false"/>
          <w:color w:val="000000"/>
          <w:sz w:val="20"/>
        </w:rPr>
        <w:t>In addition to the total purchase consideration above, the Company has compensation agreements with key DocSend personnel consisting of $30.6 million in cash payments subject to ongoing employee service. The related expenses were recognized within sales and marketing and research and development expenses over the required service period of approximately three years. The payments began in the first quarter of 2022, with $10.2 million paid during the year ended December 31, 2022. The remaining balance of $20.4 million</w:t>
      </w:r>
      <w:r>
        <w:rPr>
          <w:color w:val="000000"/>
          <w:shd w:fill="FFFFFF" w:val="clear"/>
        </w:rPr>
        <w:t xml:space="preserve"> </w:t>
      </w:r>
      <w:r>
        <w:rPr>
          <w:rFonts w:ascii="Times New Roman;sans-serif" w:hAnsi="Times New Roman;sans-serif"/>
          <w:b w:val="false"/>
          <w:color w:val="000000"/>
          <w:sz w:val="20"/>
          <w:shd w:fill="FFFFFF" w:val="clear"/>
        </w:rPr>
        <w:t>was paid during the year end</w:t>
      </w:r>
      <w:r>
        <w:rPr>
          <w:rFonts w:ascii="Times New Roman;sans-serif" w:hAnsi="Times New Roman;sans-serif"/>
          <w:b w:val="false"/>
          <w:color w:val="000000"/>
          <w:sz w:val="20"/>
        </w:rPr>
        <w:t>ed December 31, 2023.</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consideration was allocated to the tangible and intangible assets and liabilities acquired as of the acquisition date, with the excess recorded to goodwill as shown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tbl>
      <w:tblPr>
        <w:tblW w:w="4910" w:type="dxa"/>
        <w:jc w:val="center"/>
        <w:tblInd w:w="0" w:type="dxa"/>
        <w:tblLayout w:type="fixed"/>
        <w:tblCellMar>
          <w:top w:w="28" w:type="dxa"/>
          <w:left w:w="28" w:type="dxa"/>
          <w:bottom w:w="28" w:type="dxa"/>
          <w:right w:w="28" w:type="dxa"/>
        </w:tblCellMar>
      </w:tblPr>
      <w:tblGrid>
        <w:gridCol w:w="1423"/>
        <w:gridCol w:w="1250"/>
        <w:gridCol w:w="1256"/>
        <w:gridCol w:w="211"/>
        <w:gridCol w:w="61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prepaid and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and other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excluding goodwill</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Goodwill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goodwill recognized was primarily attributable to the opportunity to expand the user base of the Company's platform. The goodwill is not deductible for U.S. federal income tax purposes.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separately identifiable finite-lived intangible assets acquired and estimated weighted average useful lives are as follows: </w:t>
      </w:r>
    </w:p>
    <w:tbl>
      <w:tblPr>
        <w:tblW w:w="9054" w:type="dxa"/>
        <w:jc w:val="center"/>
        <w:tblInd w:w="0" w:type="dxa"/>
        <w:tblLayout w:type="fixed"/>
        <w:tblCellMar>
          <w:top w:w="28" w:type="dxa"/>
          <w:left w:w="28" w:type="dxa"/>
          <w:bottom w:w="28" w:type="dxa"/>
          <w:right w:w="28" w:type="dxa"/>
        </w:tblCellMar>
      </w:tblPr>
      <w:tblGrid>
        <w:gridCol w:w="1277"/>
        <w:gridCol w:w="1120"/>
        <w:gridCol w:w="1127"/>
        <w:gridCol w:w="456"/>
        <w:gridCol w:w="1106"/>
        <w:gridCol w:w="237"/>
        <w:gridCol w:w="109"/>
        <w:gridCol w:w="109"/>
        <w:gridCol w:w="109"/>
        <w:gridCol w:w="995"/>
        <w:gridCol w:w="995"/>
        <w:gridCol w:w="1414"/>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weighted average useful lives</w:t>
              <w:br/>
              <w:t> (In years)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4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acquisition-related intangible assets were determined using the following methodologies: the multi-period excess earnings method for customer relationships, and the relief from royalty method for developed technology, and the trade name, respectively. The valuation model inputs required the application of significant judgment by management. The acquired intangible assets have a total weighted average amortization period of 5.0 years.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One-time acquisition-related diligence costs of $1.2 million were expensed within general and administrative expenses as incurred during the year ended December 31, 2021.</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6.Intangible Assets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w:t>
      </w:r>
    </w:p>
    <w:tbl>
      <w:tblPr>
        <w:tblW w:w="9458" w:type="dxa"/>
        <w:jc w:val="center"/>
        <w:tblInd w:w="0" w:type="dxa"/>
        <w:tblLayout w:type="fixed"/>
        <w:tblCellMar>
          <w:top w:w="28" w:type="dxa"/>
          <w:left w:w="28" w:type="dxa"/>
          <w:bottom w:w="28" w:type="dxa"/>
          <w:right w:w="28" w:type="dxa"/>
        </w:tblCellMar>
      </w:tblPr>
      <w:tblGrid>
        <w:gridCol w:w="1283"/>
        <w:gridCol w:w="1125"/>
        <w:gridCol w:w="1132"/>
        <w:gridCol w:w="438"/>
        <w:gridCol w:w="1059"/>
        <w:gridCol w:w="228"/>
        <w:gridCol w:w="109"/>
        <w:gridCol w:w="109"/>
        <w:gridCol w:w="109"/>
        <w:gridCol w:w="449"/>
        <w:gridCol w:w="1087"/>
        <w:gridCol w:w="234"/>
        <w:gridCol w:w="109"/>
        <w:gridCol w:w="109"/>
        <w:gridCol w:w="109"/>
        <w:gridCol w:w="517"/>
        <w:gridCol w:w="517"/>
        <w:gridCol w:w="735"/>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useful life</w:t>
              <w:br/>
              <w:t>(In years)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Assembled workforce in asset acquisitions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intangibles</w:t>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$30.4 million, $16.3 million and $15.6 million for the years ended December 31, 2023, 2022 and 2021,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Expected future amortization expense for intangible assets as of December 31, 2023 is as follows:</w:t>
      </w:r>
    </w:p>
    <w:p>
      <w:pPr>
        <w:pStyle w:val="TextBody"/>
        <w:bidi w:val="0"/>
        <w:spacing w:before="0" w:after="0"/>
        <w:ind w:left="0" w:right="0" w:firstLine="495"/>
        <w:jc w:val="left"/>
        <w:rPr/>
      </w:pPr>
      <w:r>
        <w:rPr/>
      </w:r>
    </w:p>
    <w:tbl>
      <w:tblPr>
        <w:tblW w:w="2490" w:type="dxa"/>
        <w:jc w:val="center"/>
        <w:tblInd w:w="0" w:type="dxa"/>
        <w:tblLayout w:type="fixed"/>
        <w:tblCellMar>
          <w:top w:w="28" w:type="dxa"/>
          <w:left w:w="28" w:type="dxa"/>
          <w:bottom w:w="28" w:type="dxa"/>
          <w:right w:w="28" w:type="dxa"/>
        </w:tblCellMar>
      </w:tblPr>
      <w:tblGrid>
        <w:gridCol w:w="342"/>
        <w:gridCol w:w="300"/>
        <w:gridCol w:w="304"/>
        <w:gridCol w:w="370"/>
        <w:gridCol w:w="900"/>
        <w:gridCol w:w="27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 assets</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7.Goodwill</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in a business combination over the fair value of net tangible and intangible assets acquired. The changes in the carrying amounts of goodwill were as follows:</w:t>
      </w:r>
    </w:p>
    <w:p>
      <w:pPr>
        <w:pStyle w:val="TextBody"/>
        <w:bidi w:val="0"/>
        <w:spacing w:before="0" w:after="0"/>
        <w:ind w:left="0" w:right="0" w:firstLine="495"/>
        <w:jc w:val="left"/>
        <w:rPr/>
      </w:pPr>
      <w:r>
        <w:rPr/>
      </w:r>
    </w:p>
    <w:tbl>
      <w:tblPr>
        <w:tblW w:w="5136" w:type="dxa"/>
        <w:jc w:val="center"/>
        <w:tblInd w:w="0" w:type="dxa"/>
        <w:tblLayout w:type="fixed"/>
        <w:tblCellMar>
          <w:top w:w="28" w:type="dxa"/>
          <w:left w:w="28" w:type="dxa"/>
          <w:bottom w:w="28" w:type="dxa"/>
          <w:right w:w="28" w:type="dxa"/>
        </w:tblCellMar>
      </w:tblPr>
      <w:tblGrid>
        <w:gridCol w:w="1506"/>
        <w:gridCol w:w="1323"/>
        <w:gridCol w:w="1326"/>
        <w:gridCol w:w="211"/>
        <w:gridCol w:w="61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FormSwift acquisition purchase price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translation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amounts are not amortized, but tested for impairment on an annual basis. There was no impairment of goodwill as of December 31, 2023, 2022 and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6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8.Debt</w:t>
      </w:r>
    </w:p>
    <w:p>
      <w:pPr>
        <w:pStyle w:val="TextBody"/>
        <w:bidi w:val="0"/>
        <w:spacing w:before="0" w:after="0"/>
        <w:ind w:left="0" w:right="0" w:firstLine="360"/>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the letter of credit sublimit from $187.5 million to $65.0 million and extended the term of the agreement through February 2026. The Company may from time-to-time request increases in its borrowing capacity under the revolving credit facility of up to $250.0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 In March 2023, the Company amended the revolving credit facility to update its borrowing benchmark from LIBOR to SOFR, with a fixed credit spread adjustment of 0.10%. In conjunction with the March 2023 amendment, the Company incurred upfront issuance fees of $0.1 million, which are being amortized over the remaining term of the agreement.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credit spread adjusted SOFR plus a spread of 1.375% or at an alternative base rate plus a spread of 0.375%.</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w:t>
      </w:r>
      <w:r>
        <w:rPr>
          <w:color w:val="000000"/>
          <w:shd w:fill="FFFFFF" w:val="clear"/>
        </w:rPr>
        <w:t xml:space="preserve"> </w:t>
      </w:r>
      <w:r>
        <w:rPr>
          <w:rFonts w:ascii="Times New Roman;sans-serif" w:hAnsi="Times New Roman;sans-serif"/>
          <w:b w:val="false"/>
          <w:color w:val="000000"/>
          <w:sz w:val="20"/>
          <w:shd w:fill="FFFFFF" w:val="clear"/>
        </w:rPr>
        <w:t xml:space="preserve">The Company was in compliance with the covenants of the revolving credit facility as of December 31, 2023 and 2022,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an aggregate of $31.7 million of letters of credit outstanding under the revolving credit facility as of December 31, 2023, and the Company’s total available borrowing capacity under the revolving credit facility was $468.3 million as of December 31, 2023. The Company’s letters of credit have final expiration dates through 2036.</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December 31, 2023. The 2026 Notes will mature on March 1, 2026, and the 2028 Notes will mature on March 1, 2028, in each case, unless earlier converted, redeemed or repurchased.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December 31, 2023.</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December 31, 2023. In addition, during the year ended December 31, 2023 the conditions allowing holders of the Notes to convert during the following fiscal quarter were not met.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Notes as of December 31, 2023 and 2022.</w:t>
      </w:r>
    </w:p>
    <w:p>
      <w:pPr>
        <w:pStyle w:val="TextBody"/>
        <w:bidi w:val="0"/>
        <w:spacing w:before="0" w:after="0"/>
        <w:ind w:left="0" w:right="0" w:firstLine="495"/>
        <w:jc w:val="left"/>
        <w:rPr/>
      </w:pPr>
      <w:r>
        <w:rPr/>
      </w:r>
    </w:p>
    <w:tbl>
      <w:tblPr>
        <w:tblW w:w="6208" w:type="dxa"/>
        <w:jc w:val="left"/>
        <w:tblInd w:w="0" w:type="dxa"/>
        <w:tblLayout w:type="fixed"/>
        <w:tblCellMar>
          <w:top w:w="28" w:type="dxa"/>
          <w:left w:w="28" w:type="dxa"/>
          <w:bottom w:w="28" w:type="dxa"/>
          <w:right w:w="28" w:type="dxa"/>
        </w:tblCellMar>
      </w:tblPr>
      <w:tblGrid>
        <w:gridCol w:w="852"/>
        <w:gridCol w:w="750"/>
        <w:gridCol w:w="753"/>
        <w:gridCol w:w="233"/>
        <w:gridCol w:w="681"/>
        <w:gridCol w:w="120"/>
        <w:gridCol w:w="109"/>
        <w:gridCol w:w="109"/>
        <w:gridCol w:w="109"/>
        <w:gridCol w:w="233"/>
        <w:gridCol w:w="681"/>
        <w:gridCol w:w="120"/>
        <w:gridCol w:w="109"/>
        <w:gridCol w:w="109"/>
        <w:gridCol w:w="109"/>
        <w:gridCol w:w="211"/>
        <w:gridCol w:w="76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net</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the Company recognized $2.2 million and $2.1 million in interest expense for the 2026 Notes and $1.6 million and $1.6 million in interest expense for the 2028 Notes, respectively, with such interest expense solely consisting of amortization of issuance costs. The effective interest rate for the 2026 Notes and the 2028 Notes was 0.32% and 0.22%, respectively, as of December 31, 2023.</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on the Company's long-term convertible debt are as follows:</w:t>
      </w:r>
    </w:p>
    <w:p>
      <w:pPr>
        <w:pStyle w:val="TextBody"/>
        <w:bidi w:val="0"/>
        <w:spacing w:before="0" w:after="0"/>
        <w:ind w:left="0" w:right="0" w:firstLine="495"/>
        <w:jc w:val="left"/>
        <w:rPr/>
      </w:pPr>
      <w:r>
        <w:rPr/>
      </w:r>
    </w:p>
    <w:tbl>
      <w:tblPr>
        <w:tblW w:w="2535" w:type="dxa"/>
        <w:jc w:val="left"/>
        <w:tblInd w:w="0" w:type="dxa"/>
        <w:tblLayout w:type="fixed"/>
        <w:tblCellMar>
          <w:top w:w="28" w:type="dxa"/>
          <w:left w:w="28" w:type="dxa"/>
          <w:bottom w:w="28" w:type="dxa"/>
          <w:right w:w="28" w:type="dxa"/>
        </w:tblCellMar>
      </w:tblPr>
      <w:tblGrid>
        <w:gridCol w:w="342"/>
        <w:gridCol w:w="300"/>
        <w:gridCol w:w="304"/>
        <w:gridCol w:w="295"/>
        <w:gridCol w:w="1076"/>
        <w:gridCol w:w="218"/>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Debt</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Convertible Note Hedges and Warrants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December 31, 2023, the Company’s stock price was below the exercise price of the respective Note Hedges.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December 31, 2023, the Company’s Class A common stock price was below the exercise price of the Warrants.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equity and the premium received for the Warrants has been included as a net increase to additional paid-in capital within stockholders' (deficit) equity.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9.Leases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corporate offices and datacenters, and finance leases for infrastructure and office equipment. The Company’s leases have remaining lease terms of under 1 year to 13 years, some of which include options to extend the leases for up to 5 years.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subleases for several floors of its former corporate offices. The Company classifies its subleases as operating leases. The subleases have remaining lease terms of 1 year to 10 years, some of which include options to extend the sublease for up to approximately 4 years. Sublease income, which is recorded as a reduction of rental expense, was $15.3 million and $20.1 million during the years ended December 31, 2023 and 2022, respectively.</w:t>
      </w:r>
    </w:p>
    <w:p>
      <w:pPr>
        <w:pStyle w:val="TextBody"/>
        <w:bidi w:val="0"/>
        <w:spacing w:before="0" w:after="0"/>
        <w:ind w:left="0" w:right="0" w:firstLine="450"/>
        <w:jc w:val="left"/>
        <w:rPr/>
      </w:pPr>
      <w:r>
        <w:rPr/>
      </w:r>
    </w:p>
    <w:p>
      <w:pPr>
        <w:pStyle w:val="TextBody"/>
        <w:bidi w:val="0"/>
        <w:spacing w:lineRule="auto" w:line="417"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were as follows:</w:t>
      </w:r>
    </w:p>
    <w:tbl>
      <w:tblPr>
        <w:tblW w:w="6068" w:type="dxa"/>
        <w:jc w:val="left"/>
        <w:tblInd w:w="0" w:type="dxa"/>
        <w:tblLayout w:type="fixed"/>
        <w:tblCellMar>
          <w:top w:w="28" w:type="dxa"/>
          <w:left w:w="28" w:type="dxa"/>
          <w:bottom w:w="28" w:type="dxa"/>
          <w:right w:w="28" w:type="dxa"/>
        </w:tblCellMar>
      </w:tblPr>
      <w:tblGrid>
        <w:gridCol w:w="1384"/>
        <w:gridCol w:w="1216"/>
        <w:gridCol w:w="1224"/>
        <w:gridCol w:w="211"/>
        <w:gridCol w:w="616"/>
        <w:gridCol w:w="109"/>
        <w:gridCol w:w="109"/>
        <w:gridCol w:w="109"/>
        <w:gridCol w:w="109"/>
        <w:gridCol w:w="211"/>
        <w:gridCol w:w="61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Operating lease cost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assets under finance lease</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Is presented gross of sublease income and includes short-term leases, which are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leases was as follows:</w:t>
      </w:r>
    </w:p>
    <w:tbl>
      <w:tblPr>
        <w:tblW w:w="8184" w:type="dxa"/>
        <w:jc w:val="center"/>
        <w:tblInd w:w="0" w:type="dxa"/>
        <w:tblLayout w:type="fixed"/>
        <w:tblCellMar>
          <w:top w:w="28" w:type="dxa"/>
          <w:left w:w="28" w:type="dxa"/>
          <w:bottom w:w="28" w:type="dxa"/>
          <w:right w:w="28" w:type="dxa"/>
        </w:tblCellMar>
      </w:tblPr>
      <w:tblGrid>
        <w:gridCol w:w="2151"/>
        <w:gridCol w:w="1890"/>
        <w:gridCol w:w="1899"/>
        <w:gridCol w:w="211"/>
        <w:gridCol w:w="616"/>
        <w:gridCol w:w="109"/>
        <w:gridCol w:w="109"/>
        <w:gridCol w:w="109"/>
        <w:gridCol w:w="109"/>
        <w:gridCol w:w="211"/>
        <w:gridCol w:w="616"/>
        <w:gridCol w:w="154"/>
      </w:tblGrid>
      <w:tr>
        <w:trPr/>
        <w:tc>
          <w:tcPr>
            <w:tcW w:w="2151"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operating leases included in cash from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finance leases included in cash from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finance leases included in cash from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obtained in exchange for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Finance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tbl>
      <w:tblPr>
        <w:tblW w:w="6581" w:type="dxa"/>
        <w:jc w:val="center"/>
        <w:tblInd w:w="0" w:type="dxa"/>
        <w:tblLayout w:type="fixed"/>
        <w:tblCellMar>
          <w:top w:w="28" w:type="dxa"/>
          <w:left w:w="28" w:type="dxa"/>
          <w:bottom w:w="28" w:type="dxa"/>
          <w:right w:w="28" w:type="dxa"/>
        </w:tblCellMar>
      </w:tblPr>
      <w:tblGrid>
        <w:gridCol w:w="1658"/>
        <w:gridCol w:w="1454"/>
        <w:gridCol w:w="1462"/>
        <w:gridCol w:w="226"/>
        <w:gridCol w:w="180"/>
        <w:gridCol w:w="355"/>
        <w:gridCol w:w="142"/>
        <w:gridCol w:w="142"/>
        <w:gridCol w:w="142"/>
        <w:gridCol w:w="226"/>
        <w:gridCol w:w="180"/>
        <w:gridCol w:w="414"/>
      </w:tblGrid>
      <w:tr>
        <w:trPr/>
        <w:tc>
          <w:tcPr>
            <w:tcW w:w="165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Remaining Lease Term (in years)</w:t>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Operating leases </w:t>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Finance leases </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 Average Discount Rate </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Operating leases </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Finance leases </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December 31, 2023 were as follows:</w:t>
      </w:r>
    </w:p>
    <w:p>
      <w:pPr>
        <w:pStyle w:val="TextBody"/>
        <w:bidi w:val="0"/>
        <w:spacing w:before="0" w:after="0"/>
        <w:ind w:left="0" w:right="0" w:firstLine="450"/>
        <w:jc w:val="left"/>
        <w:rPr/>
      </w:pPr>
      <w:r>
        <w:rPr/>
      </w:r>
    </w:p>
    <w:tbl>
      <w:tblPr>
        <w:tblW w:w="6550" w:type="dxa"/>
        <w:jc w:val="center"/>
        <w:tblInd w:w="0" w:type="dxa"/>
        <w:tblLayout w:type="fixed"/>
        <w:tblCellMar>
          <w:top w:w="28" w:type="dxa"/>
          <w:left w:w="28" w:type="dxa"/>
          <w:bottom w:w="28" w:type="dxa"/>
          <w:right w:w="28" w:type="dxa"/>
        </w:tblCellMar>
      </w:tblPr>
      <w:tblGrid>
        <w:gridCol w:w="1150"/>
        <w:gridCol w:w="1008"/>
        <w:gridCol w:w="1022"/>
        <w:gridCol w:w="378"/>
        <w:gridCol w:w="1105"/>
        <w:gridCol w:w="196"/>
        <w:gridCol w:w="109"/>
        <w:gridCol w:w="109"/>
        <w:gridCol w:w="109"/>
        <w:gridCol w:w="293"/>
        <w:gridCol w:w="857"/>
        <w:gridCol w:w="214"/>
      </w:tblGrid>
      <w:tr>
        <w:trPr/>
        <w:tc>
          <w:tcPr>
            <w:tcW w:w="115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Operating leases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tenant improvement receivables</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liability</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 </w:t>
      </w:r>
    </w:p>
    <w:p>
      <w:pPr>
        <w:pStyle w:val="TextBody"/>
        <w:bidi w:val="0"/>
        <w:spacing w:before="0" w:after="0"/>
        <w:ind w:left="0" w:right="0" w:firstLine="36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non-cancelable rent payments from the Company's subtenants as of December 31, 2023 were as follows:</w:t>
      </w:r>
    </w:p>
    <w:p>
      <w:pPr>
        <w:pStyle w:val="TextBody"/>
        <w:bidi w:val="0"/>
        <w:spacing w:before="0" w:after="0"/>
        <w:ind w:left="0" w:right="0" w:firstLine="450"/>
        <w:jc w:val="left"/>
        <w:rPr/>
      </w:pPr>
      <w:r>
        <w:rPr/>
      </w:r>
    </w:p>
    <w:tbl>
      <w:tblPr>
        <w:tblW w:w="4904" w:type="dxa"/>
        <w:jc w:val="left"/>
        <w:tblInd w:w="0" w:type="dxa"/>
        <w:tblLayout w:type="fixed"/>
        <w:tblCellMar>
          <w:top w:w="28" w:type="dxa"/>
          <w:left w:w="28" w:type="dxa"/>
          <w:bottom w:w="28" w:type="dxa"/>
          <w:right w:w="28" w:type="dxa"/>
        </w:tblCellMar>
      </w:tblPr>
      <w:tblGrid>
        <w:gridCol w:w="1209"/>
        <w:gridCol w:w="1061"/>
        <w:gridCol w:w="1075"/>
        <w:gridCol w:w="374"/>
        <w:gridCol w:w="909"/>
        <w:gridCol w:w="276"/>
      </w:tblGrid>
      <w:tr>
        <w:trPr/>
        <w:tc>
          <w:tcPr>
            <w:tcW w:w="12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sublease rent payments, net</w:t>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2017, the Company signed a 15 year lease agreement for office space in San Francisco, California, to serve as its corporate headquarters which commenced in 2018. The Company's obligations under the lease are supported by a $17.5 million letter of credit, which reduced the Company's borrowing capacity under the revolving credit facility. As of December 31, 2023, the Company's remaining minimum obligation under the lease for its headquarters was $196.2 million, which excludes $228.3 million of future payments allocated to non-lease components.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2020, the Company announced a Virtual First work model pursuant to which remote work has become the primary experience for all of its employees. As part of the Virtual First strategy, the Company retained a portion of its office space to be used for the Company’s team collaboration use and a portion was marketed for sublease. In connection with these changes, the Company evaluated certain of its right-of-use assets and other lease related assets including leasehold improvements, furniture and fixtures, and computer equipment for impairment under ASC 360.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total impairment charges of $3.6 million, $175.2 million and $31.3 million during the years ended December 31, 2023, 2022 and 2021, respectively, for right-of-use and other lease related assets.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fourth quarter of 2023, the Company executed an amendment to the lease ("the lease amendment") for its San Francisco, California corporate headquarters, whereby the Company will surrender to the landlord approximately 165,000 square feet of office space and pay an aggregate of $79.0 million in termination payments. The surrendering of space and payment of termination fees will occur in three tranches: approximately 52,000 square feet and $28.1 million paid in October 2023 upon the execution of the lease amendment, 54,000 square feet and $14.9 million paid in June 2024, and the remaining 59,000 feet and $36.0 million paid in January 2025.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lease amendment, the Company remeasured its related lease liability and right-of-use asset using its estimated incremental borrowing rate as of the modification date and using a relative standalone price reallocation of total contract consideration between the lease and non-lease components of the contract. The non-lease components include common area maintenance costs, which are significant in relation to the overall agreement. The determination of the standalone price of the lease and non-lease components involved judgment and was based on assumptions including future market rent rates, free rent periods and anticipated increases to common area maintenance costs.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lease amendment, the Company recognized a one-time gain of $158.8 million in the fourth quarter of 2023 from the corresponding remeasurement of the lease liability and adjustment of the right-of-use asset (which was previously impaired), partially offset by an increase in the liability for unrecoverable common area maintenance costs. The gain is recorded within net (gain) loss on real estate assets in the consolidated statement of operations. Following the execution of the lease amendment, the Company's remaining lease liability associated with its corporate headquarters lease was $149.8 million as of the year ended December 31, 2023. The liability for unrecoverable common area maintenance costs totaled $70.2 million and $70.0 million as of December 31, 2023 and 2022, respectively. The liability increased $18.9 million in the fourth quarter of 2023 as a result of the lease amendment, offset by payments in the same period. The liability for unrecoverable common area maintenance costs is recorded within accrued and other current liabilities and other liabilities.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has $14.0 million in commitments for an operating lease that has not yet commenced, and therefore is not included in the right-of-use asset or operating lease liability. This operating lease commenced in January 2024 with a lease term of 4.5 years.</w:t>
      </w:r>
    </w:p>
    <w:p>
      <w:pPr>
        <w:pStyle w:val="TextBody"/>
        <w:bidi w:val="0"/>
        <w:spacing w:before="0" w:after="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ans-serif" w:hAnsi="Times New Roman;sans-serif"/>
          <w:b/>
          <w:color w:val="000000"/>
          <w:sz w:val="20"/>
        </w:rPr>
        <w:t>Note 10.</w:t>
      </w:r>
      <w:r>
        <w:rPr>
          <w:color w:val="000000"/>
        </w:rPr>
        <w:t xml:space="preserve"> </w:t>
      </w:r>
      <w:r>
        <w:rPr>
          <w:rFonts w:ascii="Times New Roman;sans-serif" w:hAnsi="Times New Roman;sans-serif"/>
          <w:b/>
          <w:color w:val="000000"/>
          <w:sz w:val="20"/>
        </w:rPr>
        <w:t>Commitments and Contingencies</w:t>
      </w:r>
    </w:p>
    <w:p>
      <w:pPr>
        <w:pStyle w:val="TextBody"/>
        <w:bidi w:val="0"/>
        <w:spacing w:before="0" w:after="0"/>
        <w:ind w:left="0" w:right="0" w:hanging="36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Other commitments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commitments include payments to third-party vendors for services related to the Company's infrastructure, infrastructure warranty contracts, and asset retirement obligations for office modifications.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minimum payments under the Company's non-cancelable leases, finance lease obligations, and other commitments as of December 31, 2023, are as follows, and exclude non-cancelable rent payments from the Company's subtenants: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27"/>
        <w:gridCol w:w="1428"/>
        <w:gridCol w:w="1434"/>
        <w:gridCol w:w="280"/>
        <w:gridCol w:w="820"/>
        <w:gridCol w:w="146"/>
        <w:gridCol w:w="109"/>
        <w:gridCol w:w="109"/>
        <w:gridCol w:w="109"/>
        <w:gridCol w:w="539"/>
        <w:gridCol w:w="1573"/>
        <w:gridCol w:w="279"/>
        <w:gridCol w:w="109"/>
        <w:gridCol w:w="109"/>
        <w:gridCol w:w="109"/>
        <w:gridCol w:w="305"/>
        <w:gridCol w:w="893"/>
        <w:gridCol w:w="227"/>
      </w:tblGrid>
      <w:tr>
        <w:trPr/>
        <w:tc>
          <w:tcPr>
            <w:tcW w:w="162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w:t>
              <w:br/>
              <w:t>lease</w:t>
              <w:br/>
              <w:t>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Operating lease commitments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Other</w:t>
            </w:r>
          </w:p>
          <w:p>
            <w:pPr>
              <w:pStyle w:val="TableContents"/>
              <w:bidi w:val="0"/>
              <w:spacing w:lineRule="auto" w:line="240" w:before="0" w:after="0"/>
              <w:jc w:val="center"/>
              <w:rPr/>
            </w:pPr>
            <w:r>
              <w:rPr>
                <w:rFonts w:ascii="Times New Roman;sans-serif" w:hAnsi="Times New Roman;sans-serif"/>
                <w:b/>
                <w:color w:val="000000"/>
                <w:sz w:val="20"/>
              </w:rPr>
              <w:t>commitments</w:t>
            </w:r>
            <w:r>
              <w:rPr>
                <w:rFonts w:ascii="Times New Roman;sans-serif" w:hAnsi="Times New Roman;sans-serif"/>
                <w:b/>
                <w:color w:val="000000"/>
                <w:sz w:val="13"/>
              </w:rPr>
              <w:t>(2)</w:t>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payments</w:t>
            </w:r>
          </w:p>
        </w:tc>
        <w:tc>
          <w:tcPr>
            <w:tcW w:w="11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and taxes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the present value of minimum lease payments</w:t>
            </w:r>
          </w:p>
        </w:tc>
        <w:tc>
          <w:tcPr>
            <w:tcW w:w="11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lease obligations, net of current portion</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14"/>
        </w:rPr>
        <w:t>(1)</w:t>
      </w:r>
      <w:r>
        <w:rPr>
          <w:rFonts w:ascii="Times New Roman;sans-serif" w:hAnsi="Times New Roman;sans-serif"/>
          <w:b w:val="false"/>
          <w:color w:val="000000"/>
          <w:sz w:val="14"/>
        </w:rPr>
        <w:t>This balance includes short-term lease obligations and $228.3</w:t>
      </w:r>
      <w:r>
        <w:rPr>
          <w:color w:val="000000"/>
        </w:rPr>
        <w:t xml:space="preserve"> </w:t>
      </w:r>
      <w:r>
        <w:rPr>
          <w:rFonts w:ascii="Times New Roman;sans-serif" w:hAnsi="Times New Roman;sans-serif"/>
          <w:b w:val="false"/>
          <w:color w:val="000000"/>
          <w:sz w:val="14"/>
        </w:rPr>
        <w:t>million of future contractual rent payments allocated to non-lease components.</w:t>
      </w:r>
    </w:p>
    <w:p>
      <w:pPr>
        <w:pStyle w:val="TextBody"/>
        <w:bidi w:val="0"/>
        <w:spacing w:lineRule="auto" w:line="288" w:before="0" w:after="0"/>
        <w:ind w:left="0" w:right="0" w:firstLine="360"/>
        <w:jc w:val="left"/>
        <w:rPr/>
      </w:pPr>
      <w:r>
        <w:rPr>
          <w:rFonts w:ascii="Times New Roman;sans-serif" w:hAnsi="Times New Roman;sans-serif"/>
          <w:b w:val="false"/>
          <w:color w:val="000000"/>
          <w:sz w:val="14"/>
        </w:rPr>
        <w:t>(2)</w:t>
      </w:r>
      <w:r>
        <w:rPr>
          <w:rFonts w:ascii="Times New Roman;sans-serif" w:hAnsi="Times New Roman;sans-serif"/>
          <w:b w:val="false"/>
          <w:color w:val="000000"/>
          <w:sz w:val="14"/>
        </w:rPr>
        <w:t>This balance excludes indemnification and founder holdbacks related to our acquisitions. See Note 5, "Business Combinations" for further details.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240" w:after="283"/>
        <w:ind w:left="0" w:right="0" w:hanging="720"/>
        <w:jc w:val="left"/>
        <w:rPr/>
      </w:pPr>
      <w:r>
        <w:rPr>
          <w:rFonts w:ascii="Times New Roman;sans-serif" w:hAnsi="Times New Roman;sans-serif"/>
          <w:b/>
          <w:color w:val="000000"/>
          <w:sz w:val="20"/>
        </w:rPr>
        <w:t>Note 11.</w:t>
      </w:r>
      <w:r>
        <w:rPr>
          <w:color w:val="000000"/>
        </w:rPr>
        <w:t xml:space="preserve"> </w:t>
      </w:r>
      <w:r>
        <w:rPr>
          <w:rFonts w:ascii="Times New Roman;sans-serif" w:hAnsi="Times New Roman;sans-serif"/>
          <w:b/>
          <w:color w:val="000000"/>
          <w:sz w:val="20"/>
        </w:rPr>
        <w:t xml:space="preserve">Accrued and Other Current Liabilities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 consisted of the following:</w:t>
      </w:r>
    </w:p>
    <w:tbl>
      <w:tblPr>
        <w:tblW w:w="5724" w:type="dxa"/>
        <w:jc w:val="center"/>
        <w:tblInd w:w="0" w:type="dxa"/>
        <w:tblLayout w:type="fixed"/>
        <w:tblCellMar>
          <w:top w:w="28" w:type="dxa"/>
          <w:left w:w="28" w:type="dxa"/>
          <w:bottom w:w="28" w:type="dxa"/>
          <w:right w:w="28" w:type="dxa"/>
        </w:tblCellMar>
      </w:tblPr>
      <w:tblGrid>
        <w:gridCol w:w="1261"/>
        <w:gridCol w:w="1107"/>
        <w:gridCol w:w="1112"/>
        <w:gridCol w:w="211"/>
        <w:gridCol w:w="616"/>
        <w:gridCol w:w="109"/>
        <w:gridCol w:w="109"/>
        <w:gridCol w:w="109"/>
        <w:gridCol w:w="109"/>
        <w:gridCol w:w="211"/>
        <w:gridCol w:w="616"/>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and other external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indemnification holdbacks</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accrued and current liabilities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Acquisition indemnification holdbacks were reclassified from other non-current liabilities as of December 31, 2022 to accrued and other current liabilities as of December 31, 2023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12.Stockholders’ (Deficit) Equity</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As of December 31, 2023, the Company had authorized 2,400.0 million shares of Class A common stock, 475.0 million shares of Class B common stock, and 800.0 million shares of Class C common stock, each at par value of $0.00001. Holders of Class B common stock voluntarily converted 1.5 million and 0.6 million shares into an equivalent number of shares of Class A common stock during the years ended December 31, 2023 and 2022, respectively. As of December 31, 2023, 256.0 million shares of Class A common stock, 80.7 million shares of Class B common stock, and no shares of Class C common stock were issued and outstanding. As of December 31, 2022, 267.2 million shares of Class A common stock, 82.2 million shares of Class B common stock, and no shares of Class C common stock were issued and outstanding. Class A shares issued and outstanding as of December 31, 2023 and 2022 exclude unvested restricted stock awards granted to certain executives. Class A shares issued and outstanding also exclude 8.3 million unvested restricted stock awards granted to one of the Company's co-founders as of December 31, 2023 and 2022, resp</w:t>
      </w:r>
      <w:r>
        <w:rPr>
          <w:rFonts w:ascii="Times New Roman;sans-serif" w:hAnsi="Times New Roman;sans-serif"/>
          <w:b w:val="false"/>
          <w:color w:val="000000"/>
          <w:sz w:val="20"/>
          <w:shd w:fill="FFFFFF" w:val="clear"/>
        </w:rPr>
        <w:t xml:space="preserve">ectively. See "Co-Founder Grant" section below for further details.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will have the authority, without further action by the Company's stockholders, to issue up to 240.0 million shares of undesignated preferred stock with rights and preferences, including voting rights, designated from time-to-time by the Board of Directors.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In February 2022, the Board of Directors authorized the Company to repurchase up to $1.2 billion of the Company's outstanding shares of Class A common stock. </w:t>
      </w:r>
      <w:r>
        <w:rPr>
          <w:rFonts w:ascii="Times New Roman;sans-serif" w:hAnsi="Times New Roman;sans-serif"/>
          <w:b w:val="false"/>
          <w:color w:val="000000"/>
          <w:sz w:val="20"/>
        </w:rPr>
        <w:t>In July 2023 the Board of Directors further authorized the repurchase of up to an additional $1.2 billion of the outstanding shares of our Class A common stock.</w:t>
      </w:r>
      <w:r>
        <w:rPr>
          <w:color w:val="008080"/>
        </w:rPr>
        <w:t xml:space="preserve"> </w:t>
      </w:r>
      <w:r>
        <w:rPr>
          <w:rFonts w:ascii="Times New Roman;sans-serif" w:hAnsi="Times New Roman;sans-serif"/>
          <w:b w:val="false"/>
          <w:color w:val="000000"/>
          <w:sz w:val="20"/>
        </w:rPr>
        <w:t>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During the year ended December 31, 2023, the Company repurchased and subsequently retired 22.7 million shares of its Class A common stock for an aggregate amount of $542.8 million</w:t>
      </w:r>
      <w:r>
        <w:rPr>
          <w:rFonts w:ascii="Times New Roman;sans-serif" w:hAnsi="Times New Roman;sans-serif"/>
          <w:b w:val="false"/>
          <w:color w:val="000000"/>
          <w:sz w:val="20"/>
          <w:shd w:fill="FFFFFF" w:val="clear"/>
        </w:rPr>
        <w:t xml:space="preserve">. Included in the cost of treasury stock acquired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common share repurchases is the 1% excise tax imposed as part of the Inflation Reduction Act. </w:t>
      </w:r>
      <w:r>
        <w:rPr>
          <w:rFonts w:ascii="Times New Roman;sans-serif" w:hAnsi="Times New Roman;sans-serif"/>
          <w:b w:val="false"/>
          <w:color w:val="000000"/>
          <w:sz w:val="20"/>
        </w:rPr>
        <w:t>During the year ended December 31, 2022, the Company repurchased and subsequently retired 35.6 million shares of its Class A common stock, for an aggregate amount of $795.4 million</w:t>
      </w:r>
      <w:r>
        <w:rPr>
          <w:rFonts w:ascii="Times New Roman;sans-serif" w:hAnsi="Times New Roman;sans-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before="0" w:after="0"/>
        <w:ind w:left="0" w:right="0" w:firstLine="720"/>
        <w:jc w:val="left"/>
        <w:rPr/>
      </w:pPr>
      <w:r>
        <w:rPr/>
      </w:r>
    </w:p>
    <w:p>
      <w:pPr>
        <w:pStyle w:val="TextBody"/>
        <w:bidi w:val="0"/>
        <w:spacing w:lineRule="auto" w:line="288" w:before="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acquisition of DocSend, the Company assumed unvested stock options and an immaterial number of unvested RSUs that had been granted under DocSend's 2013 Stock Plan and DocSend's 2015 Stock Option and Grant Plan.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shd w:fill="FFFFFF" w:val="clear"/>
        </w:rPr>
        <w:t xml:space="preserve">As of December 31, 2023, there were </w:t>
      </w:r>
      <w:r>
        <w:rPr>
          <w:rFonts w:ascii="Times New Roman;sans-serif" w:hAnsi="Times New Roman;sans-serif"/>
          <w:b w:val="false"/>
          <w:color w:val="000000"/>
          <w:sz w:val="20"/>
        </w:rPr>
        <w:t>30.6</w:t>
      </w:r>
      <w:r>
        <w:rPr>
          <w:color w:val="000000"/>
          <w:shd w:fill="FFFFFF" w:val="clear"/>
        </w:rPr>
        <w:t xml:space="preserve"> </w:t>
      </w:r>
      <w:r>
        <w:rPr>
          <w:rFonts w:ascii="Times New Roman;sans-serif" w:hAnsi="Times New Roman;sans-serif"/>
          <w:b w:val="false"/>
          <w:color w:val="000000"/>
          <w:sz w:val="20"/>
          <w:shd w:fill="FFFFFF" w:val="clear"/>
        </w:rPr>
        <w:t xml:space="preserve">million stock-based awards issued and outstanding and </w:t>
      </w:r>
      <w:r>
        <w:rPr>
          <w:rFonts w:ascii="Times New Roman;sans-serif" w:hAnsi="Times New Roman;sans-serif"/>
          <w:b w:val="false"/>
          <w:color w:val="000000"/>
          <w:sz w:val="20"/>
        </w:rPr>
        <w:t>110.0</w:t>
      </w:r>
      <w:r>
        <w:rPr>
          <w:color w:val="000000"/>
          <w:shd w:fill="FFFFFF" w:val="clear"/>
        </w:rPr>
        <w:t xml:space="preserve"> </w:t>
      </w:r>
      <w:r>
        <w:rPr>
          <w:rFonts w:ascii="Times New Roman;sans-serif" w:hAnsi="Times New Roman;sans-serif"/>
          <w:b w:val="false"/>
          <w:color w:val="000000"/>
          <w:sz w:val="20"/>
          <w:shd w:fill="FFFFFF" w:val="clear"/>
        </w:rPr>
        <w:t>million shares available for issuance under the Dropbox Equity Incentive Plans, Dropbox Sign's 2011 Equity Incentive Plan, DocSend's 2013 Stock Plan and DocSend's 2015 Stock Option and Grant Plan (collectively, the "Plans").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and restricted stock activity for the Plans was as follows for the years ended December 31, 2023 and 2022: </w:t>
      </w:r>
    </w:p>
    <w:p>
      <w:pPr>
        <w:pStyle w:val="TextBody"/>
        <w:bidi w:val="0"/>
        <w:spacing w:before="0" w:after="0"/>
        <w:ind w:left="0" w:right="0" w:firstLine="495"/>
        <w:jc w:val="left"/>
        <w:rPr/>
      </w:pPr>
      <w:r>
        <w:rPr/>
      </w:r>
    </w:p>
    <w:tbl>
      <w:tblPr>
        <w:tblW w:w="10415" w:type="dxa"/>
        <w:jc w:val="center"/>
        <w:tblInd w:w="0" w:type="dxa"/>
        <w:tblLayout w:type="fixed"/>
        <w:tblCellMar>
          <w:top w:w="28" w:type="dxa"/>
          <w:left w:w="28" w:type="dxa"/>
          <w:bottom w:w="28" w:type="dxa"/>
          <w:right w:w="28" w:type="dxa"/>
        </w:tblCellMar>
      </w:tblPr>
      <w:tblGrid>
        <w:gridCol w:w="637"/>
        <w:gridCol w:w="296"/>
        <w:gridCol w:w="298"/>
        <w:gridCol w:w="375"/>
        <w:gridCol w:w="375"/>
        <w:gridCol w:w="376"/>
        <w:gridCol w:w="109"/>
        <w:gridCol w:w="109"/>
        <w:gridCol w:w="109"/>
        <w:gridCol w:w="360"/>
        <w:gridCol w:w="360"/>
        <w:gridCol w:w="361"/>
        <w:gridCol w:w="109"/>
        <w:gridCol w:w="109"/>
        <w:gridCol w:w="109"/>
        <w:gridCol w:w="216"/>
        <w:gridCol w:w="632"/>
        <w:gridCol w:w="113"/>
        <w:gridCol w:w="109"/>
        <w:gridCol w:w="109"/>
        <w:gridCol w:w="109"/>
        <w:gridCol w:w="340"/>
        <w:gridCol w:w="340"/>
        <w:gridCol w:w="341"/>
        <w:gridCol w:w="109"/>
        <w:gridCol w:w="109"/>
        <w:gridCol w:w="109"/>
        <w:gridCol w:w="240"/>
        <w:gridCol w:w="581"/>
        <w:gridCol w:w="125"/>
        <w:gridCol w:w="109"/>
        <w:gridCol w:w="109"/>
        <w:gridCol w:w="109"/>
        <w:gridCol w:w="360"/>
        <w:gridCol w:w="360"/>
        <w:gridCol w:w="361"/>
        <w:gridCol w:w="109"/>
        <w:gridCol w:w="109"/>
        <w:gridCol w:w="109"/>
        <w:gridCol w:w="216"/>
        <w:gridCol w:w="631"/>
        <w:gridCol w:w="159"/>
      </w:tblGrid>
      <w:tr>
        <w:trPr/>
        <w:tc>
          <w:tcPr>
            <w:tcW w:w="6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w:t>
              <w:br/>
              <w:t>outstanding</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available for</w:t>
              <w:br/>
              <w:t>issuance</w:t>
              <w:br/>
              <w:t>under the</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exercise</w:t>
              <w:br/>
              <w:t>price</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remaining</w:t>
              <w:br/>
              <w:t>contractual</w:t>
              <w:br/>
              <w:t>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grant date</w:t>
              <w:br/>
              <w:t>fair value</w:t>
              <w:br/>
              <w:t>per share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2021</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shares authorized</w:t>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 and restricted stock units and awards released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restricted stock units and awards canceled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related to net share settlement of restricted stock units and awards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restricted stock units and awards 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shares authorized</w:t>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 and restricted stock units and awards released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restricted stock units and awards canceled / expired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related to net share settlement of restricted stock units and awards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restricted stock units and awards 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at December 31, 2023</w:t>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the pre-tax intrinsic value of options exercised during the years ended December 31, 2023 and 2022:</w:t>
      </w:r>
    </w:p>
    <w:p>
      <w:pPr>
        <w:pStyle w:val="TextBody"/>
        <w:bidi w:val="0"/>
        <w:spacing w:before="0" w:after="0"/>
        <w:ind w:left="0" w:right="0" w:firstLine="495"/>
        <w:jc w:val="left"/>
        <w:rPr/>
      </w:pPr>
      <w:r>
        <w:rPr/>
      </w:r>
    </w:p>
    <w:tbl>
      <w:tblPr>
        <w:tblW w:w="5543" w:type="dxa"/>
        <w:jc w:val="left"/>
        <w:tblInd w:w="0" w:type="dxa"/>
        <w:tblLayout w:type="fixed"/>
        <w:tblCellMar>
          <w:top w:w="28" w:type="dxa"/>
          <w:left w:w="28" w:type="dxa"/>
          <w:bottom w:w="28" w:type="dxa"/>
          <w:right w:w="28" w:type="dxa"/>
        </w:tblCellMar>
      </w:tblPr>
      <w:tblGrid>
        <w:gridCol w:w="1076"/>
        <w:gridCol w:w="945"/>
        <w:gridCol w:w="948"/>
        <w:gridCol w:w="109"/>
        <w:gridCol w:w="109"/>
        <w:gridCol w:w="144"/>
        <w:gridCol w:w="144"/>
        <w:gridCol w:w="280"/>
        <w:gridCol w:w="541"/>
        <w:gridCol w:w="149"/>
        <w:gridCol w:w="109"/>
        <w:gridCol w:w="109"/>
        <w:gridCol w:w="109"/>
        <w:gridCol w:w="211"/>
        <w:gridCol w:w="40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shd w:fill="FFFFFF" w:val="clear"/>
        </w:rPr>
        <w:t xml:space="preserve">As of December 31, 2023, unamortized stock-based compensation related to unvested stock options, restricted stock awards (excluding the Co-Founder Grant), and RSUs was </w:t>
      </w:r>
      <w:r>
        <w:rPr>
          <w:rFonts w:ascii="Times New Roman;sans-serif" w:hAnsi="Times New Roman;sans-serif"/>
          <w:b w:val="false"/>
          <w:color w:val="000000"/>
          <w:sz w:val="20"/>
        </w:rPr>
        <w:t>$684.6</w:t>
      </w:r>
      <w:r>
        <w:rPr>
          <w:color w:val="000000"/>
          <w:shd w:fill="FFFFFF" w:val="clear"/>
        </w:rPr>
        <w:t xml:space="preserve"> </w:t>
      </w:r>
      <w:r>
        <w:rPr>
          <w:rFonts w:ascii="Times New Roman;sans-serif" w:hAnsi="Times New Roman;sans-serif"/>
          <w:b w:val="false"/>
          <w:color w:val="000000"/>
          <w:sz w:val="20"/>
          <w:shd w:fill="FFFFFF" w:val="clear"/>
        </w:rPr>
        <w:t>millio</w:t>
      </w:r>
      <w:r>
        <w:rPr>
          <w:rFonts w:ascii="Times New Roman;sans-serif" w:hAnsi="Times New Roman;sans-serif"/>
          <w:b w:val="false"/>
          <w:color w:val="000000"/>
          <w:sz w:val="20"/>
        </w:rPr>
        <w:t>n. The weighted-average period over which such compensation expense will be recognized if the requisite service is provided is approximately 2.6 years as of December 31, 2023.</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Co-Founder Grant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first tranche of the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related to the Co-Founder Grant of $9.4 million and $11.7 million during the years ended December 31, 2023 and 2022, respectively. As of December 31, 2023, unamortized stock-based compensation expense related to the Co-Founder Grant was $2.4 million.</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Note 13.</w:t>
      </w:r>
      <w:r>
        <w:rPr>
          <w:color w:val="000000"/>
        </w:rPr>
        <w:t xml:space="preserve"> </w:t>
      </w:r>
      <w:r>
        <w:rPr>
          <w:rFonts w:ascii="Times New Roman;sans-serif" w:hAnsi="Times New Roman;sans-serif"/>
          <w:b/>
          <w:color w:val="000000"/>
          <w:sz w:val="20"/>
        </w:rPr>
        <w:t>Net Income Per Share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is computed by dividing net income attributable to common stockholders by the weighted-average number of shares of the Class A and Class B common stock outstanding.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is computed by dividing net income attributable to common stockholders by the weighted-average number of diluted common shares outstanding. The computation of the diluted net income per share of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numerators and denominators of the basic and diluted EPS computations for the Company's common stock are calculated as follows (in millions, except for per share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1543"/>
        <w:gridCol w:w="731"/>
        <w:gridCol w:w="73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511"/>
        <w:gridCol w:w="156"/>
      </w:tblGrid>
      <w:tr>
        <w:trPr/>
        <w:tc>
          <w:tcPr>
            <w:tcW w:w="154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r>
      <w:tr>
        <w:trPr/>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Numerator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as a result of 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to Class B common stock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w:t>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effect of dilutive restricted stock units and awards and employee stock options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diluted net income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impact of potentially dilutive securities that were not included in the diluted per share calculations because they would be anti-dilutive was as follows:</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tbl>
      <w:tblPr>
        <w:tblW w:w="7062" w:type="dxa"/>
        <w:jc w:val="center"/>
        <w:tblInd w:w="0" w:type="dxa"/>
        <w:tblLayout w:type="fixed"/>
        <w:tblCellMar>
          <w:top w:w="28" w:type="dxa"/>
          <w:left w:w="28" w:type="dxa"/>
          <w:bottom w:w="28" w:type="dxa"/>
          <w:right w:w="28" w:type="dxa"/>
        </w:tblCellMar>
      </w:tblPr>
      <w:tblGrid>
        <w:gridCol w:w="1345"/>
        <w:gridCol w:w="1184"/>
        <w:gridCol w:w="1191"/>
        <w:gridCol w:w="109"/>
        <w:gridCol w:w="109"/>
        <w:gridCol w:w="114"/>
        <w:gridCol w:w="114"/>
        <w:gridCol w:w="255"/>
        <w:gridCol w:w="256"/>
        <w:gridCol w:w="176"/>
        <w:gridCol w:w="114"/>
        <w:gridCol w:w="114"/>
        <w:gridCol w:w="114"/>
        <w:gridCol w:w="307"/>
        <w:gridCol w:w="309"/>
        <w:gridCol w:w="176"/>
        <w:gridCol w:w="109"/>
        <w:gridCol w:w="109"/>
        <w:gridCol w:w="109"/>
        <w:gridCol w:w="255"/>
        <w:gridCol w:w="256"/>
        <w:gridCol w:w="237"/>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075" w:type="dxa"/>
            <w:gridSpan w:val="6"/>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shares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Grant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Note 14.</w:t>
      </w:r>
      <w:r>
        <w:rPr>
          <w:color w:val="000000"/>
        </w:rPr>
        <w:t xml:space="preserve"> </w:t>
      </w:r>
      <w:r>
        <w:rPr>
          <w:rFonts w:ascii="Times New Roman;sans-serif" w:hAnsi="Times New Roman;sans-serif"/>
          <w:b/>
          <w:color w:val="000000"/>
          <w:sz w:val="20"/>
        </w:rPr>
        <w:t>Income Taxes</w: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2023, 2022, and 2021, the Company’s income from continuing operations before provision for income taxes was as follows:</w:t>
      </w:r>
    </w:p>
    <w:p>
      <w:pPr>
        <w:pStyle w:val="TextBody"/>
        <w:bidi w:val="0"/>
        <w:spacing w:before="0" w:after="0"/>
        <w:jc w:val="left"/>
        <w:rPr/>
      </w:pPr>
      <w:r>
        <w:rPr/>
      </w:r>
    </w:p>
    <w:tbl>
      <w:tblPr>
        <w:tblW w:w="5892" w:type="dxa"/>
        <w:jc w:val="center"/>
        <w:tblInd w:w="0" w:type="dxa"/>
        <w:tblLayout w:type="fixed"/>
        <w:tblCellMar>
          <w:top w:w="28" w:type="dxa"/>
          <w:left w:w="28" w:type="dxa"/>
          <w:bottom w:w="28" w:type="dxa"/>
          <w:right w:w="28" w:type="dxa"/>
        </w:tblCellMar>
      </w:tblPr>
      <w:tblGrid>
        <w:gridCol w:w="864"/>
        <w:gridCol w:w="759"/>
        <w:gridCol w:w="762"/>
        <w:gridCol w:w="211"/>
        <w:gridCol w:w="616"/>
        <w:gridCol w:w="109"/>
        <w:gridCol w:w="109"/>
        <w:gridCol w:w="109"/>
        <w:gridCol w:w="109"/>
        <w:gridCol w:w="211"/>
        <w:gridCol w:w="616"/>
        <w:gridCol w:w="109"/>
        <w:gridCol w:w="109"/>
        <w:gridCol w:w="109"/>
        <w:gridCol w:w="109"/>
        <w:gridCol w:w="211"/>
        <w:gridCol w:w="61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(provision for) benefit from income taxes in the years ended December 31, 2023, 2022, and 2021, were as follows:</w:t>
      </w:r>
    </w:p>
    <w:p>
      <w:pPr>
        <w:pStyle w:val="TextBody"/>
        <w:bidi w:val="0"/>
        <w:spacing w:before="0" w:after="0"/>
        <w:jc w:val="left"/>
        <w:rPr/>
      </w:pPr>
      <w:r>
        <w:rPr/>
      </w:r>
    </w:p>
    <w:tbl>
      <w:tblPr>
        <w:tblW w:w="6911" w:type="dxa"/>
        <w:jc w:val="center"/>
        <w:tblInd w:w="0" w:type="dxa"/>
        <w:tblLayout w:type="fixed"/>
        <w:tblCellMar>
          <w:top w:w="28" w:type="dxa"/>
          <w:left w:w="28" w:type="dxa"/>
          <w:bottom w:w="28" w:type="dxa"/>
          <w:right w:w="28" w:type="dxa"/>
        </w:tblCellMar>
      </w:tblPr>
      <w:tblGrid>
        <w:gridCol w:w="1283"/>
        <w:gridCol w:w="1065"/>
        <w:gridCol w:w="1086"/>
        <w:gridCol w:w="211"/>
        <w:gridCol w:w="691"/>
        <w:gridCol w:w="109"/>
        <w:gridCol w:w="109"/>
        <w:gridCol w:w="109"/>
        <w:gridCol w:w="109"/>
        <w:gridCol w:w="211"/>
        <w:gridCol w:w="616"/>
        <w:gridCol w:w="109"/>
        <w:gridCol w:w="109"/>
        <w:gridCol w:w="109"/>
        <w:gridCol w:w="109"/>
        <w:gridCol w:w="211"/>
        <w:gridCol w:w="511"/>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taxes at the statutory federal income tax rate to the benefit from (provision for) income taxes included in the accompanying consolidated statements of operations is as follows:</w:t>
      </w:r>
    </w:p>
    <w:p>
      <w:pPr>
        <w:pStyle w:val="TextBody"/>
        <w:bidi w:val="0"/>
        <w:spacing w:before="0" w:after="0"/>
        <w:jc w:val="left"/>
        <w:rPr/>
      </w:pPr>
      <w:r>
        <w:rPr/>
      </w:r>
    </w:p>
    <w:tbl>
      <w:tblPr>
        <w:tblW w:w="7737" w:type="dxa"/>
        <w:jc w:val="center"/>
        <w:tblInd w:w="0" w:type="dxa"/>
        <w:tblLayout w:type="fixed"/>
        <w:tblCellMar>
          <w:top w:w="28" w:type="dxa"/>
          <w:left w:w="28" w:type="dxa"/>
          <w:bottom w:w="28" w:type="dxa"/>
          <w:right w:w="28" w:type="dxa"/>
        </w:tblCellMar>
      </w:tblPr>
      <w:tblGrid>
        <w:gridCol w:w="1514"/>
        <w:gridCol w:w="1333"/>
        <w:gridCol w:w="1338"/>
        <w:gridCol w:w="211"/>
        <w:gridCol w:w="691"/>
        <w:gridCol w:w="109"/>
        <w:gridCol w:w="109"/>
        <w:gridCol w:w="109"/>
        <w:gridCol w:w="109"/>
        <w:gridCol w:w="211"/>
        <w:gridCol w:w="616"/>
        <w:gridCol w:w="109"/>
        <w:gridCol w:w="109"/>
        <w:gridCol w:w="109"/>
        <w:gridCol w:w="109"/>
        <w:gridCol w:w="211"/>
        <w:gridCol w:w="586"/>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at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other credits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non-deductible items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significant components of the Company’s deferred tax assets and liabilities as of December 31, 2023 and 2022 were as follows: </w:t>
      </w:r>
    </w:p>
    <w:p>
      <w:pPr>
        <w:pStyle w:val="TextBody"/>
        <w:bidi w:val="0"/>
        <w:spacing w:before="0" w:after="0"/>
        <w:jc w:val="left"/>
        <w:rPr/>
      </w:pPr>
      <w:r>
        <w:rPr/>
      </w:r>
    </w:p>
    <w:tbl>
      <w:tblPr>
        <w:tblW w:w="6563" w:type="dxa"/>
        <w:jc w:val="center"/>
        <w:tblInd w:w="0" w:type="dxa"/>
        <w:tblLayout w:type="fixed"/>
        <w:tblCellMar>
          <w:top w:w="28" w:type="dxa"/>
          <w:left w:w="28" w:type="dxa"/>
          <w:bottom w:w="28" w:type="dxa"/>
          <w:right w:w="28" w:type="dxa"/>
        </w:tblCellMar>
      </w:tblPr>
      <w:tblGrid>
        <w:gridCol w:w="1567"/>
        <w:gridCol w:w="1374"/>
        <w:gridCol w:w="1378"/>
        <w:gridCol w:w="211"/>
        <w:gridCol w:w="616"/>
        <w:gridCol w:w="109"/>
        <w:gridCol w:w="109"/>
        <w:gridCol w:w="109"/>
        <w:gridCol w:w="109"/>
        <w:gridCol w:w="211"/>
        <w:gridCol w:w="61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credit carryforwards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and reserves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expenditures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 net of valuation allowance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and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liability</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December 31, 2023, the Company continues to maintain valuation allowances against its deferred tax assets in certain states and one foreign jurisdiction.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$10.7 million of federal, $41.1 million of state, and $25.0 million of foreign net operating loss carryforwards available to reduce future taxable income. Of the federal net operating loss carryforwards, $5.7 million will begin to expire in 2032 and $5.0 million will carryforward indefinitely, while state net operating losses begin to expire in 2038. The foreign net operating loss carryforwards will carryforward indefinitely.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had research credit carryforwards of $203.0 million and $171.0 million for federal and state income tax purposes, respectively, of which $89.3 million and $44.8 million is the unrecognized tax benefit portion related to the research credit carryforwards for federal and state, respectively. The federal and state credit carryforwards will begin to expire in 2039 and 2032, respectively.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$0.5 million of foreign tax credit carryforwards, which will carryforward indefinitely. The Company also had $3.1 million of state enterprise zone credit carryforwards, which will begin to expire in 2024.</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balance of unrecognized tax benefits was $149.8 million of which $106.0 million, if recognized, would affect the effective tax rate and $43.8 million would result in adjustment to deferred tax assets with corresponding adjustments to the valuation allowance.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 is as follows:</w:t>
      </w:r>
    </w:p>
    <w:p>
      <w:pPr>
        <w:pStyle w:val="TextBody"/>
        <w:bidi w:val="0"/>
        <w:spacing w:before="0" w:after="0"/>
        <w:jc w:val="left"/>
        <w:rPr/>
      </w:pPr>
      <w:r>
        <w:rPr/>
      </w:r>
    </w:p>
    <w:tbl>
      <w:tblPr>
        <w:tblW w:w="9866" w:type="dxa"/>
        <w:jc w:val="center"/>
        <w:tblInd w:w="0" w:type="dxa"/>
        <w:tblLayout w:type="fixed"/>
        <w:tblCellMar>
          <w:top w:w="28" w:type="dxa"/>
          <w:left w:w="28" w:type="dxa"/>
          <w:bottom w:w="28" w:type="dxa"/>
          <w:right w:w="28" w:type="dxa"/>
        </w:tblCellMar>
      </w:tblPr>
      <w:tblGrid>
        <w:gridCol w:w="2304"/>
        <w:gridCol w:w="2025"/>
        <w:gridCol w:w="2030"/>
        <w:gridCol w:w="211"/>
        <w:gridCol w:w="616"/>
        <w:gridCol w:w="109"/>
        <w:gridCol w:w="109"/>
        <w:gridCol w:w="109"/>
        <w:gridCol w:w="109"/>
        <w:gridCol w:w="211"/>
        <w:gridCol w:w="616"/>
        <w:gridCol w:w="109"/>
        <w:gridCol w:w="109"/>
        <w:gridCol w:w="109"/>
        <w:gridCol w:w="109"/>
        <w:gridCol w:w="211"/>
        <w:gridCol w:w="616"/>
        <w:gridCol w:w="154"/>
      </w:tblGrid>
      <w:tr>
        <w:trPr/>
        <w:tc>
          <w:tcPr>
            <w:tcW w:w="230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of gross unrecognized tax benefits at the beginning of the fiscal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related to prior period tax positions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 related to prior period tax positions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related to current period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lapse in statute of limitations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settlements with taxing authorities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of gross unrecognized tax benefits at the end of the fiscal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interest and/or penalties related to income tax matters as a component of income tax expense. As of December 31, 2023, the amount of accrued interest and penalties related to uncertain tax positions was $6.7 million. Interest and penalties recognized for the years ended December 31, 2023, 2022, and 2021 was $1.3 million, $1.7 million, and $0.4 million, respectively.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federal, multiple states, and foreign jurisdictions. All of the Company’s tax years from 2009 remain open for examination by the federal and state authorities, and from 2015 by foreign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generally does not provide deferred income taxes for the undistributed earnings of its foreign subsidiaries that the Company intends to reinvest indefinitely. Should circumstances change and it becomes apparent that some or all of the undistributed earnings will no longer be indefinitely reinvested, the Company will accrue for income taxes not previously recognized. As of December 31, 2023, there was no deferred tax liability on undistributed earnings, and the Company determined the amount of undistributed deferred tax liability to be immaterial.</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(“OECD”) and many countries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intend to adopt these proposals. In December 2022, the Council of the European Union (“EU”) formally adopted the EU Minimum Tax Directive, which would require member states to adopt Pillar Two into their domestic law. The directive requires the rules to initially become effective for fiscal years starting on or after December 31, 2023. Ireland and certain jurisdictions in which we operate have enacted legislation to implement Pillar Two. Other countries are actively considering changes to their tax laws to adopt certain parts of the OECD’s proposals. The enactment of Pillar Two legislation is not expected to have a material adverse effect on the Company's effective tax rate, financial position, results of operations, and cash flows. The Company will continue to monitor and reflect the impact of such legislative changes in future financial statements as appropriate.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Note 15.</w:t>
      </w:r>
      <w:r>
        <w:rPr>
          <w:color w:val="000000"/>
        </w:rPr>
        <w:t xml:space="preserve"> </w:t>
      </w:r>
      <w:r>
        <w:rPr>
          <w:rFonts w:ascii="Times New Roman;sans-serif" w:hAnsi="Times New Roman;sans-serif"/>
          <w:b/>
          <w:color w:val="000000"/>
          <w:sz w:val="20"/>
        </w:rPr>
        <w:t>Geographic Areas</w: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long-lived assets by geographic area:</w:t>
      </w:r>
    </w:p>
    <w:p>
      <w:pPr>
        <w:pStyle w:val="TextBody"/>
        <w:bidi w:val="0"/>
        <w:spacing w:before="0" w:after="0"/>
        <w:ind w:left="0" w:right="0" w:firstLine="495"/>
        <w:jc w:val="left"/>
        <w:rPr/>
      </w:pPr>
      <w:r>
        <w:rPr/>
      </w:r>
    </w:p>
    <w:tbl>
      <w:tblPr>
        <w:tblW w:w="5139" w:type="dxa"/>
        <w:jc w:val="center"/>
        <w:tblInd w:w="0" w:type="dxa"/>
        <w:tblLayout w:type="fixed"/>
        <w:tblCellMar>
          <w:top w:w="28" w:type="dxa"/>
          <w:left w:w="28" w:type="dxa"/>
          <w:bottom w:w="28" w:type="dxa"/>
          <w:right w:w="28" w:type="dxa"/>
        </w:tblCellMar>
      </w:tblPr>
      <w:tblGrid>
        <w:gridCol w:w="1051"/>
        <w:gridCol w:w="919"/>
        <w:gridCol w:w="925"/>
        <w:gridCol w:w="211"/>
        <w:gridCol w:w="616"/>
        <w:gridCol w:w="109"/>
        <w:gridCol w:w="109"/>
        <w:gridCol w:w="109"/>
        <w:gridCol w:w="109"/>
        <w:gridCol w:w="211"/>
        <w:gridCol w:w="616"/>
        <w:gridCol w:w="154"/>
      </w:tblGrid>
      <w:tr>
        <w:trPr/>
        <w:tc>
          <w:tcPr>
            <w:tcW w:w="105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 xml:space="preserve">No single country other than the United States had a property and equipment balance greater than 10% of total property and equipment, net, as of December 31, 2023 and 2022. </w:t>
      </w:r>
    </w:p>
    <w:p>
      <w:pPr>
        <w:pStyle w:val="TextBody"/>
        <w:bidi w:val="0"/>
        <w:spacing w:before="120" w:after="283"/>
        <w:jc w:val="left"/>
        <w:rPr/>
      </w:pPr>
      <w:r>
        <w:rPr/>
      </w:r>
    </w:p>
    <w:p>
      <w:pPr>
        <w:pStyle w:val="TextBody"/>
        <w:bidi w:val="0"/>
        <w:spacing w:lineRule="auto" w:line="288" w:before="12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geography is generally based on the address of the customer as defined in the Company’s subscription agreement. The following table sets forth revenue by geographic area for the years ended December 31, 2023, 2022 and 2021. </w:t>
      </w:r>
    </w:p>
    <w:p>
      <w:pPr>
        <w:pStyle w:val="TextBody"/>
        <w:bidi w:val="0"/>
        <w:spacing w:before="0" w:after="0"/>
        <w:ind w:left="0" w:right="0" w:firstLine="495"/>
        <w:jc w:val="left"/>
        <w:rPr/>
      </w:pPr>
      <w:r>
        <w:rPr/>
      </w:r>
    </w:p>
    <w:tbl>
      <w:tblPr>
        <w:tblW w:w="5773" w:type="dxa"/>
        <w:jc w:val="center"/>
        <w:tblInd w:w="0" w:type="dxa"/>
        <w:tblLayout w:type="fixed"/>
        <w:tblCellMar>
          <w:top w:w="28" w:type="dxa"/>
          <w:left w:w="28" w:type="dxa"/>
          <w:bottom w:w="28" w:type="dxa"/>
          <w:right w:w="28" w:type="dxa"/>
        </w:tblCellMar>
      </w:tblPr>
      <w:tblGrid>
        <w:gridCol w:w="501"/>
        <w:gridCol w:w="438"/>
        <w:gridCol w:w="441"/>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w:t>
              <w:br/>
              <w:t>December 31,</w:t>
            </w:r>
          </w:p>
        </w:tc>
        <w:tc>
          <w:tcPr>
            <w:tcW w:w="1458" w:type="dxa"/>
            <w:gridSpan w:val="6"/>
            <w:tcBorders/>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6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No single country outside of the United States accounted for more than 10% of total revenue during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9A.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under the supervision of our Chief Financial Officer, conducted an evaluation of the effectiveness of our internal control over financial reporting based on the framework in Internal Control—Integrated Framework (2013), issued by the Committee of Sponsoring Organizations of the Treadway Commission. Based on this evaluation, management concluded that our internal control over financial reporting was effective as of December 31, 2023.</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2023 has been audited by Ernst &amp; Young LLP, an independent registered public accounting firm, as stated in their report, which is included in Item 8 of this Annual Report on Form 10-K.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that occurred during the quarter ended December 31, 2023 that has materially affected, or is reasonably likely to materially affect, our internal control over financial reporting.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Disclosure Controls and Procedures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9B. OTHER INFORMATION</w:t>
      </w:r>
    </w:p>
    <w:p>
      <w:pPr>
        <w:pStyle w:val="TextBody"/>
        <w:bidi w:val="0"/>
        <w:spacing w:lineRule="auto" w:line="26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our last fiscal quarter, the following officers, as defined in Rule 16a-1(f), adopted a “Rule 10b5-1 trading arrangement” as defined in Regulation S-K Item 408, as follows: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5, 2023, Andrew Houston, our Chief Executive Officer, adopted a Rule 10b5-1 trading arrangement in his individual capacity and as trustee on behalf of Andrew Houston Revocable Trust u/a/d 9/7/2011, providing for the sale from time to time of an aggregate of up to (i) 8,266,666 shares of our Class A common stock, all of which is subject to restricted stock awards that were granted to Mr. Houston pursuant to the Co-Founder Grant, and vest upon the satisfaction of a service condition and achievement of certain stock price goals, and (ii) 3,100,000 shares of our Class B common stock. The trading arrangement is intended to satisfy the affirmative defense in Rule 10b5-1(c). The duration of the trading arrangement is until February 28, 2025, or earlier if all transactions under the trading arrangement are completed.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 other officers or directors, as defined in Rule 16a-1(f), adopted and/or terminated a “Rule 10b5-1 trading arrangement” or a “non-Rule 10b5-1 trading arrangement,” as defined in Regulation S-K Item 408, during the last fiscal quarter.</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9C. DISCLOSURE REGARDING FOREIGN JURISDICTIONS THAT PREVENT INSPECTIONS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10. DIRECTORS, EXECUTIVE OFFICERS AND CORPORATE GOVERNANCE</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Proxy Statement relating to our 2024 Meeting of Stockholders. The Proxy Statement will be filed with the Securities and Exchange Commission within 120 days of the end of the fiscal year ended December 31, 2023. </w:t>
      </w:r>
    </w:p>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11. EXECUTIVE COMPENSATION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Proxy Statement relating to our 2024 Meeting of Stockholders. The Proxy Statement will be filed with the Securities and Exchange Commission within 120 days of the end of the fiscal year ended December 31, 2023.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12. SECURITY OWNERSHIP OF CERTAIN BENEFICIAL OWNERS AND MANAGEMENT AND RELATED STOCKHOLDER MATTERS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Proxy Statement relating to our 2024 Meeting of Stockholders. The Proxy Statement will be filed with the Securities and Exchange Commission within 120 days of the end of the fiscal year ended December 31, 2023. </w:t>
      </w:r>
    </w:p>
    <w:p>
      <w:pPr>
        <w:pStyle w:val="TextBody"/>
        <w:bidi w:val="0"/>
        <w:spacing w:before="24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ITEM 13. CERTAIN RELATIONSHIPS AND RELATED PARTY TRANSACTIONS, AND DIRECTOR INDEPENDENCE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our Proxy Statement relating to our 2024 Meeting of Stockholders. The Proxy Statement will be filed with the Securities and Exchange Commission within 120 days of the end of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14. PRINCIPAL ACCOUNTING FEES AND SERVICES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required by this item is incorporated by reference to our Proxy Statement relating to our 2024 Meeting of Stockholders. The Proxy Statement will be filed with the Securities and Exchange Commission within 120 days of the end of the fiscal year ended December 31, 2023. </w:t>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TextBody"/>
        <w:bidi w:val="0"/>
        <w:spacing w:before="24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4"/>
        </w:rPr>
      </w:pPr>
      <w:r>
        <w:rPr>
          <w:rFonts w:ascii="Times New Roman;sans-serif" w:hAnsi="Times New Roman;sans-serif"/>
          <w:b/>
          <w:color w:val="000000"/>
          <w:sz w:val="24"/>
        </w:rPr>
        <w:t>ITEM 15. EXHIBITS AND FINANCIAL STATEMENT SCHEDULES.</w:t>
      </w:r>
    </w:p>
    <w:p>
      <w:pPr>
        <w:pStyle w:val="TextBody"/>
        <w:bidi w:val="0"/>
        <w:spacing w:lineRule="auto" w:line="288" w:before="36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documents are filed as a part of this Annual Report on Form 10-K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(a)Financial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listed in the “Index to Consolidated Financial Statements” under Part II, Item 8 of this Annual Report on Form 10-K.</w:t>
      </w:r>
    </w:p>
    <w:p>
      <w:pPr>
        <w:pStyle w:val="TextBody"/>
        <w:bidi w:val="0"/>
        <w:spacing w:before="120" w:after="283"/>
        <w:ind w:left="0" w:right="0" w:firstLine="495"/>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(b)Financial statement schedules.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financial statement schedules not listed above have been omitted because the information called for is not required or is shown either in the consolidated financial statements or in the notes thereto.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(c)Exhibits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listed in the Exhibit Index of this Annual Report on Form 10-K are incorporated by reference or are filed with this Annual Report on Form 10-K, in each case as indicated therein (numbered in accordance with Item 601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667"/>
        <w:gridCol w:w="1567"/>
        <w:gridCol w:w="1584"/>
        <w:gridCol w:w="109"/>
        <w:gridCol w:w="109"/>
        <w:gridCol w:w="109"/>
        <w:gridCol w:w="173"/>
        <w:gridCol w:w="173"/>
        <w:gridCol w:w="174"/>
        <w:gridCol w:w="109"/>
        <w:gridCol w:w="109"/>
        <w:gridCol w:w="109"/>
        <w:gridCol w:w="264"/>
        <w:gridCol w:w="264"/>
        <w:gridCol w:w="266"/>
        <w:gridCol w:w="109"/>
        <w:gridCol w:w="109"/>
        <w:gridCol w:w="109"/>
        <w:gridCol w:w="210"/>
        <w:gridCol w:w="210"/>
        <w:gridCol w:w="211"/>
        <w:gridCol w:w="109"/>
        <w:gridCol w:w="109"/>
        <w:gridCol w:w="109"/>
        <w:gridCol w:w="388"/>
        <w:gridCol w:w="350"/>
        <w:gridCol w:w="36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with SEC</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Amended and 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15,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Form of Class A common stock certificate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12,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Amended and Restated Investors’ Rights Agreement among the Registrant and certain holders of its capital stock, dated as of January 30, 2014,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February 23, 2018 </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Amendment No. 2 to the Amended and Restated Investors’ Rights Agreement among the Registrant and certain holders of its capital stock, dated as of March 27,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11,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u w:val="single"/>
                </w:rPr>
                <w:t>Indenture, dated February 26, 2021, between the Registrant and U.S. Bank National Association (2026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Indenture, dated February 26, 2021, between the Registrant and U.S. Bank National Association (2028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8"/>
                  <w:u w:val="single"/>
                </w:rPr>
                <w:t>Form of 0% Convertible Senior Note due 2026 (included in Exhibit 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18"/>
                  <w:u w:val="single"/>
                </w:rPr>
                <w:t>Form of 0% Convertible Senior Note due 2028 (included in Exhibit 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18"/>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7, 2020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18"/>
                  <w:u w:val="single"/>
                </w:rPr>
                <w:t>Form of Indemnification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18"/>
                  <w:u w:val="single"/>
                </w:rPr>
                <w:t>Dropbox, Inc. 2018 Equity Incentive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19, 2021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18"/>
                  <w:u w:val="single"/>
                </w:rPr>
                <w:t>Dropbox, Inc. 2018 Employee Stock Purchase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21,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18"/>
                  <w:u w:val="single"/>
                </w:rPr>
                <w:t>Dropbox, Inc. 2018 Class C Stock Incentive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21,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18"/>
                  <w:u w:val="single"/>
                </w:rPr>
                <w:t>Dropbox, Inc. 2018 Class C Employee Stock Purchase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21,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18"/>
                  <w:u w:val="single"/>
                </w:rPr>
                <w:t>Dropbox, Inc. 2017 Equity Incentive Plan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21, 2018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1"/>
        <w:gridCol w:w="184"/>
        <w:gridCol w:w="176"/>
        <w:gridCol w:w="109"/>
        <w:gridCol w:w="109"/>
        <w:gridCol w:w="109"/>
        <w:gridCol w:w="1811"/>
        <w:gridCol w:w="1652"/>
        <w:gridCol w:w="1656"/>
        <w:gridCol w:w="109"/>
        <w:gridCol w:w="109"/>
        <w:gridCol w:w="109"/>
        <w:gridCol w:w="172"/>
        <w:gridCol w:w="172"/>
        <w:gridCol w:w="173"/>
        <w:gridCol w:w="109"/>
        <w:gridCol w:w="109"/>
        <w:gridCol w:w="109"/>
        <w:gridCol w:w="255"/>
        <w:gridCol w:w="255"/>
        <w:gridCol w:w="256"/>
        <w:gridCol w:w="109"/>
        <w:gridCol w:w="109"/>
        <w:gridCol w:w="109"/>
        <w:gridCol w:w="210"/>
        <w:gridCol w:w="210"/>
        <w:gridCol w:w="211"/>
        <w:gridCol w:w="109"/>
        <w:gridCol w:w="109"/>
        <w:gridCol w:w="109"/>
        <w:gridCol w:w="388"/>
        <w:gridCol w:w="260"/>
        <w:gridCol w:w="318"/>
      </w:tblGrid>
      <w:tr>
        <w:trPr/>
        <w:tc>
          <w:tcPr>
            <w:tcW w:w="21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with SEC</w:t>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18"/>
                  <w:u w:val="single"/>
                </w:rPr>
                <w:t>Dropbox, Inc. 2008 Equity Incentive Plan, as amended,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21, 2018</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18"/>
                  <w:u w:val="single"/>
                </w:rPr>
                <w:t>Dropbox, Inc. Amended and Restated Cash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10-K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19, 2021</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18"/>
                  <w:u w:val="single"/>
                </w:rPr>
                <w:t>Restricted Stock Agreement between the Registrant and Andrew W. Houston.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2018</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0-q423.htm">
              <w:r>
                <w:rPr>
                  <w:rStyle w:val="InternetLink"/>
                  <w:rFonts w:ascii="Times New Roman;sans-serif" w:hAnsi="Times New Roman;sans-serif"/>
                  <w:b w:val="false"/>
                  <w:color w:val="0000FF"/>
                  <w:sz w:val="18"/>
                  <w:u w:val="single"/>
                </w:rPr>
                <w:t>Revised Form of Change of Control and Severance Agreement as of February 2024 between the Registrant and certain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18"/>
                  <w:u w:val="single"/>
                </w:rPr>
                <w:t>Employment Letter between the Registrant and Andrew W. Houston.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12, 2018</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18"/>
                  <w:u w:val="single"/>
                </w:rPr>
                <w:t>Form of Restricted Stock Agreement between the Registrant and certain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21, 2020</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18"/>
                  <w:u w:val="single"/>
                </w:rPr>
                <w:t>Offer Letter between the Registrant and Timothy Regan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7, 2020</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18"/>
                  <w:u w:val="single"/>
                </w:rPr>
                <w:t>Office Lease between the Registrant and KR Mission Bay, LLC, dated as of October 6, 2017.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333-223182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23, 2018</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18"/>
                  <w:u w:val="single"/>
                </w:rPr>
                <w:t>Second Amendment to Office Lease between Dropbox, Inc. and KR Mission Bay, LLC, dated as of May 25,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10, 2018</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18"/>
                  <w:u w:val="single"/>
                </w:rPr>
                <w:t>Third Amendment and Restatement Agreement to the Revolving Credit and Guaranty Agreement, by and among the Registrant, the lenders party thereto and JPMorgan Chase Bank, N.A., as Administrative Agent, dated as of February 23,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2021</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18"/>
                  <w:u w:val="single"/>
                </w:rPr>
                <w:t>Purchase Agreement, dated February 23, 2021, by and among the Registrant and J.P. Morgan Securities LLC and Goldman Sachs &amp; Co. LLC, as representatives of the several initial purchasers listed in Schedule I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2021</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18"/>
                  <w:u w:val="single"/>
                </w:rPr>
                <w:t>Form of Convertible Note Hedge Confirmation (2026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2021</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8"/>
                  <w:u w:val="single"/>
                </w:rPr>
                <w:t>Form of Convertible Note Hedge Confirmation (2028 Notes).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2021</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18"/>
                  <w:u w:val="single"/>
                </w:rPr>
                <w:t>Form of 2026 Warrant Confirmation.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2021</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18"/>
                  <w:u w:val="single"/>
                </w:rPr>
                <w:t xml:space="preserve">Form of 2028 Warrant Confirmation.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26, 2021</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8"/>
                  <w:u w:val="single"/>
                </w:rPr>
                <w:t>Dropbox, Inc. Outside Director Compensation Policy and related form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21, 2020</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80"/>
                  <w:sz w:val="18"/>
                  <w:u w:val="single"/>
                </w:rPr>
                <w:t xml:space="preserve">Eighth Amendment to Office Lease, dated </w:t>
              </w:r>
            </w:hyperlink>
            <w:hyperlink r:id="rId35">
              <w:r>
                <w:rPr>
                  <w:rStyle w:val="InternetLink"/>
                  <w:rFonts w:ascii="Times New Roman;sans-serif" w:hAnsi="Times New Roman;sans-serif"/>
                  <w:b w:val="false"/>
                  <w:color w:val="000080"/>
                  <w:sz w:val="18"/>
                  <w:u w:val="single"/>
                </w:rPr>
                <w:t>November</w:t>
              </w:r>
            </w:hyperlink>
            <w:hyperlink r:id="rId36">
              <w:r>
                <w:rPr>
                  <w:rStyle w:val="InternetLink"/>
                  <w:rFonts w:ascii="Times New Roman;sans-serif" w:hAnsi="Times New Roman;sans-serif"/>
                  <w:b w:val="false"/>
                  <w:color w:val="000080"/>
                  <w:sz w:val="18"/>
                  <w:u w:val="single"/>
                </w:rPr>
                <w:t xml:space="preserve"> 1, 202</w:t>
              </w:r>
            </w:hyperlink>
            <w:hyperlink r:id="rId37">
              <w:r>
                <w:rPr>
                  <w:rStyle w:val="InternetLink"/>
                  <w:rFonts w:ascii="Times New Roman;sans-serif" w:hAnsi="Times New Roman;sans-serif"/>
                  <w:b w:val="false"/>
                  <w:color w:val="000080"/>
                  <w:sz w:val="18"/>
                  <w:u w:val="single"/>
                </w:rPr>
                <w:t>1</w:t>
              </w:r>
            </w:hyperlink>
            <w:hyperlink r:id="rId38">
              <w:r>
                <w:rPr>
                  <w:rStyle w:val="InternetLink"/>
                  <w:rFonts w:ascii="Times New Roman;sans-serif" w:hAnsi="Times New Roman;sans-serif"/>
                  <w:b w:val="false"/>
                  <w:color w:val="000080"/>
                  <w:sz w:val="18"/>
                  <w:u w:val="single"/>
                </w:rPr>
                <w:t xml:space="preserve"> and executed on December 16, 2021, by and between the Registrant and KRE Exchange Owner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001-38434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18, 2022</w:t>
            </w:r>
          </w:p>
        </w:tc>
      </w:tr>
      <w:tr>
        <w:trPr/>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99"/>
        <w:gridCol w:w="175"/>
        <w:gridCol w:w="177"/>
        <w:gridCol w:w="109"/>
        <w:gridCol w:w="109"/>
        <w:gridCol w:w="109"/>
        <w:gridCol w:w="1998"/>
        <w:gridCol w:w="1764"/>
        <w:gridCol w:w="1770"/>
        <w:gridCol w:w="109"/>
        <w:gridCol w:w="109"/>
        <w:gridCol w:w="109"/>
        <w:gridCol w:w="170"/>
        <w:gridCol w:w="170"/>
        <w:gridCol w:w="171"/>
        <w:gridCol w:w="109"/>
        <w:gridCol w:w="109"/>
        <w:gridCol w:w="109"/>
        <w:gridCol w:w="244"/>
        <w:gridCol w:w="244"/>
        <w:gridCol w:w="245"/>
        <w:gridCol w:w="109"/>
        <w:gridCol w:w="109"/>
        <w:gridCol w:w="109"/>
        <w:gridCol w:w="210"/>
        <w:gridCol w:w="210"/>
        <w:gridCol w:w="211"/>
        <w:gridCol w:w="109"/>
        <w:gridCol w:w="109"/>
        <w:gridCol w:w="109"/>
        <w:gridCol w:w="177"/>
        <w:gridCol w:w="177"/>
        <w:gridCol w:w="258"/>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with SEC</w:t>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4-q423.htm">
              <w:r>
                <w:rPr>
                  <w:rStyle w:val="InternetLink"/>
                  <w:rFonts w:ascii="Times New Roman;sans-serif" w:hAnsi="Times New Roman;sans-serif"/>
                  <w:b w:val="false"/>
                  <w:color w:val="0000FF"/>
                  <w:sz w:val="18"/>
                  <w:u w:val="single"/>
                </w:rPr>
                <w:t>Eleventh Amendment to Office Lease, dated October 1, 2023 and executed on October 17, 2023, by and between the Registrant and KRE Exchange Owner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5-q423.htm">
              <w:r>
                <w:rPr>
                  <w:rStyle w:val="InternetLink"/>
                  <w:rFonts w:ascii="Times New Roman;sans-serif" w:hAnsi="Times New Roman;sans-serif"/>
                  <w:b w:val="false"/>
                  <w:color w:val="0000FF"/>
                  <w:sz w:val="18"/>
                  <w:u w:val="single"/>
                </w:rPr>
                <w:t>Offer Letter between the Registrant and Eric Cox</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q423.htm">
              <w:r>
                <w:rPr>
                  <w:rStyle w:val="InternetLink"/>
                  <w:rFonts w:ascii="Times New Roman;sans-serif" w:hAnsi="Times New Roman;sans-serif"/>
                  <w:b w:val="false"/>
                  <w:color w:val="0000FF"/>
                  <w:sz w:val="18"/>
                  <w:u w:val="single"/>
                </w:rPr>
                <w:t>List of 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q423.htm">
              <w:r>
                <w:rPr>
                  <w:rStyle w:val="InternetLink"/>
                  <w:rFonts w:ascii="Times New Roman;sans-serif" w:hAnsi="Times New Roman;sans-serif"/>
                  <w:b w:val="false"/>
                  <w:color w:val="0000FF"/>
                  <w:sz w:val="18"/>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e54989dff154942aebc35c9d71d6423_157">
              <w:r>
                <w:rPr>
                  <w:rStyle w:val="InternetLink"/>
                  <w:rFonts w:ascii="Times New Roman;sans-serif" w:hAnsi="Times New Roman;sans-serif"/>
                  <w:b w:val="false"/>
                  <w:color w:val="0000FF"/>
                  <w:sz w:val="18"/>
                  <w:u w:val="single"/>
                </w:rPr>
                <w:t>Power of Attorney (included in signature pages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423.htm">
              <w:r>
                <w:rPr>
                  <w:rStyle w:val="InternetLink"/>
                  <w:rFonts w:ascii="Times New Roman;sans-serif" w:hAnsi="Times New Roman;sans-serif"/>
                  <w:b w:val="false"/>
                  <w:color w:val="0000FF"/>
                  <w:sz w:val="18"/>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423.htm">
              <w:r>
                <w:rPr>
                  <w:rStyle w:val="InternetLink"/>
                  <w:rFonts w:ascii="Times New Roman;sans-serif" w:hAnsi="Times New Roman;sans-serif"/>
                  <w:b w:val="false"/>
                  <w:color w:val="0000FF"/>
                  <w:sz w:val="18"/>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423.htm">
              <w:r>
                <w:rPr>
                  <w:rStyle w:val="InternetLink"/>
                  <w:rFonts w:ascii="Times New Roman;sans-serif" w:hAnsi="Times New Roman;sans-serif"/>
                  <w:b w:val="false"/>
                  <w:color w:val="0000FF"/>
                  <w:sz w:val="18"/>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q423.htm">
              <w:r>
                <w:rPr>
                  <w:rStyle w:val="InternetLink"/>
                  <w:rFonts w:ascii="Times New Roman;sans-serif" w:hAnsi="Times New Roman;sans-serif"/>
                  <w:b w:val="false"/>
                  <w:color w:val="0000FF"/>
                  <w:sz w:val="18"/>
                  <w:u w:val="single"/>
                </w:rPr>
                <w:t>Dropbox, Inc. Incentive- Based 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following financial statements from the Company's Annual Report on Form 10-K for the fiscal year ended December 31, 2023, formatted in Inline XBRL: (i) Consolidated Balance Sheets, (ii) Consolidated Statement of Operations, (iii) Consolidated Statements of Comprehensive Income (Loss), (iv) Consolidated Statement of Cash Flows, (v) Consolidated Statements of Stockholders' (Deficit) Equity, and (vi) Notes to Consolidated Financial Statements.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7"/>
        <w:gridCol w:w="2897"/>
        <w:gridCol w:w="40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certifications attached as Exhibit 32.1 that accompany this Annual Report on Form 10-K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Annual Report on Form 10-K, irrespective of any general incorporation language contained in such filing.</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16. FORM 10-K SUMMARY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Annual Report on Form 10-K to be signed on its behalf by the undersigned, thereunto duly authorized, in San Francisco, California, on February 16, 2024.</w:t>
      </w:r>
    </w:p>
    <w:p>
      <w:pPr>
        <w:pStyle w:val="TextBody"/>
        <w:bidi w:val="0"/>
        <w:spacing w:lineRule="auto" w:line="288" w:before="0" w:after="0"/>
        <w:jc w:val="left"/>
        <w:rPr>
          <w:color w:val="000000"/>
        </w:rPr>
      </w:pPr>
      <w:r>
        <w:rPr>
          <w:color w:val="000000"/>
        </w:rPr>
        <w:t> </w:t>
      </w:r>
    </w:p>
    <w:tbl>
      <w:tblPr>
        <w:tblW w:w="3095" w:type="dxa"/>
        <w:jc w:val="left"/>
        <w:tblInd w:w="0" w:type="dxa"/>
        <w:tblLayout w:type="fixed"/>
        <w:tblCellMar>
          <w:top w:w="28" w:type="dxa"/>
          <w:left w:w="28" w:type="dxa"/>
          <w:bottom w:w="28" w:type="dxa"/>
          <w:right w:w="28" w:type="dxa"/>
        </w:tblCellMar>
      </w:tblPr>
      <w:tblGrid>
        <w:gridCol w:w="190"/>
        <w:gridCol w:w="167"/>
        <w:gridCol w:w="167"/>
        <w:gridCol w:w="167"/>
        <w:gridCol w:w="167"/>
        <w:gridCol w:w="167"/>
        <w:gridCol w:w="598"/>
        <w:gridCol w:w="598"/>
        <w:gridCol w:w="874"/>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DROPBOX, INC.</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W. Houston</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W. Houston</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417" w:before="30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constitutes and appoints Andrew W. Houston and Timothy J. Regan,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report has been signed by the following persons on behalf of the Company and in the capacities and on the dates indicated.</w:t>
      </w:r>
    </w:p>
    <w:p>
      <w:pPr>
        <w:pStyle w:val="TextBody"/>
        <w:bidi w:val="0"/>
        <w:spacing w:before="240" w:after="283"/>
        <w:ind w:left="0" w:right="0" w:firstLine="495"/>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3e54989dff154942aebc35c9d71d6423_10">
        <w:r>
          <w:rPr>
            <w:rStyle w:val="InternetLink"/>
            <w:rFonts w:ascii="Times New Roman;sans-serif" w:hAnsi="Times New Roman;sans-serif"/>
            <w:b/>
            <w:color w:val="0000FF"/>
            <w:sz w:val="20"/>
            <w:u w:val="single"/>
          </w:rPr>
          <w:t>Table of Contents</w:t>
        </w:r>
      </w:hyperlink>
    </w:p>
    <w:tbl>
      <w:tblPr>
        <w:tblW w:w="8107"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1269"/>
        <w:gridCol w:w="1269"/>
        <w:gridCol w:w="1286"/>
        <w:gridCol w:w="109"/>
        <w:gridCol w:w="109"/>
        <w:gridCol w:w="109"/>
        <w:gridCol w:w="477"/>
        <w:gridCol w:w="477"/>
        <w:gridCol w:w="681"/>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W. Houston</w:t>
              <w:br/>
              <w:t>Andrew W. Houston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Timothy J. Regan</w:t>
              <w:br/>
              <w:t>Timothy J. Regan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and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Moore</w:t>
              <w:br/>
              <w:t>Andrew Moore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Abhay Parasnis</w:t>
              <w:br/>
              <w:t>Abhay Parasnis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Donald W. Blair</w:t>
              <w:br/>
              <w:t>Donald W. Blair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Karen A. Peacock</w:t>
              <w:br/>
              <w:t>Karen A. Peacock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 Lisa Campbell </w:t>
              <w:br/>
              <w:t xml:space="preserve">Lisa Campbell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Seibel</w:t>
              <w:br/>
              <w:t>Michael Seibel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Paul E. Jacobs</w:t>
              <w:br/>
              <w:t>Paul E. Jacobs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Sara Mathew</w:t>
              <w:br/>
              <w:t>Sara Mathew</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16,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10.10</w:t>
      </w:r>
    </w:p>
    <w:p>
      <w:pPr>
        <w:pStyle w:val="TextBody"/>
        <w:bidi w:val="0"/>
        <w:spacing w:before="240" w:after="283"/>
        <w:jc w:val="center"/>
        <w:rPr/>
      </w:pPr>
      <w:r>
        <w:rPr/>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CHANGE IN CONTROL AND SEVERANCE AGREEMENT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This Change in Control and Severance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between Dropbox, Inc.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and [NAME] (the “</w:t>
      </w:r>
      <w:r>
        <w:rPr>
          <w:rFonts w:ascii="Times New Roman;sans-serif" w:hAnsi="Times New Roman;sans-serif"/>
          <w:b/>
          <w:color w:val="000000"/>
          <w:sz w:val="24"/>
        </w:rPr>
        <w:t>Executive</w:t>
      </w:r>
      <w:r>
        <w:rPr>
          <w:color w:val="000000"/>
        </w:rPr>
        <w:t>”</w:t>
      </w:r>
      <w:r>
        <w:rPr>
          <w:rFonts w:ascii="Times New Roman;sans-serif" w:hAnsi="Times New Roman;sans-serif"/>
          <w:b w:val="false"/>
          <w:color w:val="000000"/>
          <w:sz w:val="24"/>
        </w:rPr>
        <w:t>), effective on the date of the Company’s signature below (the “</w:t>
      </w:r>
      <w:r>
        <w:rPr>
          <w:rFonts w:ascii="Times New Roman;sans-serif" w:hAnsi="Times New Roman;sans-serif"/>
          <w:b/>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lineRule="auto" w:line="240" w:before="20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provides certain protections to the Executive in connection with a change in control of the Company or in connection with the involuntary termination of the Executive’s employment under the circumstances described in this Agreement. Certain capitalized terms are defined in Section 7 to the extent not otherwise defined in other Sections of this Agreement.</w: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good and valuable consideration, the Company and the Executive agree as follows: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Term of Agreement</w:t>
      </w:r>
      <w:r>
        <w:rPr>
          <w:rFonts w:ascii="Times New Roman;sans-serif" w:hAnsi="Times New Roman;sans-serif"/>
          <w:b w:val="false"/>
          <w:color w:val="000000"/>
          <w:sz w:val="24"/>
        </w:rPr>
        <w:t>. This Agreement will terminate when all of the obligations under this Agreement have been satisfied.</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xml:space="preserve">. The Company and the Executive acknowledge that the Executive’s employment is and will continue to be at-will, as defined under applicable law.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Severance Benefits</w:t>
      </w:r>
      <w:r>
        <w:rPr>
          <w:rFonts w:ascii="Times New Roman;sans-serif" w:hAnsi="Times New Roman;sans-serif"/>
          <w:b w:val="false"/>
          <w:color w:val="000000"/>
          <w:sz w:val="24"/>
        </w:rPr>
        <w: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Non-CIC Qualified Termination</w:t>
      </w:r>
      <w:r>
        <w:rPr>
          <w:rFonts w:ascii="Times New Roman;sans-serif" w:hAnsi="Times New Roman;sans-serif"/>
          <w:b w:val="false"/>
          <w:color w:val="000000"/>
          <w:sz w:val="24"/>
        </w:rPr>
        <w:t>. On a Non-CIC Qualified Termination, and subject to Sections 5 and 6, the Executive will be eligible to receive the following payment and benefits from the Company:</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Salary Severance</w:t>
      </w:r>
      <w:r>
        <w:rPr>
          <w:rFonts w:ascii="Times New Roman;sans-serif" w:hAnsi="Times New Roman;sans-serif"/>
          <w:b w:val="false"/>
          <w:color w:val="000000"/>
          <w:sz w:val="24"/>
        </w:rPr>
        <w:t>. A lump-sum payment equal to</w:t>
      </w:r>
      <w:r>
        <w:rPr>
          <w:color w:val="000000"/>
        </w:rPr>
        <w:t xml:space="preserve"> </w:t>
      </w:r>
      <w:r>
        <w:rPr>
          <w:rFonts w:ascii="Times New Roman;sans-serif" w:hAnsi="Times New Roman;sans-serif"/>
          <w:b w:val="false"/>
          <w:color w:val="000000"/>
          <w:sz w:val="24"/>
        </w:rPr>
        <w:t xml:space="preserve">50% of the Executive’s Base Salary. </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Health Benefit</w:t>
      </w:r>
      <w:r>
        <w:rPr>
          <w:rFonts w:ascii="Times New Roman;sans-serif" w:hAnsi="Times New Roman;sans-serif"/>
          <w:b w:val="false"/>
          <w:color w:val="000000"/>
          <w:sz w:val="24"/>
        </w:rPr>
        <w:t>. Subject to Section 3(d), the Company will pay the premiums for the Executive and the Executive’s eligible dependents to continue healthcare coverage under COBRA at the rates then in effect for active employees, subject to any subsequent changes in rates that are generally applicable to the Company’s active employees (the “</w:t>
      </w:r>
      <w:r>
        <w:rPr>
          <w:rFonts w:ascii="Times New Roman;sans-serif" w:hAnsi="Times New Roman;sans-serif"/>
          <w:b/>
          <w:color w:val="000000"/>
          <w:sz w:val="24"/>
        </w:rPr>
        <w:t>Health Benefit</w:t>
      </w:r>
      <w:r>
        <w:rPr>
          <w:color w:val="000000"/>
        </w:rPr>
        <w:t>”</w:t>
      </w:r>
      <w:r>
        <w:rPr>
          <w:rFonts w:ascii="Times New Roman;sans-serif" w:hAnsi="Times New Roman;sans-serif"/>
          <w:b w:val="false"/>
          <w:color w:val="000000"/>
          <w:sz w:val="24"/>
        </w:rPr>
        <w:t xml:space="preserve">), until the earlier of (A) a period of 6 months from the date of the Executive’s termination of employment, (B) the date upon which the Executive and/or the Executive’s eligible dependents becomes covered under similar plans or (C) the date upon which the Executive ceases to be eligible for coverage under COBRA or other applicable law or policy governing such coverage. </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Equity Vesting</w:t>
      </w:r>
      <w:r>
        <w:rPr>
          <w:rFonts w:ascii="Times New Roman;sans-serif" w:hAnsi="Times New Roman;sans-serif"/>
          <w:b w:val="false"/>
          <w:color w:val="000000"/>
          <w:sz w:val="24"/>
        </w:rPr>
        <w:t>. The Executive’s then-outstanding time-based equity awards each will vest as to the number of shares subject to the time-based equity awards that were otherwise scheduled to vest had the Executive remained employed with the Company for 3 months following the date of the Executive’s Non-CIC Qualified Termination. In the case of an equity award with performance-based vesting, all performance goals and other vesting criteria will be treated as set forth in the applicable equity award agreement governing such award. Any restricted stock units, performance shares, performance units, and/or similar full value awards that vest under this paragraph will be settled on the 61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day following the Non-CIC Qualified Termination.</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27660"/>
                <wp:effectExtent l="0" t="0" r="0" b="0"/>
                <wp:wrapNone/>
                <wp:docPr id="120" name="Frame11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ind w:left="0" w:right="0" w:firstLine="72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240" w:after="283"/>
                        <w:ind w:left="0" w:right="0" w:firstLine="720"/>
                        <w:jc w:val="both"/>
                        <w:rPr/>
                      </w:pPr>
                      <w:r>
                        <w:rPr/>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CIC Qualified Termination</w:t>
      </w:r>
      <w:r>
        <w:rPr>
          <w:rFonts w:ascii="Times New Roman;sans-serif" w:hAnsi="Times New Roman;sans-serif"/>
          <w:b w:val="false"/>
          <w:color w:val="000000"/>
          <w:sz w:val="24"/>
        </w:rPr>
        <w:t>. On a CIC Qualified Termination, and subject to Sections 5 and 6, the Executive will be eligible to receive the following payment and benefits from the Company:</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Salary Severance</w:t>
      </w:r>
      <w:r>
        <w:rPr>
          <w:rFonts w:ascii="Times New Roman;sans-serif" w:hAnsi="Times New Roman;sans-serif"/>
          <w:b w:val="false"/>
          <w:color w:val="000000"/>
          <w:sz w:val="24"/>
        </w:rPr>
        <w:t xml:space="preserve">. A lump-sum payment equal to 100% of the Executive’s Base Salary. </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Bonus Severance</w:t>
      </w:r>
      <w:r>
        <w:rPr>
          <w:rFonts w:ascii="Times New Roman;sans-serif" w:hAnsi="Times New Roman;sans-serif"/>
          <w:b w:val="false"/>
          <w:color w:val="000000"/>
          <w:sz w:val="24"/>
        </w:rPr>
        <w:t>. A lump-sum payment equal to 100% of the Executive’s target annual bonus as in effect for the fiscal year in which the CIC Qualified Termination occurs.</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Health Benefit</w:t>
      </w:r>
      <w:r>
        <w:rPr>
          <w:rFonts w:ascii="Times New Roman;sans-serif" w:hAnsi="Times New Roman;sans-serif"/>
          <w:b w:val="false"/>
          <w:color w:val="000000"/>
          <w:sz w:val="24"/>
        </w:rPr>
        <w:t>. Subject to Section 3(d), the Company will provide the Health Benefit until the earlier of (A) a period of 12 months from the date of the Executive’s termination of employment, (B) the date upon which the Executive and/or the Executive’s eligible dependents becomes covered under similar plans or (C) the date upon which the Executive ceases to be eligible for coverage under COBRA or other applicable law or policy governing such coverage.</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Equity Vesting</w:t>
      </w:r>
      <w:r>
        <w:rPr>
          <w:rFonts w:ascii="Times New Roman;sans-serif" w:hAnsi="Times New Roman;sans-serif"/>
          <w:b w:val="false"/>
          <w:color w:val="000000"/>
          <w:sz w:val="24"/>
        </w:rPr>
        <w:t>. 100% of the then-unvested shares subject to each of the Executive’s then-outstanding equity awards will vest and, in the case of options and stock appreciation rights, will become exercisable (for avoidance of doubt, no more than 100% of the shares subject to the then-outstanding portion of an equity award may vest and become exercisable under this provision). In the case of an equity award with performance-based vesting, unless otherwise specified in the applicable equity award agreement governing such award, all performance goals and other vesting criteria will be deemed achieved at 100% of target levels. Any restricted stock units, performance shares, performance units, and/or similar full value awards that vest under this paragraph will be settled on the 61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 xml:space="preserve">day following the CIC Qualified Termination. For the avoidance of doubt, if the Executive’s Qualified Termination occurs prior to a Change in Control, then any unvested portion of the Executive’s then-outstanding equity awards will remain outstanding for 3 months or the occurrence of a Change in Control (whichever is earlier) so that any benefits due on a CIC Qualified Termination can be provided if a Change in Control occurs within 3 months following the Qualified Termination (provided that in no event will the Executive’s stock options or similar equity awards remain outstanding beyond the equity award’s maximum term to expiration). In that case, if no Change in Control occurs within 3 months following a Qualified Termination, any unvested portion of the Executive’s equity awards automatically will be forfeited permanently on the 3-month anniversary of the Qualified Termination without having vested.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Termination other than a Qualified Termination</w:t>
      </w:r>
      <w:r>
        <w:rPr>
          <w:rFonts w:ascii="Times New Roman;sans-serif" w:hAnsi="Times New Roman;sans-serif"/>
          <w:b w:val="false"/>
          <w:color w:val="000000"/>
          <w:sz w:val="24"/>
        </w:rPr>
        <w:t>. If the termination of Executive’s employment with the Company Group is not a Qualified Termination, then the Executive will not be eligible to receive severance or other benefits.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Conditions to Receipt of Health Benefit</w:t>
      </w:r>
      <w:r>
        <w:rPr>
          <w:rFonts w:ascii="Times New Roman;sans-serif" w:hAnsi="Times New Roman;sans-serif"/>
          <w:b w:val="false"/>
          <w:color w:val="000000"/>
          <w:sz w:val="24"/>
        </w:rPr>
        <w:t xml:space="preserve">. To the extent the Executive is covered under the Company’s U.S. health plans as of the time of the Executive’s Qualified Termination, the Executive’s receipt of the Health Benefit is subject to the Executive electing COBRA continuation coverage within the time period prescribed pursuant to COBRA for the Executive and the Executive’s eligible dependents. If the Company determines in its sole discretion that it cannot provide the Health Benefit without potentially violating, or being subject to an excise tax under, applicable law (including, without limitation, Section 2716 of the Public Health Service Act), the Company will in lieu thereof provide to the Executive a taxable monthly payment payable on the Company’s regularly scheduled payroll dates (except as provided by the following sentence), in an amount equal to the monthly COBRA premium that the Executive would be required to pay to continue Executive’s group health coverage in effect on the date of Executive’s Qualified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40" w:before="240" w:after="283"/>
        <w:jc w:val="both"/>
        <w:rPr/>
      </w:pPr>
      <w:r>
        <w:rPr>
          <w:rFonts w:ascii="Times New Roman;sans-serif" w:hAnsi="Times New Roman;sans-serif"/>
          <w:b w:val="false"/>
          <w:color w:val="000000"/>
          <w:sz w:val="24"/>
        </w:rPr>
        <w:t>Termination (which amount will be based on the rates then in effect for active employees, subject to any subsequent changes in rates that are generally applicable to the Company’s active employees) (each, a “</w:t>
      </w:r>
      <w:r>
        <w:rPr>
          <w:rFonts w:ascii="Times New Roman;sans-serif" w:hAnsi="Times New Roman;sans-serif"/>
          <w:b/>
          <w:color w:val="000000"/>
          <w:sz w:val="24"/>
        </w:rPr>
        <w:t>Health Replacement Payment</w:t>
      </w:r>
      <w:r>
        <w:rPr>
          <w:color w:val="000000"/>
        </w:rPr>
        <w:t>”</w:t>
      </w:r>
      <w:r>
        <w:rPr>
          <w:rFonts w:ascii="Times New Roman;sans-serif" w:hAnsi="Times New Roman;sans-serif"/>
          <w:b w:val="false"/>
          <w:color w:val="000000"/>
          <w:sz w:val="24"/>
        </w:rPr>
        <w:t>), which Health Replacement Payments will be made regardless of whether the Executive elects COBRA continuation coverage and will end on the earlier of (x) the date upon which the Executive obtains other employment or (y) the date the Company has paid an amount totaling the number of Health Replacement Payments equal to the number of months in the applicable Health Benefit period. For the avoidance of doubt, the Health Replacement Payments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Health Replacement Payments without violating applicable law (including, without limitation, Section 2716 of the Public Health Service Act), the Executive will not receive the Health Replacement Payments or any further Health Benefit.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Non-Duplication of Payment or Benefits</w:t>
      </w:r>
      <w:r>
        <w:rPr>
          <w:rFonts w:ascii="Times New Roman;sans-serif" w:hAnsi="Times New Roman;sans-serif"/>
          <w:b w:val="false"/>
          <w:color w:val="000000"/>
          <w:sz w:val="24"/>
        </w:rPr>
        <w:t xml:space="preserve">. If (i) the Executive’s Qualified Termination occurs prior to a Change in Control that qualifies Executive for severance payments and benefits under Section 3(a) </w:t>
      </w:r>
      <w:r>
        <w:rPr>
          <w:rFonts w:ascii="Times New Roman;sans-serif" w:hAnsi="Times New Roman;sans-serif"/>
          <w:b w:val="false"/>
          <w:color w:val="000000"/>
          <w:sz w:val="24"/>
          <w:u w:val="single"/>
        </w:rPr>
        <w:t>and</w:t>
      </w:r>
      <w:r>
        <w:rPr>
          <w:color w:val="000000"/>
        </w:rPr>
        <w:t xml:space="preserve"> </w:t>
      </w:r>
      <w:r>
        <w:rPr>
          <w:rFonts w:ascii="Times New Roman;sans-serif" w:hAnsi="Times New Roman;sans-serif"/>
          <w:b w:val="false"/>
          <w:color w:val="000000"/>
          <w:sz w:val="24"/>
        </w:rPr>
        <w:t>(ii) a Change in Control occurs within the 3-month period following Executive’s Qualified Termination that qualifies Executive for severance payments and benefits under Section 3(b), then (A) the Executive will cease receiving any further payments or benefits under Section 3(a) and (B) the Executive will receive the payments and benefits under Section 3(b) instead but each of the payments and benefits otherwise payable under Section 3(b) will be offset by the corresponding payments or benefits the Executive already received under Section 3(a). Notwithstanding any provision of this Agreement to the contrary, if the Executive is entitled to any cash severance, continued health coverage benefits, or vesting acceleration of any equity awards (other than under this Agreement) by operation of applicable law or under a plan, policy, contract, or arrangement sponsored by or to which any member of the Company Group is a party in connection with the Executive’s separation (“</w:t>
      </w:r>
      <w:r>
        <w:rPr>
          <w:rFonts w:ascii="Times New Roman;sans-serif" w:hAnsi="Times New Roman;sans-serif"/>
          <w:b/>
          <w:color w:val="000000"/>
          <w:sz w:val="24"/>
        </w:rPr>
        <w:t>Other Benefits</w:t>
      </w:r>
      <w:r>
        <w:rPr>
          <w:color w:val="000000"/>
        </w:rPr>
        <w:t>”</w:t>
      </w:r>
      <w:r>
        <w:rPr>
          <w:rFonts w:ascii="Times New Roman;sans-serif" w:hAnsi="Times New Roman;sans-serif"/>
          <w:b w:val="false"/>
          <w:color w:val="000000"/>
          <w:sz w:val="24"/>
        </w:rPr>
        <w:t>), then the corresponding severance payments and benefits under this Agreement will be reduced by the amount of Other Benefits paid or provided to the Executive.</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Death of the Executive</w:t>
      </w:r>
      <w:r>
        <w:rPr>
          <w:rFonts w:ascii="Times New Roman;sans-serif" w:hAnsi="Times New Roman;sans-serif"/>
          <w:b w:val="false"/>
          <w:color w:val="000000"/>
          <w:sz w:val="24"/>
        </w:rPr>
        <w:t>. If the Executive dies before all payments or benefits the Executive is entitled to receive under this Agreement have been paid, the unpaid amounts will be paid to the Executive’s designated beneficiary, if living, or otherwise to the Executive’s personal representative in a lump-sum payment as soon as possible following the Executive’s death.</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Transfer between the Company Group</w:t>
      </w:r>
      <w:r>
        <w:rPr>
          <w:rFonts w:ascii="Times New Roman;sans-serif" w:hAnsi="Times New Roman;sans-serif"/>
          <w:b w:val="false"/>
          <w:color w:val="000000"/>
          <w:sz w:val="24"/>
        </w:rPr>
        <w:t>. For purposes of this Agreement, if the Executive is involuntarily transferred from one member of the Company Group to another, the transfer will not be a termination without Cause but may give the Executive the ability to resign for Good Reason, subject to Section 7(k).</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Exclusive Remedy</w:t>
      </w:r>
      <w:r>
        <w:rPr>
          <w:rFonts w:ascii="Times New Roman;sans-serif" w:hAnsi="Times New Roman;sans-serif"/>
          <w:b w:val="false"/>
          <w:color w:val="000000"/>
          <w:sz w:val="24"/>
        </w:rPr>
        <w:t>. In the event of a termination of the Executive’s employment with the Company Group, the provisions of this Agreement are intended to be and are exclusive and in lieu of any other rights or remedies to which the Executive may otherwise be entitled, whether at law, tort or contract, or in equity. The Executive will be entitled to no benefits, compensation or other payments or rights upon termination of employment other than those benefits expressly set forth in this Agreement, subject to applicable law.</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Accrued Compensation</w:t>
      </w:r>
      <w:r>
        <w:rPr>
          <w:rFonts w:ascii="Times New Roman;sans-serif" w:hAnsi="Times New Roman;sans-serif"/>
          <w:b w:val="false"/>
          <w:color w:val="000000"/>
          <w:sz w:val="24"/>
        </w:rPr>
        <w:t>. On any termination of the Executive’s employment with the Company Group, the Executive will be entitled to receive all accrued but unpaid vacation (if any), expense reimbursements, wages, and other benefits due to the Executive under any Company-</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provided plans, policies, and arrangements. For the avoidance of doubt, receipt of accrued compensation is not subject to the Release Requirement discussed in Section 5(a).</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Conditions to Receipt of Severance</w:t>
      </w:r>
      <w:r>
        <w:rPr>
          <w:rFonts w:ascii="Times New Roman;sans-serif" w:hAnsi="Times New Roman;sans-serif"/>
          <w:b w:val="false"/>
          <w:color w:val="000000"/>
          <w:sz w:val="24"/>
        </w:rPr>
        <w: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Separation Agreement and Release of Claims</w:t>
      </w:r>
      <w:r>
        <w:rPr>
          <w:rFonts w:ascii="Times New Roman;sans-serif" w:hAnsi="Times New Roman;sans-serif"/>
          <w:b w:val="false"/>
          <w:color w:val="000000"/>
          <w:sz w:val="24"/>
        </w:rPr>
        <w:t>. The Executive’s receipt of any severance payments or benefits upon the Executive’s Qualified Termination under Section 3 is subject to the Executive signing and not revoking the Company’s then-standard separation agreement and release of claims (which may include an agreement not to disparage any member of the Company Group, a confidentiality clause, non-solicit provisions, an agreement to assist in any litigation matters, and other standard terms and conditions) (the “</w:t>
      </w:r>
      <w:r>
        <w:rPr>
          <w:rFonts w:ascii="Times New Roman;sans-serif" w:hAnsi="Times New Roman;sans-serif"/>
          <w:b/>
          <w:color w:val="000000"/>
          <w:sz w:val="24"/>
        </w:rPr>
        <w:t>Release</w:t>
      </w:r>
      <w:r>
        <w:rPr>
          <w:color w:val="000000"/>
        </w:rPr>
        <w:t xml:space="preserve">” </w:t>
      </w:r>
      <w:r>
        <w:rPr>
          <w:rFonts w:ascii="Times New Roman;sans-serif" w:hAnsi="Times New Roman;sans-serif"/>
          <w:b w:val="false"/>
          <w:color w:val="000000"/>
          <w:sz w:val="24"/>
        </w:rPr>
        <w:t>and that requirement, the “</w:t>
      </w:r>
      <w:r>
        <w:rPr>
          <w:rFonts w:ascii="Times New Roman;sans-serif" w:hAnsi="Times New Roman;sans-serif"/>
          <w:b/>
          <w:color w:val="000000"/>
          <w:sz w:val="24"/>
        </w:rPr>
        <w:t>Release Requirement</w:t>
      </w:r>
      <w:r>
        <w:rPr>
          <w:color w:val="000000"/>
        </w:rPr>
        <w:t>”</w:t>
      </w:r>
      <w:r>
        <w:rPr>
          <w:rFonts w:ascii="Times New Roman;sans-serif" w:hAnsi="Times New Roman;sans-serif"/>
          <w:b w:val="false"/>
          <w:color w:val="000000"/>
          <w:sz w:val="24"/>
        </w:rPr>
        <w:t>), which must become effective and irrevocable no later than the 60th day following the Executive’s Qualified Termination (the “</w:t>
      </w:r>
      <w:r>
        <w:rPr>
          <w:rFonts w:ascii="Times New Roman;sans-serif" w:hAnsi="Times New Roman;sans-serif"/>
          <w:b/>
          <w:color w:val="000000"/>
          <w:sz w:val="24"/>
        </w:rPr>
        <w:t>Release Deadline</w:t>
      </w:r>
      <w:r>
        <w:rPr>
          <w:color w:val="000000"/>
        </w:rPr>
        <w:t>”</w:t>
      </w:r>
      <w:r>
        <w:rPr>
          <w:rFonts w:ascii="Times New Roman;sans-serif" w:hAnsi="Times New Roman;sans-serif"/>
          <w:b w:val="false"/>
          <w:color w:val="000000"/>
          <w:sz w:val="24"/>
        </w:rPr>
        <w:t>). If the Release does not become effective and irrevocable by the Release Deadline, the Executive will forfeit any right to severance payments or benefits under Section 3. In no event will severance payments or benefits under Section 3 be earned or provided until the Release actually becomes effective and irrevocable. If earned, none of the severance payments and benefits payable upon the Executive’s Qualified Termination under Section 3 will be paid or otherwise provided prior to the 60th day following the Executive’s Qualified Termination except that the vesting of options or stock appreciation rights under Section 3(a)(iii) or Section 3(b)(iv) will occur on the date the Release becomes effective and irrevocable. Except with respect to (1) the extent that payments are delayed under Section 5(c), or (2) the timing of vesting or settlement of equity awards under Section 3(a)(iii) or Section 3(b)(iv) or as provided herein, on the first regular payroll pay day following the 60</w:t>
      </w:r>
      <w:r>
        <w:rPr>
          <w:rFonts w:ascii="Times New Roman;sans-serif" w:hAnsi="Times New Roman;sans-serif"/>
          <w:b w:val="false"/>
          <w:color w:val="000000"/>
          <w:sz w:val="16"/>
        </w:rPr>
        <w:t>th</w:t>
      </w:r>
      <w:r>
        <w:rPr>
          <w:color w:val="000000"/>
        </w:rPr>
        <w:t> </w:t>
      </w:r>
      <w:r>
        <w:rPr>
          <w:rFonts w:ascii="Times New Roman;sans-serif" w:hAnsi="Times New Roman;sans-serif"/>
          <w:b w:val="false"/>
          <w:color w:val="000000"/>
          <w:sz w:val="24"/>
        </w:rPr>
        <w:t xml:space="preserve">day following the Executive’s Qualified Termination, the Company will pay or provide the Executive the severance payments and benefits that the Executive would otherwise have received under Section 3 on or prior to that date, with the balance of the severance payments and benefits being paid or provided as originally scheduled.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Return of Company Property</w:t>
      </w:r>
      <w:r>
        <w:rPr>
          <w:rFonts w:ascii="Times New Roman;sans-serif" w:hAnsi="Times New Roman;sans-serif"/>
          <w:b w:val="false"/>
          <w:color w:val="000000"/>
          <w:sz w:val="24"/>
        </w:rPr>
        <w:t xml:space="preserve">. The Executive’s receipt of any severance payments or benefits upon the Executive’s Qualified Termination under Section 3 is subject to the Executive having returned all documents and other property provided to Executive by any member of the Company Group (with the exception of a copy of the Employee Handbook and personnel documents specifically relating to Executive), developed or obtained by Executive in connection with Executive’s employment with the Company Group, or otherwise belonging to the Company Group, by no later than 10 days following the date of the Qualified Termination.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The Company intends that all payments and benefits provided under this Agreement or otherwise are exempt from, or comply with, the requirements of Section 409A of the Code and any guidance promulgated under Section 409A of the Code (collectively,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so that none of the payments or benefits will be subject to the additional tax imposed under Section 409A, and any ambiguities in this Agreement will be interpreted in accordance with this intent. No payment or benefits to be paid to the Executive, if any, under this Agreement or otherwise, when considered together with any other severance payments or separation benefits that are considered deferred compensation under Section 409A (together, the “</w:t>
      </w:r>
      <w:r>
        <w:rPr>
          <w:rFonts w:ascii="Times New Roman;sans-serif" w:hAnsi="Times New Roman;sans-serif"/>
          <w:b/>
          <w:color w:val="000000"/>
          <w:sz w:val="24"/>
        </w:rPr>
        <w:t>Deferred Payments</w:t>
      </w:r>
      <w:r>
        <w:rPr>
          <w:color w:val="000000"/>
        </w:rPr>
        <w:t>”</w:t>
      </w:r>
      <w:r>
        <w:rPr>
          <w:rFonts w:ascii="Times New Roman;sans-serif" w:hAnsi="Times New Roman;sans-serif"/>
          <w:b w:val="false"/>
          <w:color w:val="000000"/>
          <w:sz w:val="24"/>
        </w:rPr>
        <w:t xml:space="preserve">) will be paid or otherwise provided until the Executive has a “separation from service” within the meaning of Section 409A. If, at the time of the Executive’s termination of employment, the Executive is a “specified employee” within the meaning of Section 409A, then the payment of the Deferred Payments will be delayed to the extent necessary to avoid the imposition of the additional tax imposed under Section 409A, which generally means that the Executive will receive payment on the first payroll date that occurs on or after the date that is 6 months and 1 day following the Executive’s termination of employment. The Company reserves the right to amend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as it considers necessary or advisable, in its sole discretion and without the consent of the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U.S. Treasury Regulation Section 1.409A-2(b)(2). In no event will any member of the Company Group have any liability or obligation to reimburse, indemnify or hold harmless the Executive for any taxes, penalties and interest that may be imposed, or other costs that may be incurred, on the Executive as a result of Section 409A.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Confidential Information Agreement</w:t>
      </w:r>
      <w:r>
        <w:rPr>
          <w:rFonts w:ascii="Times New Roman;sans-serif" w:hAnsi="Times New Roman;sans-serif"/>
          <w:b w:val="false"/>
          <w:color w:val="000000"/>
          <w:sz w:val="24"/>
        </w:rPr>
        <w:t>. The Executive’s receipt of any severance payments or benefits upon the Executive’s Qualified Termination under Section 3 is subject to the Executive continuing to comply with the terms of any confidential information agreement executed by Executive in favor of the Company and the provisions of this Agreement. In the event the Executive breaches the provisions of this Section 5(d), all continuing payments and benefits to which the Executive may otherwise be entitled to pursuant to Section 3 will immediately cease.</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Resignation of Officer and Director Positions</w:t>
      </w:r>
      <w:r>
        <w:rPr>
          <w:rFonts w:ascii="Times New Roman;sans-serif" w:hAnsi="Times New Roman;sans-serif"/>
          <w:b w:val="false"/>
          <w:color w:val="000000"/>
          <w:sz w:val="24"/>
        </w:rPr>
        <w:t>. The Executive’s receipt of any severance payments or benefits upon the Executive’s Qualified Termination under Section 3 is subject to the Executive having resigned from all officer and director positions with all members of the Company Group and Executive executing any documents the Company may require in connection with the same.</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Limitation on Payments</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Reduction of Severance Benefits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If any payment or benefit that the Executive would receive from any Company Group member or any other party whether in connection with the provisions in this Agreement or otherwise (the “</w:t>
      </w:r>
      <w:r>
        <w:rPr>
          <w:rFonts w:ascii="Times New Roman;sans-serif" w:hAnsi="Times New Roman;sans-serif"/>
          <w:b/>
          <w:color w:val="000000"/>
          <w:sz w:val="24"/>
        </w:rPr>
        <w:t>Payment</w:t>
      </w:r>
      <w:r>
        <w:rPr>
          <w:color w:val="000000"/>
        </w:rPr>
        <w:t>”</w:t>
      </w:r>
      <w:r>
        <w:rPr>
          <w:rFonts w:ascii="Times New Roman;sans-serif" w:hAnsi="Times New Roman;sans-serif"/>
          <w:b w:val="false"/>
          <w:color w:val="000000"/>
          <w:sz w:val="24"/>
        </w:rPr>
        <w:t>) would (i) constitute a “parachute payment” within the meaning of Section 280G of the Code and (ii) but for this sentence, be subject to the excise tax imposed by Section 4999 of the Code (the “</w:t>
      </w:r>
      <w:r>
        <w:rPr>
          <w:rFonts w:ascii="Times New Roman;sans-serif" w:hAnsi="Times New Roman;sans-serif"/>
          <w:b/>
          <w:color w:val="000000"/>
          <w:sz w:val="24"/>
        </w:rPr>
        <w:t>Excise Tax</w:t>
      </w:r>
      <w:r>
        <w:rPr>
          <w:color w:val="000000"/>
        </w:rPr>
        <w:t>”</w:t>
      </w:r>
      <w:r>
        <w:rPr>
          <w:rFonts w:ascii="Times New Roman;sans-serif" w:hAnsi="Times New Roman;sans-serif"/>
          <w:b w:val="false"/>
          <w:color w:val="000000"/>
          <w:sz w:val="24"/>
        </w:rPr>
        <w:t>), then the Payment will be equal to the Best Results Amount. The “</w:t>
      </w:r>
      <w:r>
        <w:rPr>
          <w:rFonts w:ascii="Times New Roman;sans-serif" w:hAnsi="Times New Roman;sans-serif"/>
          <w:b/>
          <w:color w:val="000000"/>
          <w:sz w:val="24"/>
        </w:rPr>
        <w:t>Best Results Amount</w:t>
      </w:r>
      <w:r>
        <w:rPr>
          <w:color w:val="000000"/>
        </w:rPr>
        <w:t xml:space="preserve">” </w:t>
      </w:r>
      <w:r>
        <w:rPr>
          <w:rFonts w:ascii="Times New Roman;sans-serif" w:hAnsi="Times New Roman;sans-serif"/>
          <w:b w:val="false"/>
          <w:color w:val="000000"/>
          <w:sz w:val="24"/>
        </w:rPr>
        <w:t>will be either (x) the full amount of the Payment or (y) a lesser amount that would result in no portion of the Payment being subject to the Excise Tax, whichever of those amounts, taking into account the applicable federal, state and local employment taxes, income taxes and the Excise Tax, results in the Executive’s receipt, on an after-tax basis, of the greater amount. If a reduction in payments or benefits constituting parachute payments is necessary so that the Payment equals the Best Results Amount, reduction will occur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of the Code in the reverse order of date of grant of the awards (that is, the most recently granted equity awards will be cancelled first); (C) reduction of the accelerated vesting of Equity Awards in the reverse order of date of grant of the awards (that is, the vesting of the most recently granted equity awards will be cancelled first); and (D) reduction of employee benefits in reverse chronological order (that is, the benefit owed on the latest date following the occurrence of the event triggering the excise tax will be the first benefit to be reduced). In no event will the Executive have any discretion with respect to the ordering of Payment reductions. The Executive will be solely responsible for the payment of all personal tax liability that is incurred as a result of the payments and benefits received under this Agreement, and the Executive will not be reimbursed, indemnified, or held harmless by any member of the Company Group for any of those payments of personal tax liability.</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Determination of Excise Tax Liability</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Unless the Company and the Executive otherwise agree in writing, the Company will select a professional services firm (the “</w:t>
      </w:r>
      <w:r>
        <w:rPr>
          <w:rFonts w:ascii="Times New Roman;sans-serif" w:hAnsi="Times New Roman;sans-serif"/>
          <w:b/>
          <w:color w:val="000000"/>
          <w:sz w:val="24"/>
        </w:rPr>
        <w:t>Firm</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to make all of the determinations required to be made under this Section 6. The Company will request that the Firm provide detailed supporting calculations both to the Company and the Executive prior to the date on which the event that triggers the Payment occurs if administratively feasible, or subsequent to that date if events occur that result in parachute payments to the Executive at that time. For purposes of making the calculations required by this Section 6, the Firm may make reasonable assumptions and approximations concerning applicable taxes and may rely on reasonable, good faith determinations concerning the application of the Code. The Company and the Executive will furnish to the Firm any information and documents as the Firm may reasonably request in order to make a determination under this Section 6. The Company will bear all costs the Firm may reasonably incur in connection with any calculations contemplated by this Section 6. Any determination by the Firm will be binding upon the Company and the Executive, and the Company will have no liability to the Executive for the determinations of the Firm.</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The following terms referred to in this Agreement will have the following meanings: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color w:val="000000"/>
          <w:sz w:val="24"/>
        </w:rPr>
        <w:t>Base Salary</w:t>
      </w:r>
      <w:r>
        <w:rPr>
          <w:color w:val="000000"/>
        </w:rPr>
        <w:t xml:space="preserve">” </w:t>
      </w:r>
      <w:r>
        <w:rPr>
          <w:rFonts w:ascii="Times New Roman;sans-serif" w:hAnsi="Times New Roman;sans-serif"/>
          <w:b w:val="false"/>
          <w:color w:val="000000"/>
          <w:sz w:val="24"/>
        </w:rPr>
        <w:t xml:space="preserve">means the Executive’s annual base salary as in effect immediately prior to the Executive’s Qualified Termination (or if the termination is due to a resignation for Good Reason based on a material reduction in base salary, then the Executive’s annual base salary in effect immediately prior to the reduction) or, if the Executive’s Qualified Termination is a CIC Qualified Termination and the amount is greater, at the level in effect immediately prior to the Change in Control.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color w:val="000000"/>
          <w:sz w:val="24"/>
        </w:rPr>
        <w:t>Board</w:t>
      </w:r>
      <w:r>
        <w:rPr>
          <w:color w:val="000000"/>
        </w:rPr>
        <w:t xml:space="preserve">” </w:t>
      </w:r>
      <w:r>
        <w:rPr>
          <w:rFonts w:ascii="Times New Roman;sans-serif" w:hAnsi="Times New Roman;sans-serif"/>
          <w:b w:val="false"/>
          <w:color w:val="000000"/>
          <w:sz w:val="24"/>
        </w:rPr>
        <w:t>means the Company’s Board of Directors.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means the occurrence of any of the following: (i) any willful, material violation by the Executive of any law or regulation applicable to the business of any Company Group member, the Executive’s conviction for, or plea of guilty or no contest to, a felony or a crime involving moral turpitude, or any willful perpetration by the Executive of a common law fraud, (ii) the Executive’s commission of an act of personal dishonesty which involves personal profit in connection with any Company Group member or any other entity having a business relationship with any Company Group member, (iii) any material breach by the Executive of any provision of any agreement or understanding between any Company Group member and the Executive regarding the terms of the Executive’s service as an employee, officer, director or consultant to any Company Group member, including without limitation, the willful and continued failure or refusal of the Executive to perform the material duties required of the Executive as an employee, officer, director or consultant of any Company Group member, other than as a result of having a Disability, or a breach of any applicable invention assignment and confidentiality agreement or similar agreement between any Company Group member and the Executive, (iv) the Executive’s disregard of the policies of any Company Group member so as to cause loss, damage or injury to the property, reputation or employees of any Company Group member, or (v) any other misconduct by the Executive which is materially injurious to the financial condition or business reputation of, or is otherwise materially injurious to, any Company Group member.</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means the occurrence of any of the following events:</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A change in the ownership of the Company</w:t>
      </w:r>
      <w:r>
        <w:rPr>
          <w:color w:val="000000"/>
        </w:rPr>
        <w:t xml:space="preserve"> </w:t>
      </w:r>
      <w:r>
        <w:rPr>
          <w:rFonts w:ascii="Times New Roman;sans-serif" w:hAnsi="Times New Roman;sans-serif"/>
          <w:b w:val="false"/>
          <w:color w:val="000000"/>
          <w:sz w:val="24"/>
        </w:rPr>
        <w:t>which occurs on the date that any one person, or more than one person acting as a group (“</w:t>
      </w:r>
      <w:r>
        <w:rPr>
          <w:rFonts w:ascii="Times New Roman;sans-serif" w:hAnsi="Times New Roman;sans-serif"/>
          <w:b/>
          <w:color w:val="000000"/>
          <w:sz w:val="24"/>
        </w:rPr>
        <w:t>Person</w:t>
      </w:r>
      <w:r>
        <w:rPr>
          <w:color w:val="000000"/>
        </w:rPr>
        <w:t>”</w:t>
      </w:r>
      <w:r>
        <w:rPr>
          <w:rFonts w:ascii="Times New Roman;sans-serif" w:hAnsi="Times New Roman;sans-serif"/>
          <w:b w:val="false"/>
          <w:color w:val="000000"/>
          <w:sz w:val="24"/>
        </w:rPr>
        <w:t xml:space="preserve">), acquires ownership of the stock of the Company that, together with the stock held by such Person, constitutes more than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50% of the total voting power of the stock of the Company; provided, however, that for purposes of this subsection, (A) the acquisition of additional stock by any one Person, who is considered to own more than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A change in the effective control of the Company which occurs on the date that a majority of members of the Board is replaced during any 12-month period by members of the Board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pStyle w:val="TextBody"/>
        <w:bidi w:val="0"/>
        <w:spacing w:lineRule="auto" w:line="240"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lineRule="auto" w:line="240"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a transaction will not be deemed a Change in Control unless the transaction qualifies as a change in control event within the meaning of Section 409A.</w:t>
      </w:r>
    </w:p>
    <w:p>
      <w:pPr>
        <w:pStyle w:val="TextBody"/>
        <w:bidi w:val="0"/>
        <w:spacing w:lineRule="auto" w:line="240"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Further and for the avoidance of doubt, a transaction will not constitute a Change in Control if: (i) its primary purpose is to change the jurisdiction of the Company’s incorporation, or (ii) its primary purpose is to create a holding company that will be owned in substantially the same proportions by the persons who held the Company’s securities immediately before such transaction.</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color w:val="000000"/>
          <w:sz w:val="24"/>
        </w:rPr>
        <w:t>Change in Control Period</w:t>
      </w:r>
      <w:r>
        <w:rPr>
          <w:color w:val="000000"/>
        </w:rPr>
        <w:t xml:space="preserve">” </w:t>
      </w:r>
      <w:r>
        <w:rPr>
          <w:rFonts w:ascii="Times New Roman;sans-serif" w:hAnsi="Times New Roman;sans-serif"/>
          <w:b w:val="false"/>
          <w:color w:val="000000"/>
          <w:sz w:val="24"/>
        </w:rPr>
        <w:t xml:space="preserve">means the period beginning 3 months prior to a Change in Control and ending 12 months following a Change in Control.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color w:val="000000"/>
          <w:sz w:val="24"/>
        </w:rPr>
        <w:t>COBRA</w:t>
      </w:r>
      <w:r>
        <w:rPr>
          <w:color w:val="000000"/>
        </w:rPr>
        <w:t xml:space="preserve">” </w:t>
      </w:r>
      <w:r>
        <w:rPr>
          <w:rFonts w:ascii="Times New Roman;sans-serif" w:hAnsi="Times New Roman;sans-serif"/>
          <w:b w:val="false"/>
          <w:color w:val="000000"/>
          <w:sz w:val="24"/>
        </w:rPr>
        <w:t xml:space="preserve">means the Consolidated Omnibus Budget Reconciliation Act of 1985, as amended.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color w:val="000000"/>
          <w:sz w:val="24"/>
        </w:rPr>
        <w:t>Company Group</w:t>
      </w:r>
      <w:r>
        <w:rPr>
          <w:color w:val="000000"/>
        </w:rPr>
        <w:t xml:space="preserve">” </w:t>
      </w:r>
      <w:r>
        <w:rPr>
          <w:rFonts w:ascii="Times New Roman;sans-serif" w:hAnsi="Times New Roman;sans-serif"/>
          <w:b w:val="false"/>
          <w:color w:val="000000"/>
          <w:sz w:val="24"/>
        </w:rPr>
        <w:t>means the Company and its subsidiaries.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color w:val="000000"/>
          <w:sz w:val="24"/>
        </w:rPr>
        <w:t>Disability</w:t>
      </w:r>
      <w:r>
        <w:rPr>
          <w:color w:val="000000"/>
        </w:rPr>
        <w:t xml:space="preserve">” </w:t>
      </w:r>
      <w:r>
        <w:rPr>
          <w:rFonts w:ascii="Times New Roman;sans-serif" w:hAnsi="Times New Roman;sans-serif"/>
          <w:b w:val="false"/>
          <w:color w:val="000000"/>
          <w:sz w:val="24"/>
        </w:rPr>
        <w:t>means a disability, whether temporary or permanent, partial or total, as determined by the Board or its authorized committee.</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(j)</w:t>
      </w:r>
      <w:r>
        <w:rPr>
          <w:color w:val="000000"/>
        </w:rPr>
        <w:t>“</w:t>
      </w:r>
      <w:r>
        <w:rPr>
          <w:rFonts w:ascii="Times New Roman;sans-serif" w:hAnsi="Times New Roman;sans-serif"/>
          <w:b/>
          <w:color w:val="000000"/>
          <w:sz w:val="24"/>
        </w:rPr>
        <w:t>Employment Letter</w:t>
      </w:r>
      <w:r>
        <w:rPr>
          <w:color w:val="000000"/>
        </w:rPr>
        <w:t xml:space="preserve">” </w:t>
      </w:r>
      <w:r>
        <w:rPr>
          <w:rFonts w:ascii="Times New Roman;sans-serif" w:hAnsi="Times New Roman;sans-serif"/>
          <w:b w:val="false"/>
          <w:color w:val="000000"/>
          <w:sz w:val="24"/>
        </w:rPr>
        <w:t>means the employment letter between the Company and the Executive dated September 28, 2019 (the “</w:t>
      </w:r>
      <w:r>
        <w:rPr>
          <w:rFonts w:ascii="Times New Roman;sans-serif" w:hAnsi="Times New Roman;sans-serif"/>
          <w:b/>
          <w:color w:val="000000"/>
          <w:sz w:val="24"/>
        </w:rPr>
        <w:t>Employment Letter</w:t>
      </w:r>
      <w:r>
        <w:rPr>
          <w:color w:val="000000"/>
        </w:rPr>
        <w:t>”</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(k)</w:t>
      </w:r>
      <w:r>
        <w:rPr>
          <w:color w:val="000000"/>
        </w:rPr>
        <w:t>“</w:t>
      </w:r>
      <w:r>
        <w:rPr>
          <w:rFonts w:ascii="Times New Roman;sans-serif" w:hAnsi="Times New Roman;sans-serif"/>
          <w:b/>
          <w:color w:val="000000"/>
          <w:sz w:val="24"/>
        </w:rPr>
        <w:t>Good Reason</w:t>
      </w:r>
      <w:r>
        <w:rPr>
          <w:color w:val="000000"/>
        </w:rPr>
        <w:t xml:space="preserve">” </w:t>
      </w:r>
      <w:r>
        <w:rPr>
          <w:rFonts w:ascii="Times New Roman;sans-serif" w:hAnsi="Times New Roman;sans-serif"/>
          <w:b w:val="false"/>
          <w:color w:val="000000"/>
          <w:sz w:val="24"/>
        </w:rPr>
        <w:t xml:space="preserve">means the termination of the Executive’s employment with the Company Group by the Executive after the occurrence of one or more of the following events without the Executive’s express written consent: </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during the Change in Control Period: (1) a material reduction of the Executive’s duties, authorities, or responsibilities relative to the Executive’s duties, authorities, or responsibilities in effect immediately prior to the reduction; provided, however, that continued employment following a Change in Control with substantially the same duties, authorities, or responsibilities with respect to the Company Group’s business and operations will not constitute “Good Reason” (for example, “Good Reason” does not exist if the Executive is employed by the Company Group or a successor with substantially the same duties, authorities, or responsibilities with respect to the Company Group’s business that the Executive had immediately prior to the Change in Control regardless of whether the Executive’s title is revised to reflect the Executive’s placement within the overall corporate hierarchy or whether the Executive provides services to a subsidiary, affiliate, business unit or otherwise); (2) a reduction by a Company Group member in the Executive’s rate of annual base salary by more than 20%; provided, however, that, a reduction of annual base salary that also applies to substantially all other similarly situated employees of the Company Group members will not constitute “Good Reason”; (3) a material change in the geographic location of the Executive’s primary work facility or location by more than 50 miles from the Executive’s then present location; provided, that a relocation to a location that is within 50 miles from the Executive’s then-present primary residence will not be considered a material change in geographic location, or (4) failure of a successor corporation to assume the obligations under this Agreement as contemplated by Section 8(a); </w:t>
      </w:r>
      <w:r>
        <w:rPr>
          <w:rFonts w:ascii="Times New Roman;sans-serif" w:hAnsi="Times New Roman;sans-serif"/>
          <w:b w:val="false"/>
          <w:color w:val="000000"/>
          <w:sz w:val="24"/>
          <w:u w:val="single"/>
        </w:rPr>
        <w:t>or</w:t>
      </w:r>
    </w:p>
    <w:p>
      <w:pPr>
        <w:pStyle w:val="TextBody"/>
        <w:bidi w:val="0"/>
        <w:spacing w:lineRule="auto" w:line="240" w:before="240" w:after="283"/>
        <w:ind w:left="0" w:right="0" w:firstLine="25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outside the Change in Control Period: (1) a reduction by a Company Group member in the Executive’s rate of annual base salary by more than 20%; provided, however, that, a reduction of annual base salary that also applies to substantially all other similarly situated employees of the Company Group members will not constitute “Good Reason”; (2) a material change in the geographic location of the Executive’s primary work facility or location by more than 50 miles from the Executive’s then present location; provided, that a relocation to a location that is within 50 miles from the Executive’s then-present primary residence will not be considered a material change in geographic location, or (3) failure of a successor corporation to assume the obligations under this Agreement as contemplated by Section 8(a).</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In order for the termination of the Executive’s employment with a Company Group member to be for Good Reason, the Executive must not terminate employment without first providing written notice to the Company of the acts or omissions constituting the grounds for “Good Reason” within 30 days of the initial existence of the grounds for “Good Reason” and a cure period of 30 days following the date of written notice (the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the grounds must not have been cured during that time, and the Executive must terminate the Executive’s employment within 30 days following the Cure Period.</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(l)</w:t>
      </w:r>
      <w:r>
        <w:rPr>
          <w:color w:val="000000"/>
        </w:rPr>
        <w:t>“</w:t>
      </w:r>
      <w:r>
        <w:rPr>
          <w:rFonts w:ascii="Times New Roman;sans-serif" w:hAnsi="Times New Roman;sans-serif"/>
          <w:b/>
          <w:color w:val="000000"/>
          <w:sz w:val="24"/>
        </w:rPr>
        <w:t>Qualified Termination</w:t>
      </w:r>
      <w:r>
        <w:rPr>
          <w:color w:val="000000"/>
        </w:rPr>
        <w:t xml:space="preserve">” </w:t>
      </w:r>
      <w:r>
        <w:rPr>
          <w:rFonts w:ascii="Times New Roman;sans-serif" w:hAnsi="Times New Roman;sans-serif"/>
          <w:b w:val="false"/>
          <w:color w:val="000000"/>
          <w:sz w:val="24"/>
        </w:rPr>
        <w:t>means a termination of the Executive’s employment either (i) by a Company Group member without Cause (excluding by reason of Executive’s death or Disability) or (ii) by the Executive for Good Reason, in either case, during the Change in Control Period (a “</w:t>
      </w:r>
      <w:r>
        <w:rPr>
          <w:rFonts w:ascii="Times New Roman;sans-serif" w:hAnsi="Times New Roman;sans-serif"/>
          <w:b/>
          <w:color w:val="000000"/>
          <w:sz w:val="24"/>
        </w:rPr>
        <w:t>CIC Qualified Termination</w:t>
      </w:r>
      <w:r>
        <w:rPr>
          <w:color w:val="000000"/>
        </w:rPr>
        <w:t>”</w:t>
      </w:r>
      <w:r>
        <w:rPr>
          <w:rFonts w:ascii="Times New Roman;sans-serif" w:hAnsi="Times New Roman;sans-serif"/>
          <w:b w:val="false"/>
          <w:color w:val="000000"/>
          <w:sz w:val="24"/>
        </w:rPr>
        <w:t>) or outside of the Change in Control Period (a “</w:t>
      </w:r>
      <w:r>
        <w:rPr>
          <w:rFonts w:ascii="Times New Roman;sans-serif" w:hAnsi="Times New Roman;sans-serif"/>
          <w:b/>
          <w:color w:val="000000"/>
          <w:sz w:val="24"/>
        </w:rPr>
        <w:t>Non-CIC Qualified Termination</w:t>
      </w:r>
      <w:r>
        <w:rPr>
          <w:color w:val="000000"/>
        </w:rPr>
        <w:t>”</w:t>
      </w:r>
      <w:r>
        <w:rPr>
          <w:rFonts w:ascii="Times New Roman;sans-serif" w:hAnsi="Times New Roman;sans-serif"/>
          <w:b w:val="false"/>
          <w:color w:val="000000"/>
          <w:sz w:val="24"/>
        </w:rPr>
        <w:t>).</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The Company’s Successors</w:t>
      </w:r>
      <w:r>
        <w:rPr>
          <w:rFonts w:ascii="Times New Roman;sans-serif" w:hAnsi="Times New Roman;sans-serif"/>
          <w:b w:val="false"/>
          <w:color w:val="000000"/>
          <w:sz w:val="24"/>
        </w:rPr>
        <w:t>. Any successor (whether direct or indirect and whether by purchase, merger, consolidation, liquidation or otherwise) to all or substantially all of the Company Group’s business and/or assets must assume the obligations under this Agreement and agree expressly to perform the obligations under this Agreement in the same manner and to the same extent as the Company would be required to perform those obligations in the absence of a succession. For all purposes under this Agreement, the terms “Company” and “Company Group” will include any successor to their business and/or assets which executes and delivers the assumption agreement described in this Section 8(a) or which becomes bound by the terms of this Agreement by operation of law.</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The Executive’s Successors</w:t>
      </w:r>
      <w:r>
        <w:rPr>
          <w:rFonts w:ascii="Times New Roman;sans-serif" w:hAnsi="Times New Roman;sans-serif"/>
          <w:b w:val="false"/>
          <w:color w:val="000000"/>
          <w:sz w:val="24"/>
        </w:rPr>
        <w:t>. The terms of this Agreement and all rights of the Executive under this Agreement will inure to the benefit of, and be enforceable by, the Executive’s personal or legal representatives, executors, administrators, successors, heirs, distributees, devisees, and legatees.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xml:space="preserve">.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General</w:t>
      </w:r>
      <w:r>
        <w:rPr>
          <w:rFonts w:ascii="Times New Roman;sans-serif" w:hAnsi="Times New Roman;sans-serif"/>
          <w:b w:val="false"/>
          <w:color w:val="000000"/>
          <w:sz w:val="24"/>
        </w:rPr>
        <w:t>. All notices and other communications required or permitted under this Agreement shall be in writing and will be effectively given (i) upon actual delivery to the party to be notified, (ii) upon transmission by e-mail, (iii) 24 hours after confirmed facsimile transmission, (iv) 1 business day after deposit with a recognized overnight courier or (v) 3 business days after deposit with the U.S. Postal Service by first class certified or registered mail, return receipt requested, postage prepaid, addressed (A) if to the Executive, at the address the Executive shall have most recently furnished to the Company in writing, (B) if to the Company, at the following address:</w:t>
      </w:r>
    </w:p>
    <w:p>
      <w:pPr>
        <w:pStyle w:val="TextBody"/>
        <w:bidi w:val="0"/>
        <w:spacing w:lineRule="auto" w:line="240" w:before="240" w:after="283"/>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Dropbox, Inc.</w:t>
      </w:r>
    </w:p>
    <w:p>
      <w:pPr>
        <w:pStyle w:val="TextBody"/>
        <w:bidi w:val="0"/>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1800 Owens Street</w:t>
      </w:r>
    </w:p>
    <w:p>
      <w:pPr>
        <w:pStyle w:val="TextBody"/>
        <w:bidi w:val="0"/>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Suite 200</w:t>
      </w:r>
    </w:p>
    <w:p>
      <w:pPr>
        <w:pStyle w:val="TextBody"/>
        <w:bidi w:val="0"/>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San Francisco, CA 94158</w:t>
      </w:r>
    </w:p>
    <w:p>
      <w:pPr>
        <w:pStyle w:val="TextBody"/>
        <w:bidi w:val="0"/>
        <w:spacing w:lineRule="auto" w:line="240" w:before="0" w:after="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Attention: Vice President Corporate Legal</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xml:space="preserve">. Any termination of Executive by a Company Group member for Cause will be communicated by a notice of termination to the Executive, and any termination by the Executive for Good Reason will be communicated by a notice of termination to the Company, in each case given in accordance with Section 9(a) of this Agreement. The notice will indicate the </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40"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specific termination provision in this Agreement relied upon, will set forth in reasonable detail the facts and circumstances claimed to provide a basis for termination under the provision so indicated, and will specify the termination date (which will be not more than 30 days after the later of (i) the giving of the notice or (ii) the end of any applicable cure period). </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Miscellaneous Provisions</w:t>
      </w:r>
      <w:r>
        <w:rPr>
          <w:rFonts w:ascii="Times New Roman;sans-serif" w:hAnsi="Times New Roman;sans-serif"/>
          <w:b w:val="false"/>
          <w:color w:val="000000"/>
          <w:sz w:val="24"/>
        </w:rPr>
        <w: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Resignation</w:t>
      </w:r>
      <w:r>
        <w:rPr>
          <w:rFonts w:ascii="Times New Roman;sans-serif" w:hAnsi="Times New Roman;sans-serif"/>
          <w:b w:val="false"/>
          <w:color w:val="000000"/>
          <w:sz w:val="24"/>
        </w:rPr>
        <w:t>. The termination of the Executive’s employment for any reason will also constitute, without any further required action by the Executive, the Executive’s voluntary resignation from all officer and/or director positions held at any member of the Company Group, and at the Board’s request, the Executive will execute any documents reasonably necessary to reflect that resignation.</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No Duty to Mitigate</w:t>
      </w:r>
      <w:r>
        <w:rPr>
          <w:rFonts w:ascii="Times New Roman;sans-serif" w:hAnsi="Times New Roman;sans-serif"/>
          <w:b w:val="false"/>
          <w:color w:val="000000"/>
          <w:sz w:val="24"/>
        </w:rPr>
        <w:t>. The Executive will not be required to mitigate the amount of any payment contemplated by this Agreement, nor will any payment be reduced by any earnings that the Executive may receive from any other source except as specified in Section 3(e).</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Waiver; Amendment</w:t>
      </w:r>
      <w:r>
        <w:rPr>
          <w:rFonts w:ascii="Times New Roman;sans-serif" w:hAnsi="Times New Roman;sans-serif"/>
          <w:b w:val="false"/>
          <w:color w:val="000000"/>
          <w:sz w:val="24"/>
        </w:rPr>
        <w:t>. No provision of this Agreement will be modified, waived or discharged unless the modification, waiver or discharge is agreed to in writing and signed by an authorized officer of the Company (other than the Executive) and by the Executive. No waiver by either party of any breach of, or of compliance with, any condition or provision of this Agreement by the other party will be considered a waiver of any other condition or provision or of the same condition or provision at another time.</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Headings</w:t>
      </w:r>
      <w:r>
        <w:rPr>
          <w:rFonts w:ascii="Times New Roman;sans-serif" w:hAnsi="Times New Roman;sans-serif"/>
          <w:b w:val="false"/>
          <w:color w:val="000000"/>
          <w:sz w:val="24"/>
        </w:rPr>
        <w:t>. All captions and section headings used in this Agreement are for convenient reference only and do not form a part of this Agreement.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Agreement, together with the Employment Letter,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for the avoidance of doubt, any other employment letter or agreement, severance policy or program, or equity award agreement. </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(f)</w:t>
      </w:r>
      <w:r>
        <w:rPr>
          <w:rFonts w:ascii="Times New Roman;sans-serif" w:hAnsi="Times New Roman;sans-serif"/>
          <w:b w:val="false"/>
          <w:color w:val="000000"/>
          <w:sz w:val="24"/>
          <w:u w:val="single"/>
        </w:rPr>
        <w:t>Choice of Law</w:t>
      </w:r>
      <w:r>
        <w:rPr>
          <w:rFonts w:ascii="Times New Roman;sans-serif" w:hAnsi="Times New Roman;sans-serif"/>
          <w:b w:val="false"/>
          <w:color w:val="000000"/>
          <w:sz w:val="24"/>
        </w:rPr>
        <w:t>. This Agreement will be governed by the laws of the State of California without regard to California’s conflicts of law rules that may result in the application of the laws of any jurisdiction other than California. To the extent that any lawsuit is permitted under this Agreement, Employee hereby expressly consents to the personal and exclusive jurisdiction and venue of the state and federal courts located in California for any lawsuit filed against the Executive by the Company.</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(g)</w:t>
      </w:r>
      <w:r>
        <w:rPr>
          <w:rFonts w:ascii="Times New Roman;sans-serif" w:hAnsi="Times New Roman;sans-serif"/>
          <w:b w:val="false"/>
          <w:color w:val="000000"/>
          <w:sz w:val="24"/>
          <w:u w:val="single"/>
        </w:rPr>
        <w:t>Arbitration</w:t>
      </w:r>
      <w:r>
        <w:rPr>
          <w:rFonts w:ascii="Times New Roman;sans-serif" w:hAnsi="Times New Roman;sans-serif"/>
          <w:b w:val="false"/>
          <w:color w:val="000000"/>
          <w:sz w:val="24"/>
        </w:rPr>
        <w:t>. Any and all controversies, claims, or disputes with anyone under this Agreement (including the Company and any employee, officer, director, stockholder or benefit plan of the Company in their capacity as such or otherwise) arising out of, relating to, or resulting from Executive’s employment with the Company Group, shall be subject to arbitration in accordance with the provisions of the Employment Letter.</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(h)</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or provisions of this Agreement will not affect the validity or enforceability of any other provision of this Agreement, which will remain in full force and effect.</w:t>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Withholding</w:t>
      </w:r>
      <w:r>
        <w:rPr>
          <w:rFonts w:ascii="Times New Roman;sans-serif" w:hAnsi="Times New Roman;sans-serif"/>
          <w:b w:val="false"/>
          <w:color w:val="000000"/>
          <w:sz w:val="24"/>
        </w:rPr>
        <w:t>. All payments and benefits under this Agreement will be paid less applicable withholding taxes. The Company is authorized to withhold from any payments or benefits all federal, state, local, and/or foreign taxes required to be withheld from the payments or benefits and make any other required payroll deductions. No member of the Company Group will pay the Executive’s taxes arising from or relating to any payments or benefits under this Agreement.</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(j)</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counterparts, each of which will be deemed an original, but all of which together will constitute one and the same instrument.</w:t>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follows.]</w:t>
      </w:r>
    </w:p>
    <w:p>
      <w:pPr>
        <w:pStyle w:val="TextBody"/>
        <w:bidi w:val="0"/>
        <w:spacing w:before="0" w:after="283"/>
        <w:jc w:val="left"/>
        <w:rPr/>
      </w:pPr>
      <w:r>
        <w:rPr/>
      </w:r>
    </w:p>
    <w:p>
      <w:pPr>
        <w:pStyle w:val="TextBody"/>
        <w:bidi w:val="0"/>
        <w:spacing w:before="240" w:after="283"/>
        <w:ind w:left="0" w:right="0" w:firstLine="72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By its signature below, each of the parties signifies its acceptance of the terms of this Agreement, in the case of the Company by its duly authorized officer.</w:t>
      </w:r>
    </w:p>
    <w:p>
      <w:pPr>
        <w:pStyle w:val="TextBody"/>
        <w:bidi w:val="0"/>
        <w:spacing w:before="240" w:after="283"/>
        <w:ind w:left="0" w:right="0" w:firstLine="720"/>
        <w:jc w:val="both"/>
        <w:rPr/>
      </w:pPr>
      <w:r>
        <w:rPr/>
      </w:r>
    </w:p>
    <w:p>
      <w:pPr>
        <w:pStyle w:val="TextBody"/>
        <w:bidi w:val="0"/>
        <w:spacing w:lineRule="auto" w:line="240" w:before="240" w:after="283"/>
        <w:jc w:val="both"/>
        <w:rPr/>
      </w:pPr>
      <w:r>
        <w:rPr>
          <w:rFonts w:ascii="Times New Roman;sans-serif" w:hAnsi="Times New Roman;sans-serif"/>
          <w:b/>
          <w:color w:val="000000"/>
          <w:sz w:val="24"/>
        </w:rPr>
        <w:t>COMPANY</w:t>
      </w:r>
      <w:r>
        <w:rPr>
          <w:color w:val="000000"/>
        </w:rPr>
        <w:t>        </w:t>
      </w:r>
      <w:r>
        <w:rPr>
          <w:rFonts w:ascii="Times New Roman;sans-serif" w:hAnsi="Times New Roman;sans-serif"/>
          <w:b w:val="false"/>
          <w:color w:val="000000"/>
          <w:sz w:val="24"/>
        </w:rPr>
        <w:t>DROPBOX, INC.</w:t>
      </w:r>
    </w:p>
    <w:p>
      <w:pPr>
        <w:pStyle w:val="TextBody"/>
        <w:bidi w:val="0"/>
        <w:spacing w:lineRule="auto" w:line="240" w:before="240" w:after="283"/>
        <w:jc w:val="right"/>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__________________________________</w:t>
      </w:r>
    </w:p>
    <w:p>
      <w:pPr>
        <w:pStyle w:val="TextBody"/>
        <w:bidi w:val="0"/>
        <w:spacing w:lineRule="auto" w:line="240" w:before="240" w:after="283"/>
        <w:jc w:val="right"/>
        <w:rPr/>
      </w:pP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________________________________</w:t>
      </w:r>
    </w:p>
    <w:p>
      <w:pPr>
        <w:pStyle w:val="TextBody"/>
        <w:bidi w:val="0"/>
        <w:spacing w:lineRule="auto" w:line="240" w:before="240" w:after="283"/>
        <w:jc w:val="righ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________________________________</w:t>
      </w:r>
    </w:p>
    <w:p>
      <w:pPr>
        <w:pStyle w:val="TextBody"/>
        <w:bidi w:val="0"/>
        <w:spacing w:before="240" w:after="283"/>
        <w:jc w:val="both"/>
        <w:rPr/>
      </w:pPr>
      <w:r>
        <w:rPr/>
      </w:r>
    </w:p>
    <w:p>
      <w:pPr>
        <w:pStyle w:val="TextBody"/>
        <w:bidi w:val="0"/>
        <w:spacing w:lineRule="auto" w:line="240" w:before="240" w:after="283"/>
        <w:jc w:val="left"/>
        <w:rPr>
          <w:rFonts w:ascii="Times New Roman;sans-serif" w:hAnsi="Times New Roman;sans-serif"/>
          <w:b/>
          <w:color w:val="000000"/>
          <w:sz w:val="24"/>
        </w:rPr>
      </w:pPr>
      <w:r>
        <w:rPr>
          <w:rFonts w:ascii="Times New Roman;sans-serif" w:hAnsi="Times New Roman;sans-serif"/>
          <w:b/>
          <w:color w:val="000000"/>
          <w:sz w:val="24"/>
        </w:rPr>
        <w:t>EXECUTIVE        </w:t>
      </w:r>
    </w:p>
    <w:p>
      <w:pPr>
        <w:pStyle w:val="TextBody"/>
        <w:bidi w:val="0"/>
        <w:spacing w:lineRule="auto" w:line="240" w:before="0" w:after="0"/>
        <w:jc w:val="left"/>
        <w:rPr/>
      </w:pPr>
      <w:r>
        <w:rPr>
          <w:rFonts w:ascii="Times New Roman;sans-serif" w:hAnsi="Times New Roman;sans-serif"/>
          <w:b w:val="false"/>
          <w:color w:val="000000"/>
          <w:sz w:val="24"/>
        </w:rPr>
        <w:t>Name:</w:t>
      </w:r>
      <w:r>
        <w:rPr>
          <w:rFonts w:ascii="Times New Roman;sans-serif" w:hAnsi="Times New Roman;sans-serif"/>
          <w:b w:val="false"/>
          <w:color w:val="000000"/>
          <w:sz w:val="24"/>
          <w:u w:val="single"/>
        </w:rPr>
        <w:t>________________________________</w:t>
      </w:r>
    </w:p>
    <w:p>
      <w:pPr>
        <w:pStyle w:val="TextBody"/>
        <w:bidi w:val="0"/>
        <w:spacing w:lineRule="auto" w:line="240" w:before="240" w:after="283"/>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________________________________    </w:t>
      </w:r>
    </w:p>
    <w:p>
      <w:pPr>
        <w:pStyle w:val="TextBody"/>
        <w:bidi w:val="0"/>
        <w:spacing w:before="0" w:after="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before="240" w:after="283"/>
        <w:ind w:left="0" w:right="0" w:firstLine="720"/>
        <w:jc w:val="both"/>
        <w:rPr/>
      </w:pPr>
      <w:r>
        <w:rPr/>
      </w:r>
    </w:p>
    <w:p>
      <w:pPr>
        <w:pStyle w:val="TextBody"/>
        <w:bidi w:val="0"/>
        <w:spacing w:lineRule="auto" w:line="240" w:before="24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Change in Control and Severance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40" w:before="61" w:after="283"/>
        <w:jc w:val="right"/>
        <w:rPr>
          <w:color w:val="000000"/>
        </w:rPr>
      </w:pPr>
      <w:r>
        <w:rPr>
          <w:color w:val="000000"/>
        </w:rPr>
        <w:t>        </w:t>
      </w:r>
      <w:r>
        <w:rPr>
          <w:rFonts w:ascii="Times New Roman;sans-serif" w:hAnsi="Times New Roman;sans-serif"/>
          <w:b/>
          <w:color w:val="000000"/>
          <w:sz w:val="22"/>
        </w:rPr>
        <w:t>Exhibit 10.24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ELEVENTH AMENDMENT TO OFFICE LEASE</w:t>
      </w:r>
    </w:p>
    <w:p>
      <w:pPr>
        <w:pStyle w:val="TextBody"/>
        <w:bidi w:val="0"/>
        <w:spacing w:before="203" w:after="283"/>
        <w:jc w:val="left"/>
        <w:rPr/>
      </w:pPr>
      <w:r>
        <w:rPr/>
      </w:r>
    </w:p>
    <w:p>
      <w:pPr>
        <w:pStyle w:val="TextBody"/>
        <w:bidi w:val="0"/>
        <w:spacing w:lineRule="auto" w:line="276" w:before="1" w:after="283"/>
        <w:jc w:val="left"/>
        <w:rPr/>
      </w:pPr>
      <w:r>
        <w:rPr>
          <w:rFonts w:ascii="Times New Roman;sans-serif" w:hAnsi="Times New Roman;sans-serif"/>
          <w:b/>
          <w:color w:val="000000"/>
          <w:sz w:val="24"/>
        </w:rPr>
        <w:t>THIS    ELEVENTH    AMENDMENT    TO    OFFICE    LEASE    </w:t>
      </w:r>
      <w:r>
        <w:rPr>
          <w:rFonts w:ascii="Times New Roman;sans-serif" w:hAnsi="Times New Roman;sans-serif"/>
          <w:b w:val="false"/>
          <w:color w:val="000000"/>
          <w:sz w:val="24"/>
        </w:rPr>
        <w:t>(this    “</w:t>
      </w:r>
      <w:r>
        <w:rPr>
          <w:rFonts w:ascii="Times New Roman;sans-serif" w:hAnsi="Times New Roman;sans-serif"/>
          <w:b/>
          <w:color w:val="000000"/>
          <w:sz w:val="24"/>
        </w:rPr>
        <w:t>Eleventh</w:t>
      </w:r>
    </w:p>
    <w:p>
      <w:pPr>
        <w:pStyle w:val="TextBody"/>
        <w:bidi w:val="0"/>
        <w:spacing w:lineRule="auto" w:line="280" w:before="0" w:after="0"/>
        <w:jc w:val="both"/>
        <w:rPr/>
      </w:pPr>
      <w:r>
        <w:rPr>
          <w:rFonts w:ascii="Times New Roman;sans-serif" w:hAnsi="Times New Roman;sans-serif"/>
          <w:b/>
          <w:color w:val="000000"/>
          <w:sz w:val="24"/>
        </w:rPr>
        <w:t>Amendment</w:t>
      </w:r>
      <w:r>
        <w:rPr>
          <w:color w:val="000000"/>
        </w:rPr>
        <w:t>”</w:t>
      </w:r>
      <w:r>
        <w:rPr>
          <w:rFonts w:ascii="Times New Roman;sans-serif" w:hAnsi="Times New Roman;sans-serif"/>
          <w:b w:val="false"/>
          <w:color w:val="000000"/>
          <w:sz w:val="24"/>
        </w:rPr>
        <w:t>) is made and entered into as of October 1, 2023 (“</w:t>
      </w:r>
      <w:r>
        <w:rPr>
          <w:rFonts w:ascii="Times New Roman;sans-serif" w:hAnsi="Times New Roman;sans-serif"/>
          <w:b/>
          <w:color w:val="000000"/>
          <w:sz w:val="24"/>
        </w:rPr>
        <w:t>Eleventh Amendment Effective Date</w:t>
      </w:r>
      <w:r>
        <w:rPr>
          <w:color w:val="000000"/>
        </w:rPr>
        <w:t>”</w:t>
      </w:r>
      <w:r>
        <w:rPr>
          <w:rFonts w:ascii="Times New Roman;sans-serif" w:hAnsi="Times New Roman;sans-serif"/>
          <w:b w:val="false"/>
          <w:color w:val="000000"/>
          <w:sz w:val="24"/>
        </w:rPr>
        <w:t xml:space="preserve">), by and between </w:t>
      </w:r>
      <w:r>
        <w:rPr>
          <w:rFonts w:ascii="Times New Roman;sans-serif" w:hAnsi="Times New Roman;sans-serif"/>
          <w:b/>
          <w:color w:val="000000"/>
          <w:sz w:val="24"/>
        </w:rPr>
        <w:t>KRE EXCHANGE OWNER LLC</w:t>
      </w:r>
      <w:r>
        <w:rPr>
          <w:rFonts w:ascii="Times New Roman;sans-serif" w:hAnsi="Times New Roman;sans-serif"/>
          <w:b w:val="false"/>
          <w:color w:val="000000"/>
          <w:sz w:val="24"/>
        </w:rPr>
        <w:t>, a Delaware limited liability company (“</w:t>
      </w:r>
      <w:r>
        <w:rPr>
          <w:rFonts w:ascii="Times New Roman;sans-serif" w:hAnsi="Times New Roman;sans-serif"/>
          <w:b/>
          <w:color w:val="000000"/>
          <w:sz w:val="24"/>
        </w:rPr>
        <w:t>Landlord</w:t>
      </w:r>
      <w:r>
        <w:rPr>
          <w:color w:val="000000"/>
        </w:rPr>
        <w:t>”</w:t>
      </w:r>
      <w:r>
        <w:rPr>
          <w:rFonts w:ascii="Times New Roman;sans-serif" w:hAnsi="Times New Roman;sans-serif"/>
          <w:b w:val="false"/>
          <w:color w:val="000000"/>
          <w:sz w:val="24"/>
        </w:rPr>
        <w:t xml:space="preserve">), and </w:t>
      </w:r>
      <w:r>
        <w:rPr>
          <w:rFonts w:ascii="Times New Roman;sans-serif" w:hAnsi="Times New Roman;sans-serif"/>
          <w:b/>
          <w:color w:val="000000"/>
          <w:sz w:val="24"/>
        </w:rPr>
        <w:t>DROPBOX, INC.</w:t>
      </w:r>
      <w:r>
        <w:rPr>
          <w:rFonts w:ascii="Times New Roman;sans-serif" w:hAnsi="Times New Roman;sans-serif"/>
          <w:b w:val="false"/>
          <w:color w:val="000000"/>
          <w:sz w:val="24"/>
        </w:rPr>
        <w:t>, a Delaware corporation (“</w:t>
      </w:r>
      <w:r>
        <w:rPr>
          <w:rFonts w:ascii="Times New Roman;sans-serif" w:hAnsi="Times New Roman;sans-serif"/>
          <w:b/>
          <w:color w:val="000000"/>
          <w:sz w:val="24"/>
        </w:rPr>
        <w:t>Tenant</w:t>
      </w:r>
      <w:r>
        <w:rPr>
          <w:color w:val="000000"/>
        </w:rPr>
        <w:t>”</w:t>
      </w:r>
      <w:r>
        <w:rPr>
          <w:rFonts w:ascii="Times New Roman;sans-serif" w:hAnsi="Times New Roman;sans-serif"/>
          <w:b w:val="false"/>
          <w:color w:val="000000"/>
          <w:sz w:val="24"/>
        </w:rPr>
        <w:t>).</w:t>
      </w:r>
    </w:p>
    <w:p>
      <w:pPr>
        <w:pStyle w:val="TextBody"/>
        <w:bidi w:val="0"/>
        <w:spacing w:lineRule="auto" w:line="240" w:before="233" w:after="283"/>
        <w:jc w:val="center"/>
        <w:rPr>
          <w:rFonts w:ascii="Times New Roman;sans-serif" w:hAnsi="Times New Roman;sans-serif"/>
          <w:b/>
          <w:color w:val="000000"/>
          <w:sz w:val="24"/>
        </w:rPr>
      </w:pPr>
      <w:r>
        <w:rPr>
          <w:rFonts w:ascii="Times New Roman;sans-serif" w:hAnsi="Times New Roman;sans-serif"/>
          <w:b/>
          <w:color w:val="000000"/>
          <w:sz w:val="24"/>
        </w:rPr>
        <w:t>RECITALS</w:t>
      </w:r>
    </w:p>
    <w:p>
      <w:pPr>
        <w:pStyle w:val="TextBody"/>
        <w:bidi w:val="0"/>
        <w:spacing w:lineRule="auto" w:line="240" w:before="240" w:after="283"/>
        <w:ind w:left="0" w:right="0" w:firstLine="720"/>
        <w:jc w:val="both"/>
        <w:rPr/>
      </w:pPr>
      <w:r>
        <w:rPr>
          <w:rFonts w:ascii="Times New Roman;sans-serif" w:hAnsi="Times New Roman;sans-serif"/>
          <w:b w:val="false"/>
          <w:color w:val="000000"/>
          <w:sz w:val="24"/>
        </w:rPr>
        <w:t>A.Landlord (as successor by assignment from KR Mission Bay, LLC, a Delaware limited liability company) and Tenant are parties to that certain Office Lease dated as of October 6, 2017 (the “</w:t>
      </w:r>
      <w:r>
        <w:rPr>
          <w:rFonts w:ascii="Times New Roman;sans-serif" w:hAnsi="Times New Roman;sans-serif"/>
          <w:b/>
          <w:color w:val="000000"/>
          <w:sz w:val="24"/>
        </w:rPr>
        <w:t>Original Lease</w:t>
      </w:r>
      <w:r>
        <w:rPr>
          <w:color w:val="000000"/>
        </w:rPr>
        <w:t>”</w:t>
      </w:r>
      <w:r>
        <w:rPr>
          <w:rFonts w:ascii="Times New Roman;sans-serif" w:hAnsi="Times New Roman;sans-serif"/>
          <w:b w:val="false"/>
          <w:color w:val="000000"/>
          <w:sz w:val="24"/>
        </w:rPr>
        <w:t>), as amended by that certain (i) First Amendment to Office Lease dated May 18, 2018 (the “</w:t>
      </w:r>
      <w:r>
        <w:rPr>
          <w:rFonts w:ascii="Times New Roman;sans-serif" w:hAnsi="Times New Roman;sans-serif"/>
          <w:b/>
          <w:color w:val="000000"/>
          <w:sz w:val="24"/>
        </w:rPr>
        <w:t>First Amendment</w:t>
      </w:r>
      <w:r>
        <w:rPr>
          <w:color w:val="000000"/>
        </w:rPr>
        <w:t>”</w:t>
      </w:r>
      <w:r>
        <w:rPr>
          <w:rFonts w:ascii="Times New Roman;sans-serif" w:hAnsi="Times New Roman;sans-serif"/>
          <w:b w:val="false"/>
          <w:color w:val="000000"/>
          <w:sz w:val="24"/>
        </w:rPr>
        <w:t>), (ii) Second Amendment to Office Lease dated May 25, 2018 (the “</w:t>
      </w:r>
      <w:r>
        <w:rPr>
          <w:rFonts w:ascii="Times New Roman;sans-serif" w:hAnsi="Times New Roman;sans-serif"/>
          <w:b/>
          <w:color w:val="000000"/>
          <w:sz w:val="24"/>
        </w:rPr>
        <w:t>Second Amendment</w:t>
      </w:r>
      <w:r>
        <w:rPr>
          <w:color w:val="000000"/>
        </w:rPr>
        <w:t>”</w:t>
      </w:r>
      <w:r>
        <w:rPr>
          <w:rFonts w:ascii="Times New Roman;sans-serif" w:hAnsi="Times New Roman;sans-serif"/>
          <w:b w:val="false"/>
          <w:color w:val="000000"/>
          <w:sz w:val="24"/>
        </w:rPr>
        <w:t>), (iii) Third Amendment to Office Lease dated September 19, 2018 (the “</w:t>
      </w:r>
      <w:r>
        <w:rPr>
          <w:rFonts w:ascii="Times New Roman;sans-serif" w:hAnsi="Times New Roman;sans-serif"/>
          <w:b/>
          <w:color w:val="000000"/>
          <w:sz w:val="24"/>
        </w:rPr>
        <w:t>Third Amendment</w:t>
      </w:r>
      <w:r>
        <w:rPr>
          <w:color w:val="000000"/>
        </w:rPr>
        <w:t>”</w:t>
      </w:r>
      <w:r>
        <w:rPr>
          <w:rFonts w:ascii="Times New Roman;sans-serif" w:hAnsi="Times New Roman;sans-serif"/>
          <w:b w:val="false"/>
          <w:color w:val="000000"/>
          <w:sz w:val="24"/>
        </w:rPr>
        <w:t>), (iv) Fourth Amendment to Office Lease dated November 9, 2018 (the “</w:t>
      </w:r>
      <w:r>
        <w:rPr>
          <w:rFonts w:ascii="Times New Roman;sans-serif" w:hAnsi="Times New Roman;sans-serif"/>
          <w:b/>
          <w:color w:val="000000"/>
          <w:sz w:val="24"/>
        </w:rPr>
        <w:t>Fourth Amendment</w:t>
      </w:r>
      <w:r>
        <w:rPr>
          <w:color w:val="000000"/>
        </w:rPr>
        <w:t>”</w:t>
      </w:r>
      <w:r>
        <w:rPr>
          <w:rFonts w:ascii="Times New Roman;sans-serif" w:hAnsi="Times New Roman;sans-serif"/>
          <w:b w:val="false"/>
          <w:color w:val="000000"/>
          <w:sz w:val="24"/>
        </w:rPr>
        <w:t>), (v) Fifth Amendment to Office Lease dated April 25, 2019 (the “</w:t>
      </w:r>
      <w:r>
        <w:rPr>
          <w:rFonts w:ascii="Times New Roman;sans-serif" w:hAnsi="Times New Roman;sans-serif"/>
          <w:b/>
          <w:color w:val="000000"/>
          <w:sz w:val="24"/>
        </w:rPr>
        <w:t>Fifth Amendment</w:t>
      </w:r>
      <w:r>
        <w:rPr>
          <w:color w:val="000000"/>
        </w:rPr>
        <w:t>”</w:t>
      </w:r>
      <w:r>
        <w:rPr>
          <w:rFonts w:ascii="Times New Roman;sans-serif" w:hAnsi="Times New Roman;sans-serif"/>
          <w:b w:val="false"/>
          <w:color w:val="000000"/>
          <w:sz w:val="24"/>
        </w:rPr>
        <w:t>), (vi) Sixth Amendment to Office Lease dated August 16, 2019 (the “</w:t>
      </w:r>
      <w:r>
        <w:rPr>
          <w:rFonts w:ascii="Times New Roman;sans-serif" w:hAnsi="Times New Roman;sans-serif"/>
          <w:b/>
          <w:color w:val="000000"/>
          <w:sz w:val="24"/>
        </w:rPr>
        <w:t>Sixth Amendment</w:t>
      </w:r>
      <w:r>
        <w:rPr>
          <w:color w:val="000000"/>
        </w:rPr>
        <w:t>”</w:t>
      </w:r>
      <w:r>
        <w:rPr>
          <w:rFonts w:ascii="Times New Roman;sans-serif" w:hAnsi="Times New Roman;sans-serif"/>
          <w:b w:val="false"/>
          <w:color w:val="000000"/>
          <w:sz w:val="24"/>
        </w:rPr>
        <w:t>), (vii) Seventh Amendment to Office Lease dated August 25, 2020 (the “</w:t>
      </w:r>
      <w:r>
        <w:rPr>
          <w:rFonts w:ascii="Times New Roman;sans-serif" w:hAnsi="Times New Roman;sans-serif"/>
          <w:b/>
          <w:color w:val="000000"/>
          <w:sz w:val="24"/>
        </w:rPr>
        <w:t>Seventh Amendment</w:t>
      </w:r>
      <w:r>
        <w:rPr>
          <w:color w:val="000000"/>
        </w:rPr>
        <w:t>”</w:t>
      </w:r>
      <w:r>
        <w:rPr>
          <w:rFonts w:ascii="Times New Roman;sans-serif" w:hAnsi="Times New Roman;sans-serif"/>
          <w:b w:val="false"/>
          <w:color w:val="000000"/>
          <w:sz w:val="24"/>
        </w:rPr>
        <w:t>), (viii) Eighth Amendment to Office Lease dated as of November 1, 2020 (the “</w:t>
      </w:r>
      <w:r>
        <w:rPr>
          <w:rFonts w:ascii="Times New Roman;sans-serif" w:hAnsi="Times New Roman;sans-serif"/>
          <w:b/>
          <w:color w:val="000000"/>
          <w:sz w:val="24"/>
        </w:rPr>
        <w:t>Eighth Amendment</w:t>
      </w:r>
      <w:r>
        <w:rPr>
          <w:color w:val="000000"/>
        </w:rPr>
        <w:t>”</w:t>
      </w:r>
      <w:r>
        <w:rPr>
          <w:rFonts w:ascii="Times New Roman;sans-serif" w:hAnsi="Times New Roman;sans-serif"/>
          <w:b w:val="false"/>
          <w:color w:val="000000"/>
          <w:sz w:val="24"/>
        </w:rPr>
        <w:t>), (ix) Ninth Amendment to Office Lease dated as of May 17, 2022 (the “</w:t>
      </w:r>
      <w:r>
        <w:rPr>
          <w:rFonts w:ascii="Times New Roman;sans-serif" w:hAnsi="Times New Roman;sans-serif"/>
          <w:b/>
          <w:color w:val="000000"/>
          <w:sz w:val="24"/>
        </w:rPr>
        <w:t>Ninth Amendment</w:t>
      </w:r>
      <w:r>
        <w:rPr>
          <w:color w:val="000000"/>
        </w:rPr>
        <w:t>”</w:t>
      </w:r>
      <w:r>
        <w:rPr>
          <w:rFonts w:ascii="Times New Roman;sans-serif" w:hAnsi="Times New Roman;sans-serif"/>
          <w:b w:val="false"/>
          <w:color w:val="000000"/>
          <w:sz w:val="24"/>
        </w:rPr>
        <w:t>), and (x) Tenth Amendment to Office Lease dated as of October 3, 2022 (the “</w:t>
      </w:r>
      <w:r>
        <w:rPr>
          <w:rFonts w:ascii="Times New Roman;sans-serif" w:hAnsi="Times New Roman;sans-serif"/>
          <w:b/>
          <w:color w:val="000000"/>
          <w:sz w:val="24"/>
        </w:rPr>
        <w:t>Tenth Amendment</w:t>
      </w:r>
      <w:r>
        <w:rPr>
          <w:color w:val="000000"/>
        </w:rPr>
        <w:t>”</w:t>
      </w:r>
      <w:r>
        <w:rPr>
          <w:rFonts w:ascii="Times New Roman;sans-serif" w:hAnsi="Times New Roman;sans-serif"/>
          <w:b w:val="false"/>
          <w:color w:val="000000"/>
          <w:sz w:val="24"/>
        </w:rPr>
        <w:t>, together with the Original Lease, as amended by all the foregoing amendments, the “</w:t>
      </w:r>
      <w:r>
        <w:rPr>
          <w:rFonts w:ascii="Times New Roman;sans-serif" w:hAnsi="Times New Roman;sans-serif"/>
          <w:b/>
          <w:color w:val="000000"/>
          <w:sz w:val="24"/>
        </w:rPr>
        <w:t>Existing Lease</w:t>
      </w:r>
      <w:r>
        <w:rPr>
          <w:color w:val="000000"/>
        </w:rPr>
        <w:t>”</w:t>
      </w:r>
      <w:r>
        <w:rPr>
          <w:rFonts w:ascii="Times New Roman;sans-serif" w:hAnsi="Times New Roman;sans-serif"/>
          <w:b w:val="false"/>
          <w:color w:val="000000"/>
          <w:sz w:val="24"/>
        </w:rPr>
        <w:t>) for certain space (the “</w:t>
      </w:r>
      <w:r>
        <w:rPr>
          <w:rFonts w:ascii="Times New Roman;sans-serif" w:hAnsi="Times New Roman;sans-serif"/>
          <w:b/>
          <w:color w:val="000000"/>
          <w:sz w:val="24"/>
        </w:rPr>
        <w:t>Existing Premises</w:t>
      </w:r>
      <w:r>
        <w:rPr>
          <w:color w:val="000000"/>
        </w:rPr>
        <w:t>”</w:t>
      </w:r>
      <w:r>
        <w:rPr>
          <w:rFonts w:ascii="Times New Roman;sans-serif" w:hAnsi="Times New Roman;sans-serif"/>
          <w:b w:val="false"/>
          <w:color w:val="000000"/>
          <w:sz w:val="24"/>
        </w:rPr>
        <w:t>), consisting of approximately 604,185 rentable square feet (“</w:t>
      </w:r>
      <w:r>
        <w:rPr>
          <w:rFonts w:ascii="Times New Roman;sans-serif" w:hAnsi="Times New Roman;sans-serif"/>
          <w:b/>
          <w:color w:val="000000"/>
          <w:sz w:val="24"/>
        </w:rPr>
        <w:t>RSF</w:t>
      </w:r>
      <w:r>
        <w:rPr>
          <w:color w:val="000000"/>
        </w:rPr>
        <w:t>”</w:t>
      </w:r>
      <w:r>
        <w:rPr>
          <w:rFonts w:ascii="Times New Roman;sans-serif" w:hAnsi="Times New Roman;sans-serif"/>
          <w:b w:val="false"/>
          <w:color w:val="000000"/>
          <w:sz w:val="24"/>
        </w:rPr>
        <w:t>) of that certain project commonly known as “The Exchange” and more particularly described in the Original Lease (the “</w:t>
      </w:r>
      <w:r>
        <w:rPr>
          <w:rFonts w:ascii="Times New Roman;sans-serif" w:hAnsi="Times New Roman;sans-serif"/>
          <w:b/>
          <w:color w:val="000000"/>
          <w:sz w:val="24"/>
        </w:rPr>
        <w:t>Project</w:t>
      </w:r>
      <w:r>
        <w:rPr>
          <w:color w:val="000000"/>
        </w:rPr>
        <w:t>”</w:t>
      </w:r>
      <w:r>
        <w:rPr>
          <w:rFonts w:ascii="Times New Roman;sans-serif" w:hAnsi="Times New Roman;sans-serif"/>
          <w:b w:val="false"/>
          <w:color w:val="000000"/>
          <w:sz w:val="24"/>
        </w:rPr>
        <w:t>).</w:t>
      </w:r>
    </w:p>
    <w:p>
      <w:pPr>
        <w:pStyle w:val="TextBody"/>
        <w:bidi w:val="0"/>
        <w:spacing w:lineRule="auto" w:line="280"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B.Tenant and Landlord now desire to amend the Existing Lease to, among other things, permit Tenant to give back certain portions of the Existing Premises, on the terms and conditions contained herein.</w:t>
      </w:r>
    </w:p>
    <w:p>
      <w:pPr>
        <w:pStyle w:val="TextBody"/>
        <w:bidi w:val="0"/>
        <w:spacing w:lineRule="auto" w:line="240" w:before="234" w:after="283"/>
        <w:ind w:left="0" w:right="0" w:firstLine="720"/>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in consideration of the mutual covenants contained herein, and for other good and valuable consideration, the receipt and sufficiency of which are hereby acknowledged, Landlord and Tenant agree that the Existing Lease is amended as follows:</w:t>
      </w:r>
    </w:p>
    <w:p>
      <w:pPr>
        <w:pStyle w:val="TextBody"/>
        <w:bidi w:val="0"/>
        <w:spacing w:lineRule="auto" w:line="280" w:before="238" w:after="283"/>
        <w:ind w:left="0" w:right="0" w:firstLine="720"/>
        <w:jc w:val="both"/>
        <w:rPr/>
      </w:pPr>
      <w:r>
        <w:rPr>
          <w:rFonts w:ascii="Times New Roman;sans-serif" w:hAnsi="Times New Roman;sans-serif"/>
          <w:b/>
          <w:color w:val="000000"/>
          <w:sz w:val="24"/>
        </w:rPr>
        <w:t>1.</w:t>
      </w:r>
      <w:r>
        <w:rPr>
          <w:rFonts w:ascii="Times New Roman;sans-serif" w:hAnsi="Times New Roman;sans-serif"/>
          <w:b/>
          <w:color w:val="000000"/>
          <w:sz w:val="24"/>
          <w:u w:val="single"/>
        </w:rPr>
        <w:t>D</w:t>
      </w:r>
      <w:r>
        <w:rPr>
          <w:rFonts w:ascii="Times New Roman;sans-serif" w:hAnsi="Times New Roman;sans-serif"/>
          <w:b/>
          <w:color w:val="000000"/>
          <w:sz w:val="19"/>
          <w:u w:val="single"/>
        </w:rPr>
        <w:t xml:space="preserve">EFINED </w:t>
      </w:r>
      <w:r>
        <w:rPr>
          <w:rFonts w:ascii="Times New Roman;sans-serif" w:hAnsi="Times New Roman;sans-serif"/>
          <w:b/>
          <w:color w:val="000000"/>
          <w:sz w:val="24"/>
          <w:u w:val="single"/>
        </w:rPr>
        <w:t>T</w:t>
      </w:r>
      <w:r>
        <w:rPr>
          <w:rFonts w:ascii="Times New Roman;sans-serif" w:hAnsi="Times New Roman;sans-serif"/>
          <w:b/>
          <w:color w:val="000000"/>
          <w:sz w:val="19"/>
          <w:u w:val="single"/>
        </w:rPr>
        <w:t>ERMS</w:t>
      </w:r>
      <w:r>
        <w:rPr>
          <w:rFonts w:ascii="Times New Roman;sans-serif" w:hAnsi="Times New Roman;sans-serif"/>
          <w:b w:val="false"/>
          <w:color w:val="000000"/>
          <w:sz w:val="24"/>
        </w:rPr>
        <w:t>. Capitalized terms used and not otherwise defined herein shall have the same meanings ascribed to them in the Existing Lease. As used herein, the term “Lease” shall refer to the Existing Lease, as amended by this Eleventh Amendment.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 w:after="283"/>
        <w:jc w:val="left"/>
        <w:rPr/>
      </w:pPr>
      <w:r>
        <w:rPr/>
      </w:r>
    </w:p>
    <w:p>
      <w:pPr>
        <w:pStyle w:val="TextBody"/>
        <w:bidi w:val="0"/>
        <w:spacing w:lineRule="auto" w:line="314" w:before="0" w:after="0"/>
        <w:jc w:val="left"/>
        <w:rPr>
          <w:color w:val="000000"/>
        </w:rPr>
      </w:pPr>
      <w:r>
        <w:rPr>
          <w:color w:val="000000"/>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ind w:left="0" w:right="0" w:hanging="720"/>
        <w:jc w:val="left"/>
        <w:rPr/>
      </w:pPr>
      <w:r>
        <w:rPr>
          <w:rFonts w:ascii="Times New Roman;sans-serif" w:hAnsi="Times New Roman;sans-serif"/>
          <w:b/>
          <w:color w:val="000000"/>
          <w:sz w:val="24"/>
        </w:rPr>
        <w:t>2.</w:t>
      </w:r>
      <w:r>
        <w:rPr>
          <w:rFonts w:ascii="Times New Roman;sans-serif" w:hAnsi="Times New Roman;sans-serif"/>
          <w:b/>
          <w:color w:val="000000"/>
          <w:sz w:val="24"/>
          <w:u w:val="single"/>
        </w:rPr>
        <w:t>Give Back Dates, Give-Back Space and Remaining Premises</w:t>
      </w:r>
      <w:r>
        <w:rPr>
          <w:rFonts w:ascii="Times New Roman;sans-serif" w:hAnsi="Times New Roman;sans-serif"/>
          <w:b w:val="false"/>
          <w:color w:val="000000"/>
          <w:sz w:val="24"/>
        </w:rPr>
        <w:t>.</w:t>
      </w:r>
    </w:p>
    <w:p>
      <w:pPr>
        <w:pStyle w:val="TextBody"/>
        <w:bidi w:val="0"/>
        <w:spacing w:lineRule="auto" w:line="240" w:before="239"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(a)Initially capitalized terms used in this Section 2 but not defined in the Existing Lease shall have the following meanings:</w:t>
      </w:r>
    </w:p>
    <w:p>
      <w:pPr>
        <w:pStyle w:val="TextBody"/>
        <w:bidi w:val="0"/>
        <w:spacing w:before="13" w:after="283"/>
        <w:jc w:val="left"/>
        <w:rPr/>
      </w:pPr>
      <w:r>
        <w:rPr/>
      </w:r>
    </w:p>
    <w:tbl>
      <w:tblPr>
        <w:tblW w:w="10205" w:type="dxa"/>
        <w:jc w:val="left"/>
        <w:tblInd w:w="0" w:type="dxa"/>
        <w:tblLayout w:type="fixed"/>
        <w:tblCellMar>
          <w:top w:w="28" w:type="dxa"/>
          <w:left w:w="28" w:type="dxa"/>
          <w:bottom w:w="28" w:type="dxa"/>
          <w:right w:w="28" w:type="dxa"/>
        </w:tblCellMar>
      </w:tblPr>
      <w:tblGrid>
        <w:gridCol w:w="393"/>
        <w:gridCol w:w="344"/>
        <w:gridCol w:w="347"/>
        <w:gridCol w:w="745"/>
        <w:gridCol w:w="745"/>
        <w:gridCol w:w="748"/>
        <w:gridCol w:w="1244"/>
        <w:gridCol w:w="1244"/>
        <w:gridCol w:w="1248"/>
        <w:gridCol w:w="1056"/>
        <w:gridCol w:w="863"/>
        <w:gridCol w:w="1228"/>
      </w:tblGrid>
      <w:tr>
        <w:trPr/>
        <w:tc>
          <w:tcPr>
            <w:tcW w:w="39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color w:val="000000"/>
                <w:sz w:val="24"/>
              </w:rPr>
            </w:pPr>
            <w:r>
              <w:rPr>
                <w:rFonts w:ascii="Times New Roman;sans-serif" w:hAnsi="Times New Roman;sans-serif"/>
                <w:b/>
                <w:color w:val="000000"/>
                <w:sz w:val="24"/>
              </w:rPr>
              <w:t>Give-Back Date</w:t>
            </w:r>
          </w:p>
        </w:tc>
        <w:tc>
          <w:tcPr>
            <w:tcW w:w="3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color w:val="000000"/>
                <w:sz w:val="24"/>
              </w:rPr>
            </w:pPr>
            <w:r>
              <w:rPr>
                <w:rFonts w:ascii="Times New Roman;sans-serif" w:hAnsi="Times New Roman;sans-serif"/>
                <w:b/>
                <w:color w:val="000000"/>
                <w:sz w:val="24"/>
              </w:rPr>
              <w:t>Give-Back Space</w:t>
            </w:r>
          </w:p>
        </w:tc>
        <w:tc>
          <w:tcPr>
            <w:tcW w:w="31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rFonts w:ascii="Times New Roman;sans-serif" w:hAnsi="Times New Roman;sans-serif"/>
                <w:b/>
                <w:color w:val="000000"/>
                <w:sz w:val="24"/>
              </w:rPr>
            </w:pPr>
            <w:r>
              <w:rPr>
                <w:rFonts w:ascii="Times New Roman;sans-serif" w:hAnsi="Times New Roman;sans-serif"/>
                <w:b/>
                <w:color w:val="000000"/>
                <w:sz w:val="24"/>
              </w:rPr>
              <w:t>Remaining Premises RSF</w:t>
            </w:r>
          </w:p>
        </w:tc>
      </w:tr>
      <w:tr>
        <w:trPr/>
        <w:tc>
          <w:tcPr>
            <w:tcW w:w="10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Tranche I</w:t>
            </w:r>
          </w:p>
        </w:tc>
        <w:tc>
          <w:tcPr>
            <w:tcW w:w="2238"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40" w:before="1" w:after="283"/>
              <w:jc w:val="left"/>
              <w:rPr/>
            </w:pPr>
            <w:r>
              <w:rPr>
                <w:rFonts w:ascii="Times New Roman;sans-serif" w:hAnsi="Times New Roman;sans-serif"/>
                <w:b w:val="false"/>
                <w:color w:val="000000"/>
                <w:sz w:val="24"/>
              </w:rPr>
              <w:t>October 1, 2023 (“</w:t>
            </w:r>
            <w:r>
              <w:rPr>
                <w:rFonts w:ascii="Times New Roman;sans-serif" w:hAnsi="Times New Roman;sans-serif"/>
                <w:b/>
                <w:color w:val="000000"/>
                <w:sz w:val="24"/>
              </w:rPr>
              <w:t>Tranche I Give-Back Date</w:t>
            </w:r>
            <w:r>
              <w:rPr>
                <w:color w:val="000000"/>
              </w:rPr>
              <w:t>”</w:t>
            </w:r>
            <w:r>
              <w:rPr>
                <w:rFonts w:ascii="Times New Roman;sans-serif" w:hAnsi="Times New Roman;sans-serif"/>
                <w:b w:val="false"/>
                <w:color w:val="000000"/>
                <w:sz w:val="24"/>
              </w:rPr>
              <w:t>)</w:t>
            </w:r>
          </w:p>
        </w:tc>
        <w:tc>
          <w:tcPr>
            <w:tcW w:w="3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pPr>
            <w:r>
              <w:rPr>
                <w:rFonts w:ascii="Times New Roman;sans-serif" w:hAnsi="Times New Roman;sans-serif"/>
                <w:b w:val="false"/>
                <w:color w:val="000000"/>
                <w:sz w:val="24"/>
              </w:rPr>
              <w:t>Floors 4 and 5 of the North Tower containing 51,956 RSF (“</w:t>
            </w:r>
            <w:r>
              <w:rPr>
                <w:rFonts w:ascii="Times New Roman;sans-serif" w:hAnsi="Times New Roman;sans-serif"/>
                <w:b/>
                <w:color w:val="000000"/>
                <w:sz w:val="24"/>
              </w:rPr>
              <w:t>Tranche I Give- Back Space</w:t>
            </w:r>
            <w:r>
              <w:rPr>
                <w:color w:val="000000"/>
              </w:rPr>
              <w:t>”</w:t>
            </w:r>
            <w:r>
              <w:rPr>
                <w:rFonts w:ascii="Times New Roman;sans-serif" w:hAnsi="Times New Roman;sans-serif"/>
                <w:b w:val="false"/>
                <w:color w:val="000000"/>
                <w:sz w:val="24"/>
              </w:rPr>
              <w:t>)</w:t>
            </w:r>
          </w:p>
        </w:tc>
        <w:tc>
          <w:tcPr>
            <w:tcW w:w="31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pPr>
            <w:r>
              <w:rPr>
                <w:rFonts w:ascii="Times New Roman;sans-serif" w:hAnsi="Times New Roman;sans-serif"/>
                <w:b w:val="false"/>
                <w:color w:val="000000"/>
                <w:sz w:val="24"/>
              </w:rPr>
              <w:t xml:space="preserve">552,229 RSF as described on </w:t>
            </w:r>
            <w:r>
              <w:rPr>
                <w:rFonts w:ascii="Times New Roman;sans-serif" w:hAnsi="Times New Roman;sans-serif"/>
                <w:b/>
                <w:color w:val="000000"/>
                <w:sz w:val="24"/>
              </w:rPr>
              <w:t>Exhibit A-1</w:t>
            </w:r>
          </w:p>
          <w:p>
            <w:pPr>
              <w:pStyle w:val="TableContents"/>
              <w:bidi w:val="0"/>
              <w:spacing w:lineRule="auto" w:line="240" w:before="0" w:after="0"/>
              <w:jc w:val="left"/>
              <w:rPr/>
            </w:pPr>
            <w:r>
              <w:rPr>
                <w:rFonts w:ascii="Times New Roman;sans-serif" w:hAnsi="Times New Roman;sans-serif"/>
                <w:b w:val="false"/>
                <w:color w:val="000000"/>
                <w:sz w:val="24"/>
              </w:rPr>
              <w:t>(“</w:t>
            </w:r>
            <w:r>
              <w:rPr>
                <w:rFonts w:ascii="Times New Roman;sans-serif" w:hAnsi="Times New Roman;sans-serif"/>
                <w:b/>
                <w:color w:val="000000"/>
                <w:sz w:val="24"/>
              </w:rPr>
              <w:t>Post-Tranche I Remaining Premises</w:t>
            </w:r>
            <w:r>
              <w:rPr>
                <w:color w:val="000000"/>
              </w:rPr>
              <w:t>”</w:t>
            </w:r>
            <w:r>
              <w:rPr>
                <w:rFonts w:ascii="Times New Roman;sans-serif" w:hAnsi="Times New Roman;sans-serif"/>
                <w:b w:val="false"/>
                <w:color w:val="000000"/>
                <w:sz w:val="24"/>
              </w:rPr>
              <w:t>)</w:t>
            </w:r>
          </w:p>
        </w:tc>
      </w:tr>
      <w:tr>
        <w:trPr/>
        <w:tc>
          <w:tcPr>
            <w:tcW w:w="10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Tranche II</w:t>
            </w:r>
          </w:p>
        </w:tc>
        <w:tc>
          <w:tcPr>
            <w:tcW w:w="2238"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40" w:before="1" w:after="283"/>
              <w:jc w:val="left"/>
              <w:rPr/>
            </w:pPr>
            <w:r>
              <w:rPr>
                <w:rFonts w:ascii="Times New Roman;sans-serif" w:hAnsi="Times New Roman;sans-serif"/>
                <w:b w:val="false"/>
                <w:color w:val="000000"/>
                <w:sz w:val="24"/>
              </w:rPr>
              <w:t>June 1, 2024 (“</w:t>
            </w:r>
            <w:r>
              <w:rPr>
                <w:rFonts w:ascii="Times New Roman;sans-serif" w:hAnsi="Times New Roman;sans-serif"/>
                <w:b/>
                <w:color w:val="000000"/>
                <w:sz w:val="24"/>
              </w:rPr>
              <w:t>Tranche II Give-Back Date</w:t>
            </w:r>
            <w:r>
              <w:rPr>
                <w:color w:val="000000"/>
              </w:rPr>
              <w:t>”</w:t>
            </w:r>
            <w:r>
              <w:rPr>
                <w:rFonts w:ascii="Times New Roman;sans-serif" w:hAnsi="Times New Roman;sans-serif"/>
                <w:b w:val="false"/>
                <w:color w:val="000000"/>
                <w:sz w:val="24"/>
              </w:rPr>
              <w:t>)</w:t>
            </w:r>
          </w:p>
        </w:tc>
        <w:tc>
          <w:tcPr>
            <w:tcW w:w="37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pPr>
            <w:r>
              <w:rPr>
                <w:rFonts w:ascii="Times New Roman;sans-serif" w:hAnsi="Times New Roman;sans-serif"/>
                <w:b w:val="false"/>
                <w:color w:val="000000"/>
                <w:sz w:val="24"/>
              </w:rPr>
              <w:t>Floors 6 and 7 of the North Tower 54,253 (“</w:t>
            </w:r>
            <w:r>
              <w:rPr>
                <w:rFonts w:ascii="Times New Roman;sans-serif" w:hAnsi="Times New Roman;sans-serif"/>
                <w:b/>
                <w:color w:val="000000"/>
                <w:sz w:val="24"/>
              </w:rPr>
              <w:t>Tranche II Give-Back Space</w:t>
            </w:r>
            <w:r>
              <w:rPr>
                <w:color w:val="000000"/>
              </w:rPr>
              <w:t>”</w:t>
            </w:r>
            <w:r>
              <w:rPr>
                <w:rFonts w:ascii="Times New Roman;sans-serif" w:hAnsi="Times New Roman;sans-serif"/>
                <w:b w:val="false"/>
                <w:color w:val="000000"/>
                <w:sz w:val="24"/>
              </w:rPr>
              <w:t>)</w:t>
            </w:r>
          </w:p>
        </w:tc>
        <w:tc>
          <w:tcPr>
            <w:tcW w:w="314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497,976 RSF</w:t>
            </w:r>
          </w:p>
          <w:p>
            <w:pPr>
              <w:pStyle w:val="TableContents"/>
              <w:bidi w:val="0"/>
              <w:spacing w:lineRule="auto" w:line="240" w:before="0" w:after="0"/>
              <w:jc w:val="left"/>
              <w:rPr/>
            </w:pPr>
            <w:r>
              <w:rPr>
                <w:rFonts w:ascii="Times New Roman;sans-serif" w:hAnsi="Times New Roman;sans-serif"/>
                <w:b w:val="false"/>
                <w:color w:val="000000"/>
                <w:sz w:val="24"/>
              </w:rPr>
              <w:t xml:space="preserve">as described on </w:t>
            </w:r>
            <w:r>
              <w:rPr>
                <w:rFonts w:ascii="Times New Roman;sans-serif" w:hAnsi="Times New Roman;sans-serif"/>
                <w:b/>
                <w:color w:val="000000"/>
                <w:sz w:val="24"/>
              </w:rPr>
              <w:t xml:space="preserve">Exhibit A- 2 </w:t>
            </w:r>
            <w:r>
              <w:rPr>
                <w:rFonts w:ascii="Times New Roman;sans-serif" w:hAnsi="Times New Roman;sans-serif"/>
                <w:b w:val="false"/>
                <w:color w:val="000000"/>
                <w:sz w:val="24"/>
              </w:rPr>
              <w:t>(“</w:t>
            </w:r>
            <w:r>
              <w:rPr>
                <w:rFonts w:ascii="Times New Roman;sans-serif" w:hAnsi="Times New Roman;sans-serif"/>
                <w:b/>
                <w:color w:val="000000"/>
                <w:sz w:val="24"/>
              </w:rPr>
              <w:t>Post-Tranche II Remaining Premises</w:t>
            </w:r>
            <w:r>
              <w:rPr>
                <w:color w:val="000000"/>
              </w:rPr>
              <w:t>”</w:t>
            </w:r>
            <w:r>
              <w:rPr>
                <w:rFonts w:ascii="Times New Roman;sans-serif" w:hAnsi="Times New Roman;sans-serif"/>
                <w:b w:val="false"/>
                <w:color w:val="000000"/>
                <w:sz w:val="24"/>
              </w:rPr>
              <w:t>)</w:t>
            </w:r>
          </w:p>
        </w:tc>
      </w:tr>
      <w:tr>
        <w:trPr/>
        <w:tc>
          <w:tcPr>
            <w:tcW w:w="10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Tranche III</w:t>
            </w:r>
          </w:p>
        </w:tc>
        <w:tc>
          <w:tcPr>
            <w:tcW w:w="2238" w:type="dxa"/>
            <w:gridSpan w:val="3"/>
            <w:tcBorders>
              <w:top w:val="single" w:sz="4"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240" w:before="1" w:after="283"/>
              <w:ind w:left="0" w:right="0" w:hanging="1"/>
              <w:jc w:val="left"/>
              <w:rPr/>
            </w:pPr>
            <w:r>
              <w:rPr>
                <w:rFonts w:ascii="Times New Roman;sans-serif" w:hAnsi="Times New Roman;sans-serif"/>
                <w:b w:val="false"/>
                <w:color w:val="000000"/>
                <w:sz w:val="24"/>
              </w:rPr>
              <w:t>January 1, 2025 (“</w:t>
            </w:r>
            <w:r>
              <w:rPr>
                <w:rFonts w:ascii="Times New Roman;sans-serif" w:hAnsi="Times New Roman;sans-serif"/>
                <w:b/>
                <w:color w:val="000000"/>
                <w:sz w:val="24"/>
              </w:rPr>
              <w:t>Tranche III Give-Back Date</w:t>
            </w:r>
            <w:r>
              <w:rPr>
                <w:color w:val="000000"/>
              </w:rPr>
              <w:t>”</w:t>
            </w:r>
            <w:r>
              <w:rPr>
                <w:rFonts w:ascii="Times New Roman;sans-serif" w:hAnsi="Times New Roman;sans-serif"/>
                <w:b w:val="false"/>
                <w:color w:val="000000"/>
                <w:sz w:val="24"/>
              </w:rPr>
              <w:t>)</w:t>
            </w:r>
          </w:p>
        </w:tc>
        <w:tc>
          <w:tcPr>
            <w:tcW w:w="37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 w:after="283"/>
              <w:jc w:val="left"/>
              <w:rPr/>
            </w:pPr>
            <w:r>
              <w:rPr>
                <w:rFonts w:ascii="Times New Roman;sans-serif" w:hAnsi="Times New Roman;sans-serif"/>
                <w:b w:val="false"/>
                <w:color w:val="000000"/>
                <w:sz w:val="24"/>
              </w:rPr>
              <w:t>Floor 10 of the South Tower and floor 6 of the North Building 59,035 (“</w:t>
            </w:r>
            <w:r>
              <w:rPr>
                <w:rFonts w:ascii="Times New Roman;sans-serif" w:hAnsi="Times New Roman;sans-serif"/>
                <w:b/>
                <w:color w:val="000000"/>
                <w:sz w:val="24"/>
              </w:rPr>
              <w:t>Tranche III Give-Back Space</w:t>
            </w:r>
            <w:r>
              <w:rPr>
                <w:color w:val="000000"/>
              </w:rPr>
              <w:t>”</w:t>
            </w:r>
            <w:r>
              <w:rPr>
                <w:rFonts w:ascii="Times New Roman;sans-serif" w:hAnsi="Times New Roman;sans-serif"/>
                <w:b w:val="false"/>
                <w:color w:val="000000"/>
                <w:sz w:val="24"/>
              </w:rPr>
              <w:t>)</w:t>
            </w:r>
          </w:p>
        </w:tc>
        <w:tc>
          <w:tcPr>
            <w:tcW w:w="314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438,941 RSF</w:t>
            </w:r>
          </w:p>
          <w:p>
            <w:pPr>
              <w:pStyle w:val="TableContents"/>
              <w:bidi w:val="0"/>
              <w:spacing w:lineRule="auto" w:line="240" w:before="4" w:after="283"/>
              <w:jc w:val="left"/>
              <w:rPr/>
            </w:pPr>
            <w:r>
              <w:rPr>
                <w:rFonts w:ascii="Times New Roman;sans-serif" w:hAnsi="Times New Roman;sans-serif"/>
                <w:b w:val="false"/>
                <w:color w:val="000000"/>
                <w:sz w:val="24"/>
              </w:rPr>
              <w:t xml:space="preserve">as described on </w:t>
            </w:r>
            <w:r>
              <w:rPr>
                <w:rFonts w:ascii="Times New Roman;sans-serif" w:hAnsi="Times New Roman;sans-serif"/>
                <w:b/>
                <w:color w:val="000000"/>
                <w:sz w:val="24"/>
              </w:rPr>
              <w:t xml:space="preserve">Exhibit A- 3 </w:t>
            </w:r>
            <w:r>
              <w:rPr>
                <w:rFonts w:ascii="Times New Roman;sans-serif" w:hAnsi="Times New Roman;sans-serif"/>
                <w:b w:val="false"/>
                <w:color w:val="000000"/>
                <w:sz w:val="24"/>
              </w:rPr>
              <w:t>(“</w:t>
            </w:r>
            <w:r>
              <w:rPr>
                <w:rFonts w:ascii="Times New Roman;sans-serif" w:hAnsi="Times New Roman;sans-serif"/>
                <w:b/>
                <w:color w:val="000000"/>
                <w:sz w:val="24"/>
              </w:rPr>
              <w:t>Post-Tranche III Remaining Premises</w:t>
            </w:r>
            <w:r>
              <w:rPr>
                <w:color w:val="000000"/>
              </w:rPr>
              <w:t>”</w:t>
            </w:r>
            <w:r>
              <w:rPr>
                <w:rFonts w:ascii="Times New Roman;sans-serif" w:hAnsi="Times New Roman;sans-serif"/>
                <w:b w:val="false"/>
                <w:color w:val="000000"/>
                <w:sz w:val="24"/>
              </w:rPr>
              <w:t>)</w:t>
            </w:r>
          </w:p>
        </w:tc>
      </w:tr>
    </w:tbl>
    <w:p>
      <w:pPr>
        <w:pStyle w:val="TextBody"/>
        <w:bidi w:val="0"/>
        <w:spacing w:before="241"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(b)Landlord and Tenant hereby acknowledge and agree that, notwithstanding any provision to the contrary contained in the Existing Lease, Tenant shall quit and surrender and deliver exclusive possession to Landlord of certain portions of the Existing Premises on certain dates as follows: (i) on the Tranche I Give-Back Date the Tranche I Give-Back Space, (ii) on the Trance II Give Back Date the Tranche II Give-Back Space, and (iii) on the Tranche III Give Back Date the Tranche III Give-Back Space. Following the Tranche I Give-Back Date through the Tranche II Give-Back Date, the “Premises” shall consist of the Post-Tranche I Remaining Premises. Following the Tranche II Give-Back Date through the Tranche III Give-Back Date, the “Premises” shall consist of the Post-Tranche II Remaining Premises. Following the Tranche III Give-Back Date through the Expiration Date, the “Premises” shall consist of the Post-Tranche III Remaining Premises.</w:t>
      </w:r>
    </w:p>
    <w:p>
      <w:pPr>
        <w:pStyle w:val="TextBody"/>
        <w:bidi w:val="0"/>
        <w:spacing w:lineRule="auto" w:line="240" w:before="240" w:after="283"/>
        <w:ind w:left="0" w:right="0" w:firstLine="1440"/>
        <w:jc w:val="both"/>
        <w:rPr/>
      </w:pPr>
      <w:r>
        <w:rPr>
          <w:rFonts w:ascii="Times New Roman;sans-serif" w:hAnsi="Times New Roman;sans-serif"/>
          <w:b w:val="false"/>
          <w:color w:val="000000"/>
          <w:sz w:val="24"/>
        </w:rPr>
        <w:t>(c)The Tranche I Give-Back Date, Tranche II Give-Back Date and Tranche III Give-Back Date, may each be referred to herein individually as a “</w:t>
      </w:r>
      <w:r>
        <w:rPr>
          <w:rFonts w:ascii="Times New Roman;sans-serif" w:hAnsi="Times New Roman;sans-serif"/>
          <w:b/>
          <w:color w:val="000000"/>
          <w:sz w:val="24"/>
        </w:rPr>
        <w:t>Give-Back Date</w:t>
      </w:r>
      <w:r>
        <w:rPr>
          <w:color w:val="000000"/>
        </w:rPr>
        <w:t xml:space="preserve">” </w:t>
      </w:r>
      <w:r>
        <w:rPr>
          <w:rFonts w:ascii="Times New Roman;sans-serif" w:hAnsi="Times New Roman;sans-serif"/>
          <w:b w:val="false"/>
          <w:color w:val="000000"/>
          <w:sz w:val="24"/>
        </w:rPr>
        <w:t>and collectively as the “</w:t>
      </w:r>
      <w:r>
        <w:rPr>
          <w:rFonts w:ascii="Times New Roman;sans-serif" w:hAnsi="Times New Roman;sans-serif"/>
          <w:b/>
          <w:color w:val="000000"/>
          <w:sz w:val="24"/>
        </w:rPr>
        <w:t>Give-Back Dates</w:t>
      </w:r>
      <w:r>
        <w:rPr>
          <w:color w:val="000000"/>
        </w:rPr>
        <w:t>”</w:t>
      </w:r>
      <w:r>
        <w:rPr>
          <w:rFonts w:ascii="Times New Roman;sans-serif" w:hAnsi="Times New Roman;sans-serif"/>
          <w:b w:val="false"/>
          <w:color w:val="000000"/>
          <w:sz w:val="24"/>
        </w:rPr>
        <w:t>. The Tranche I Give-Back Space, Tranche II Give-Back Space and Tranche III Give-Back Space, may each be referred to herein individually as “</w:t>
      </w:r>
      <w:r>
        <w:rPr>
          <w:rFonts w:ascii="Times New Roman;sans-serif" w:hAnsi="Times New Roman;sans-serif"/>
          <w:b/>
          <w:color w:val="000000"/>
          <w:sz w:val="24"/>
        </w:rPr>
        <w:t>Give- Back Space</w:t>
      </w:r>
      <w:r>
        <w:rPr>
          <w:color w:val="000000"/>
        </w:rPr>
        <w:t xml:space="preserve">” </w:t>
      </w:r>
      <w:r>
        <w:rPr>
          <w:rFonts w:ascii="Times New Roman;sans-serif" w:hAnsi="Times New Roman;sans-serif"/>
          <w:b w:val="false"/>
          <w:color w:val="000000"/>
          <w:sz w:val="24"/>
        </w:rPr>
        <w:t>and collectively as the “</w:t>
      </w:r>
      <w:r>
        <w:rPr>
          <w:rFonts w:ascii="Times New Roman;sans-serif" w:hAnsi="Times New Roman;sans-serif"/>
          <w:b/>
          <w:color w:val="000000"/>
          <w:sz w:val="24"/>
        </w:rPr>
        <w:t>Give-Back Spaces</w:t>
      </w:r>
      <w:r>
        <w:rPr>
          <w:color w:val="000000"/>
        </w:rPr>
        <w:t>”</w:t>
      </w:r>
      <w:r>
        <w:rPr>
          <w:rFonts w:ascii="Times New Roman;sans-serif" w:hAnsi="Times New Roman;sans-serif"/>
          <w:b w:val="false"/>
          <w:color w:val="000000"/>
          <w:sz w:val="24"/>
        </w:rPr>
        <w:t>. The Post-Tranche I Remaining Premises, Post-Tranche II Remaining Premises and Post-Tranche III Remaining Premises may each be referred to herein as the “</w:t>
      </w:r>
      <w:r>
        <w:rPr>
          <w:rFonts w:ascii="Times New Roman;sans-serif" w:hAnsi="Times New Roman;sans-serif"/>
          <w:b/>
          <w:color w:val="000000"/>
          <w:sz w:val="24"/>
        </w:rPr>
        <w:t>Remaining Premises</w:t>
      </w:r>
      <w:r>
        <w:rPr>
          <w:color w:val="000000"/>
        </w:rPr>
        <w:t>”</w:t>
      </w:r>
      <w:r>
        <w:rPr>
          <w:rFonts w:ascii="Times New Roman;sans-serif" w:hAnsi="Times New Roman;sans-serif"/>
          <w:b w:val="false"/>
          <w:color w:val="000000"/>
          <w:sz w:val="24"/>
        </w:rPr>
        <w:t>.</w:t>
      </w:r>
    </w:p>
    <w:p>
      <w:pPr>
        <w:pStyle w:val="TextBody"/>
        <w:bidi w:val="0"/>
        <w:spacing w:lineRule="auto" w:line="240" w:before="244" w:after="283"/>
        <w:ind w:left="0" w:right="0" w:hanging="720"/>
        <w:jc w:val="left"/>
        <w:rPr/>
      </w:pPr>
      <w:r>
        <w:rPr>
          <w:rFonts w:ascii="Times New Roman;sans-serif" w:hAnsi="Times New Roman;sans-serif"/>
          <w:b/>
          <w:color w:val="000000"/>
          <w:sz w:val="24"/>
        </w:rPr>
        <w:t>3.</w:t>
      </w:r>
      <w:r>
        <w:rPr>
          <w:rFonts w:ascii="Times New Roman;sans-serif" w:hAnsi="Times New Roman;sans-serif"/>
          <w:b/>
          <w:color w:val="000000"/>
          <w:sz w:val="24"/>
          <w:u w:val="single"/>
        </w:rPr>
        <w:t>Vacation of the Give-Back Space</w:t>
      </w:r>
      <w:r>
        <w:rPr>
          <w:rFonts w:ascii="Times New Roman;sans-serif" w:hAnsi="Times New Roman;sans-serif"/>
          <w:b w:val="false"/>
          <w:color w:val="000000"/>
          <w:sz w:val="24"/>
        </w:rPr>
        <w:t>.</w:t>
      </w:r>
    </w:p>
    <w:p>
      <w:pPr>
        <w:pStyle w:val="TextBody"/>
        <w:bidi w:val="0"/>
        <w:spacing w:before="21" w:after="283"/>
        <w:jc w:val="left"/>
        <w:rPr/>
      </w:pPr>
      <w:r>
        <w:rPr/>
      </w:r>
    </w:p>
    <w:p>
      <w:pPr>
        <w:pStyle w:val="TextBody"/>
        <w:bidi w:val="0"/>
        <w:spacing w:lineRule="auto" w:line="276"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(a)On the day prior to each Give-Back Date (and effective as of such Give-</w:t>
      </w:r>
    </w:p>
    <w:p>
      <w:pPr>
        <w:pStyle w:val="TextBody"/>
        <w:bidi w:val="0"/>
        <w:spacing w:lineRule="auto" w:line="297" w:before="0" w:after="0"/>
        <w:ind w:left="0" w:right="0" w:hanging="462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Back Date) and subject to Tenant’s payment to Landlord of the applicable Termination Fee, </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Tenant shall be deemed to have surrendered to Landlord all of Tenant’s interest in and all rights to the applicable Give-Back Space arising under the Existing Lease. Tenant’s interest in such Give-Back Space shall be surrendered to, and accepted by, Landlord in its then-current “AS IS” condition. Through the day prior to each applicable Give-Back Date, Tenant shall continue to pay Base Rent and Additional Rent in accordance Sections 8 and 9 below. From and after each Give-Back Date, (y) Tenant shall have no further obligation for the payment of Base Rent or Additional Rent for the applicable Give-Back Space being surrendered by Tenant to Landlord on such Give-Back Date, and (z) to reflect the reduction in the RSF of the applicable Remaining Premises, the Base Rent owing under the Lease for the applicable Remaining Premises shall be as set forth in Section 8 below, and Tenant’s Share applicable to such Remaining Premises for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4"/>
        </w:rPr>
        <w:t>purposes of determining the Additional Rent owing by Tenant under the Lease shall be as set forth in Section 9 below. The parties agree that after each applicable Give-Back Date, the RSF of the applicable Remaining Premises shall be as set forth in the table in Section 2(a) above. After each Give-Back Date, all references to the “</w:t>
      </w:r>
      <w:r>
        <w:rPr>
          <w:rFonts w:ascii="Times New Roman;sans-serif" w:hAnsi="Times New Roman;sans-serif"/>
          <w:b/>
          <w:color w:val="000000"/>
          <w:sz w:val="24"/>
        </w:rPr>
        <w:t>Premises</w:t>
      </w:r>
      <w:r>
        <w:rPr>
          <w:color w:val="000000"/>
        </w:rPr>
        <w:t xml:space="preserve">” </w:t>
      </w:r>
      <w:r>
        <w:rPr>
          <w:rFonts w:ascii="Times New Roman;sans-serif" w:hAnsi="Times New Roman;sans-serif"/>
          <w:b w:val="false"/>
          <w:color w:val="000000"/>
          <w:sz w:val="24"/>
        </w:rPr>
        <w:t>in the Lease shall thereafter be references to the applicable Remaining Premises.</w:t>
      </w:r>
    </w:p>
    <w:p>
      <w:pPr>
        <w:pStyle w:val="TextBody"/>
        <w:bidi w:val="0"/>
        <w:spacing w:lineRule="auto" w:line="240" w:before="24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(b)Effective as of each applicable Give-Back Date, Tenant’s lease of the applicable Give-Back Space shall terminate and be of no further force or effect, and Landlord and Tenant shall be relieved of their respective obligations under the Existing Lease which relate to obligations that accrued during the term of Tenant’s lease of the applicable Give-Back Space prior to the applicable Give-Back Date and/or which expressly survive the expiration or earlier termination of the Existing Lease; provided, however, the foregoing shall not be a derogation of any of the obligations of Landlord or Tenant, as applicable, set forth in this Eleventh Amendment nor any waiver of the terms and conditions set forth herein. Notwithstanding the foregoing or anything in the Lease to the contrary, on each applicable Give-back Date, Tenant shall quit and surrender and deliver exclusive possession to Landlord of the applicable Give-Back Space in its then existing, “AS-IS” condition, reasonable wear and tear excepted, and Tenant shall have no obligation whatsoever to remove any alterations, improvements, cabling or wiring, personal property, furniture, fixtures or equipment from the applicable Give-Back Space; provided, however, (i) Tenant shall have the right to remove any personal property, furniture, fixtures or equipment (including, but not limited to, any A/V equipment) from the applicable Give-Back Space prior to the applicable Early Access Date (as hereinafter defined), and (ii) Tenant shall have the right to remove any personal property, furniture, fixtures or equipment (including, but not limited to, any A/V equipment) from the applicable Give-Back Space during the applicable Early Access Period (as hereinafter defined) with Landlord’s reasonable approval.</w:t>
      </w:r>
    </w:p>
    <w:p>
      <w:pPr>
        <w:pStyle w:val="TextBody"/>
        <w:bidi w:val="0"/>
        <w:spacing w:lineRule="auto" w:line="240" w:before="243" w:after="283"/>
        <w:ind w:left="0" w:right="0" w:firstLine="1440"/>
        <w:jc w:val="both"/>
        <w:rPr/>
      </w:pPr>
      <w:r>
        <w:rPr>
          <w:rFonts w:ascii="Times New Roman;sans-serif" w:hAnsi="Times New Roman;sans-serif"/>
          <w:b w:val="false"/>
          <w:color w:val="000000"/>
          <w:sz w:val="24"/>
        </w:rPr>
        <w:t xml:space="preserve">(c)Effective as of the Tranche I Give-Back Date, the Post-Tranche I Remaining Premises shall be as described on </w:t>
      </w:r>
      <w:r>
        <w:rPr>
          <w:rFonts w:ascii="Times New Roman;sans-serif" w:hAnsi="Times New Roman;sans-serif"/>
          <w:b/>
          <w:color w:val="000000"/>
          <w:sz w:val="24"/>
          <w:u w:val="single"/>
        </w:rPr>
        <w:t>Exhibit A-1</w:t>
      </w:r>
      <w:r>
        <w:rPr>
          <w:color w:val="000000"/>
        </w:rPr>
        <w:t xml:space="preserve"> </w:t>
      </w:r>
      <w:r>
        <w:rPr>
          <w:rFonts w:ascii="Times New Roman;sans-serif" w:hAnsi="Times New Roman;sans-serif"/>
          <w:b w:val="false"/>
          <w:color w:val="000000"/>
          <w:sz w:val="24"/>
        </w:rPr>
        <w:t xml:space="preserve">attached hereto, and </w:t>
      </w:r>
      <w:r>
        <w:rPr>
          <w:rFonts w:ascii="Times New Roman;sans-serif" w:hAnsi="Times New Roman;sans-serif"/>
          <w:b/>
          <w:color w:val="000000"/>
          <w:sz w:val="24"/>
          <w:u w:val="single"/>
        </w:rPr>
        <w:t>Exhibit A-1</w:t>
      </w:r>
      <w:r>
        <w:rPr>
          <w:color w:val="000000"/>
        </w:rPr>
        <w:t xml:space="preserve"> </w:t>
      </w:r>
      <w:r>
        <w:rPr>
          <w:rFonts w:ascii="Times New Roman;sans-serif" w:hAnsi="Times New Roman;sans-serif"/>
          <w:b w:val="false"/>
          <w:color w:val="000000"/>
          <w:sz w:val="24"/>
        </w:rPr>
        <w:t xml:space="preserve">of the Existing Lease shall be automatically deleted in its entirety and replaced with </w:t>
      </w:r>
      <w:r>
        <w:rPr>
          <w:rFonts w:ascii="Times New Roman;sans-serif" w:hAnsi="Times New Roman;sans-serif"/>
          <w:b/>
          <w:color w:val="000000"/>
          <w:sz w:val="24"/>
          <w:u w:val="single"/>
        </w:rPr>
        <w:t>Exhibit A-1</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40" w:before="238" w:after="283"/>
        <w:ind w:left="0" w:right="0" w:firstLine="1440"/>
        <w:jc w:val="both"/>
        <w:rPr/>
      </w:pPr>
      <w:r>
        <w:rPr>
          <w:rFonts w:ascii="Times New Roman;sans-serif" w:hAnsi="Times New Roman;sans-serif"/>
          <w:b w:val="false"/>
          <w:color w:val="000000"/>
          <w:sz w:val="24"/>
        </w:rPr>
        <w:t xml:space="preserve">(d)Effective as of the Tranche II Give-Back Date, the Post-Tranche II Remaining Premises shall be as described on </w:t>
      </w:r>
      <w:r>
        <w:rPr>
          <w:rFonts w:ascii="Times New Roman;sans-serif" w:hAnsi="Times New Roman;sans-serif"/>
          <w:b/>
          <w:color w:val="000000"/>
          <w:sz w:val="24"/>
          <w:u w:val="single"/>
        </w:rPr>
        <w:t>Exhibit A-2</w:t>
      </w:r>
      <w:r>
        <w:rPr>
          <w:color w:val="000000"/>
        </w:rPr>
        <w:t xml:space="preserve"> </w:t>
      </w:r>
      <w:r>
        <w:rPr>
          <w:rFonts w:ascii="Times New Roman;sans-serif" w:hAnsi="Times New Roman;sans-serif"/>
          <w:b w:val="false"/>
          <w:color w:val="000000"/>
          <w:sz w:val="24"/>
        </w:rPr>
        <w:t xml:space="preserve">attached hereto, and </w:t>
      </w:r>
      <w:r>
        <w:rPr>
          <w:rFonts w:ascii="Times New Roman;sans-serif" w:hAnsi="Times New Roman;sans-serif"/>
          <w:b/>
          <w:color w:val="000000"/>
          <w:sz w:val="24"/>
          <w:u w:val="single"/>
        </w:rPr>
        <w:t>Exhibit A-1</w:t>
      </w:r>
      <w:r>
        <w:rPr>
          <w:color w:val="000000"/>
        </w:rPr>
        <w:t xml:space="preserve"> </w:t>
      </w:r>
      <w:r>
        <w:rPr>
          <w:rFonts w:ascii="Times New Roman;sans-serif" w:hAnsi="Times New Roman;sans-serif"/>
          <w:b w:val="false"/>
          <w:color w:val="000000"/>
          <w:sz w:val="24"/>
        </w:rPr>
        <w:t xml:space="preserve">of the Existing Lease shall be automatically deleted in its entirety and replaced with </w:t>
      </w:r>
      <w:r>
        <w:rPr>
          <w:rFonts w:ascii="Times New Roman;sans-serif" w:hAnsi="Times New Roman;sans-serif"/>
          <w:b/>
          <w:color w:val="000000"/>
          <w:sz w:val="24"/>
          <w:u w:val="single"/>
        </w:rPr>
        <w:t>Exhibit A-2</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40" w:before="241" w:after="283"/>
        <w:ind w:left="0" w:right="0" w:firstLine="1440"/>
        <w:jc w:val="left"/>
        <w:rPr/>
      </w:pPr>
      <w:r>
        <w:rPr>
          <w:rFonts w:ascii="Times New Roman;sans-serif" w:hAnsi="Times New Roman;sans-serif"/>
          <w:b w:val="false"/>
          <w:color w:val="000000"/>
          <w:sz w:val="24"/>
        </w:rPr>
        <w:t xml:space="preserve">(e)Effective as of the Tranche III Give-Back Date, the Post-Tranche III Remaining Premises shall be as described on </w:t>
      </w:r>
      <w:r>
        <w:rPr>
          <w:rFonts w:ascii="Times New Roman;sans-serif" w:hAnsi="Times New Roman;sans-serif"/>
          <w:b/>
          <w:color w:val="000000"/>
          <w:sz w:val="24"/>
          <w:u w:val="single"/>
        </w:rPr>
        <w:t>Exhibit A-3</w:t>
      </w:r>
      <w:r>
        <w:rPr>
          <w:color w:val="000000"/>
        </w:rPr>
        <w:t xml:space="preserve"> </w:t>
      </w:r>
      <w:r>
        <w:rPr>
          <w:rFonts w:ascii="Times New Roman;sans-serif" w:hAnsi="Times New Roman;sans-serif"/>
          <w:b w:val="false"/>
          <w:color w:val="000000"/>
          <w:sz w:val="24"/>
        </w:rPr>
        <w:t xml:space="preserve">attached hereto, and </w:t>
      </w:r>
      <w:r>
        <w:rPr>
          <w:rFonts w:ascii="Times New Roman;sans-serif" w:hAnsi="Times New Roman;sans-serif"/>
          <w:b/>
          <w:color w:val="000000"/>
          <w:sz w:val="24"/>
          <w:u w:val="single"/>
        </w:rPr>
        <w:t>Exhibit A-1</w:t>
      </w:r>
      <w:r>
        <w:rPr>
          <w:color w:val="000000"/>
        </w:rPr>
        <w:t xml:space="preserve"> </w:t>
      </w:r>
      <w:r>
        <w:rPr>
          <w:rFonts w:ascii="Times New Roman;sans-serif" w:hAnsi="Times New Roman;sans-serif"/>
          <w:b w:val="false"/>
          <w:color w:val="000000"/>
          <w:sz w:val="24"/>
        </w:rPr>
        <w:t xml:space="preserve">of the Existing Lease shall be automatically deleted in its entirety and replaced with </w:t>
      </w:r>
      <w:r>
        <w:rPr>
          <w:rFonts w:ascii="Times New Roman;sans-serif" w:hAnsi="Times New Roman;sans-serif"/>
          <w:b/>
          <w:color w:val="000000"/>
          <w:sz w:val="24"/>
          <w:u w:val="single"/>
        </w:rPr>
        <w:t>Exhibit A-3</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40" w:before="239" w:after="283"/>
        <w:ind w:left="0" w:right="0" w:firstLine="720"/>
        <w:jc w:val="both"/>
        <w:rPr/>
      </w:pPr>
      <w:r>
        <w:rPr>
          <w:rFonts w:ascii="Times New Roman;sans-serif" w:hAnsi="Times New Roman;sans-serif"/>
          <w:b/>
          <w:color w:val="000000"/>
          <w:sz w:val="24"/>
        </w:rPr>
        <w:t>4.</w:t>
      </w:r>
      <w:r>
        <w:rPr>
          <w:rFonts w:ascii="Times New Roman;sans-serif" w:hAnsi="Times New Roman;sans-serif"/>
          <w:b/>
          <w:color w:val="000000"/>
          <w:sz w:val="24"/>
          <w:u w:val="single"/>
        </w:rPr>
        <w:t>Condition of the Remaining Premises</w:t>
      </w:r>
      <w:r>
        <w:rPr>
          <w:rFonts w:ascii="Times New Roman;sans-serif" w:hAnsi="Times New Roman;sans-serif"/>
          <w:b w:val="false"/>
          <w:color w:val="000000"/>
          <w:sz w:val="24"/>
        </w:rPr>
        <w:t>. Following each Give-Back Date, Landlord shall have no obligation whatsoever to construct leasehold improvements for Tenant or to repair or refurbish the applicable Remaining Premises as a consequence of Tenant’s surrender of the applicable Give-Back Space other than any maintenance and repair obligations of Landlord in the Existing Lease or any other express obligation of Landlord set forth in the Existing Lease. Following each Give-Back Date, the continued possession of the applicable Remaining Premises by Tenant shall be conclusive evidence that Tenant accepts the same “</w:t>
      </w:r>
      <w:r>
        <w:rPr>
          <w:rFonts w:ascii="Times New Roman;sans-serif" w:hAnsi="Times New Roman;sans-serif"/>
          <w:b/>
          <w:color w:val="000000"/>
          <w:sz w:val="24"/>
        </w:rPr>
        <w:t>AS IS</w:t>
      </w:r>
      <w:r>
        <w:rPr>
          <w:color w:val="000000"/>
        </w:rPr>
        <w:t xml:space="preserve">” </w:t>
      </w:r>
      <w:r>
        <w:rPr>
          <w:rFonts w:ascii="Times New Roman;sans-serif" w:hAnsi="Times New Roman;sans-serif"/>
          <w:b w:val="false"/>
          <w:color w:val="000000"/>
          <w:sz w:val="24"/>
        </w:rPr>
        <w:t>and that the applicable Remaining Premises is suitable for the use intended by Tenant and is in good and satisfactory condition. Following each Give-Back Date, Tenant acknowledges that neither Landlord nor Landlord’s agents has made any representation or warranty as to the condition of the Remaining Premises or the Building or its suitability for Tenant’s purposes. In clarification of the foregoing, nothing in this Section 4 shall be deemed to release Landlord or Tenant of any express obligation set forth in the Existing Lease with respect to the applicable Remaining Premises.</w:t>
      </w:r>
    </w:p>
    <w:p>
      <w:pPr>
        <w:pStyle w:val="TextBody"/>
        <w:bidi w:val="0"/>
        <w:spacing w:before="0" w:after="0"/>
        <w:ind w:left="0" w:right="0" w:firstLine="1080"/>
        <w:jc w:val="both"/>
        <w:rPr/>
      </w:pPr>
      <w:r>
        <w:rPr/>
      </w:r>
    </w:p>
    <w:p>
      <w:pPr>
        <w:pStyle w:val="TextBody"/>
        <w:bidi w:val="0"/>
        <w:spacing w:before="0" w:after="0"/>
        <w:ind w:left="0" w:right="0" w:firstLine="1440"/>
        <w:jc w:val="both"/>
        <w:rPr/>
      </w:pPr>
      <w:r>
        <w:rPr/>
      </w:r>
    </w:p>
    <w:p>
      <w:pPr>
        <w:pStyle w:val="TextBody"/>
        <w:bidi w:val="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3" w:after="283"/>
        <w:ind w:left="0" w:right="0" w:hanging="720"/>
        <w:jc w:val="left"/>
        <w:rPr/>
      </w:pPr>
      <w:r>
        <w:rPr>
          <w:rFonts w:ascii="Times New Roman;sans-serif" w:hAnsi="Times New Roman;sans-serif"/>
          <w:b/>
          <w:color w:val="000000"/>
          <w:sz w:val="24"/>
        </w:rPr>
        <w:t>5.</w:t>
      </w:r>
      <w:r>
        <w:rPr>
          <w:rFonts w:ascii="Times New Roman;sans-serif" w:hAnsi="Times New Roman;sans-serif"/>
          <w:b/>
          <w:color w:val="000000"/>
          <w:sz w:val="24"/>
          <w:u w:val="single"/>
        </w:rPr>
        <w:t>Termination Fee</w:t>
      </w:r>
      <w:r>
        <w:rPr>
          <w:rFonts w:ascii="Times New Roman;sans-serif" w:hAnsi="Times New Roman;sans-serif"/>
          <w:b w:val="false"/>
          <w:color w:val="000000"/>
          <w:sz w:val="24"/>
        </w:rPr>
        <w:t>.</w:t>
      </w:r>
    </w:p>
    <w:p>
      <w:pPr>
        <w:pStyle w:val="TextBody"/>
        <w:bidi w:val="0"/>
        <w:spacing w:before="20"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Tranche I Termination Fee</w:t>
      </w:r>
      <w:r>
        <w:rPr>
          <w:rFonts w:ascii="Times New Roman;sans-serif" w:hAnsi="Times New Roman;sans-serif"/>
          <w:b w:val="false"/>
          <w:color w:val="000000"/>
          <w:sz w:val="24"/>
        </w:rPr>
        <w:t>. On or before the date that is five (5) business days after Tenant’s receipt of Landlord’s duly executed Eleventh Amendment, Tenant shall pay to Landlord the sum of Twenty-Eight Million Fifty-Six Thousand Two Hundred Forty Dollars ($28,056,240) (which sum represents and may be hereinafter referred to as the “</w:t>
      </w:r>
      <w:r>
        <w:rPr>
          <w:rFonts w:ascii="Times New Roman;sans-serif" w:hAnsi="Times New Roman;sans-serif"/>
          <w:b/>
          <w:color w:val="000000"/>
          <w:sz w:val="24"/>
        </w:rPr>
        <w:t>Tranche I Termination Fee</w:t>
      </w:r>
      <w:r>
        <w:rPr>
          <w:color w:val="000000"/>
        </w:rPr>
        <w:t>”</w:t>
      </w:r>
      <w:r>
        <w:rPr>
          <w:rFonts w:ascii="Times New Roman;sans-serif" w:hAnsi="Times New Roman;sans-serif"/>
          <w:b w:val="false"/>
          <w:color w:val="000000"/>
          <w:sz w:val="24"/>
        </w:rPr>
        <w:t>). The Tranche I Termination Fee shall be allocated to the Tranche I Give-Back Space as follows: (i) $16,362,690.00 with respect to floor 4 of the North Tower and (ii)</w:t>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$11,693,550.00 with respect to floor 5 of the North Tower.</w:t>
      </w:r>
    </w:p>
    <w:p>
      <w:pPr>
        <w:pStyle w:val="TextBody"/>
        <w:bidi w:val="0"/>
        <w:spacing w:lineRule="auto" w:line="240" w:before="239" w:after="283"/>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Tranche II Termination Fee</w:t>
      </w:r>
      <w:r>
        <w:rPr>
          <w:rFonts w:ascii="Times New Roman;sans-serif" w:hAnsi="Times New Roman;sans-serif"/>
          <w:b w:val="false"/>
          <w:color w:val="000000"/>
          <w:sz w:val="24"/>
        </w:rPr>
        <w:t>. On or before the Tranche II Give-Back Date, Tenant shall pay to Landlord the sum of Fourteen Million Nine Hundred Nineteen Thousand Five Hundred Seventy-Five Dollars ($14,919,575) (which sum represents and may be hereinafter referred to as the “</w:t>
      </w:r>
      <w:r>
        <w:rPr>
          <w:rFonts w:ascii="Times New Roman;sans-serif" w:hAnsi="Times New Roman;sans-serif"/>
          <w:b/>
          <w:color w:val="000000"/>
          <w:sz w:val="24"/>
        </w:rPr>
        <w:t>Tranche II Termination Fee</w:t>
      </w:r>
      <w:r>
        <w:rPr>
          <w:color w:val="000000"/>
        </w:rPr>
        <w:t>”</w:t>
      </w:r>
      <w:r>
        <w:rPr>
          <w:rFonts w:ascii="Times New Roman;sans-serif" w:hAnsi="Times New Roman;sans-serif"/>
          <w:b w:val="false"/>
          <w:color w:val="000000"/>
          <w:sz w:val="24"/>
        </w:rPr>
        <w:t>). The Tranche II Termination Fee shall be allocated to the Tranche II Give-Back Space as follows: (i) $7,588,900.00 with respect to floor 6 of the North Tower and (ii) $7,330,675.00 with respect to floor 7 of the North Tower.</w:t>
      </w:r>
    </w:p>
    <w:p>
      <w:pPr>
        <w:pStyle w:val="TextBody"/>
        <w:bidi w:val="0"/>
        <w:spacing w:lineRule="auto" w:line="240" w:before="245" w:after="283"/>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Tranche III Termination Fee</w:t>
      </w:r>
      <w:r>
        <w:rPr>
          <w:rFonts w:ascii="Times New Roman;sans-serif" w:hAnsi="Times New Roman;sans-serif"/>
          <w:b w:val="false"/>
          <w:color w:val="000000"/>
          <w:sz w:val="24"/>
        </w:rPr>
        <w:t>. On or before the Tranche III Give-Back Date, Tenant shall pay to Landlord the sum of Thirty-Six Million Eleven Thousand Nine Hundred Sixty Dollars ($36,011,960) (which sum represents and may be hereinafter referred to as the “</w:t>
      </w:r>
      <w:r>
        <w:rPr>
          <w:rFonts w:ascii="Times New Roman;sans-serif" w:hAnsi="Times New Roman;sans-serif"/>
          <w:b/>
          <w:color w:val="000000"/>
          <w:sz w:val="24"/>
        </w:rPr>
        <w:t>Tranche III Termination Fee</w:t>
      </w:r>
      <w:r>
        <w:rPr>
          <w:color w:val="000000"/>
        </w:rPr>
        <w:t>”</w:t>
      </w:r>
      <w:r>
        <w:rPr>
          <w:rFonts w:ascii="Times New Roman;sans-serif" w:hAnsi="Times New Roman;sans-serif"/>
          <w:b w:val="false"/>
          <w:color w:val="000000"/>
          <w:sz w:val="24"/>
        </w:rPr>
        <w:t>; together with the Tranche I Termination Fee and the Tranche II Termination Fee, each, individually, a “</w:t>
      </w:r>
      <w:r>
        <w:rPr>
          <w:rFonts w:ascii="Times New Roman;sans-serif" w:hAnsi="Times New Roman;sans-serif"/>
          <w:b/>
          <w:color w:val="000000"/>
          <w:sz w:val="24"/>
        </w:rPr>
        <w:t>Termination Fee</w:t>
      </w:r>
      <w:r>
        <w:rPr>
          <w:color w:val="000000"/>
        </w:rPr>
        <w:t>”</w:t>
      </w:r>
      <w:r>
        <w:rPr>
          <w:rFonts w:ascii="Times New Roman;sans-serif" w:hAnsi="Times New Roman;sans-serif"/>
          <w:b w:val="false"/>
          <w:color w:val="000000"/>
          <w:sz w:val="24"/>
        </w:rPr>
        <w:t>, and collectively, the “</w:t>
      </w:r>
      <w:r>
        <w:rPr>
          <w:rFonts w:ascii="Times New Roman;sans-serif" w:hAnsi="Times New Roman;sans-serif"/>
          <w:b/>
          <w:color w:val="000000"/>
          <w:sz w:val="24"/>
        </w:rPr>
        <w:t>Termination Fees</w:t>
      </w:r>
      <w:r>
        <w:rPr>
          <w:color w:val="000000"/>
        </w:rPr>
        <w:t>”</w:t>
      </w:r>
      <w:r>
        <w:rPr>
          <w:rFonts w:ascii="Times New Roman;sans-serif" w:hAnsi="Times New Roman;sans-serif"/>
          <w:b w:val="false"/>
          <w:color w:val="000000"/>
          <w:sz w:val="24"/>
        </w:rPr>
        <w:t>). The Tranche III Termination Fee shall be allocated to the Tranche III Give-Back Space as follows: (i) $19,967,468.00 with respect to floor 10 of the South Tower and (ii) $16,044,492.00 with respect to floor 6 of the North Building.</w:t>
      </w:r>
    </w:p>
    <w:p>
      <w:pPr>
        <w:pStyle w:val="TextBody"/>
        <w:bidi w:val="0"/>
        <w:spacing w:lineRule="auto" w:line="240" w:before="237" w:after="283"/>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Failure to Pay Termination Fee</w:t>
      </w:r>
      <w:r>
        <w:rPr>
          <w:rFonts w:ascii="Times New Roman;sans-serif" w:hAnsi="Times New Roman;sans-serif"/>
          <w:b w:val="false"/>
          <w:color w:val="000000"/>
          <w:sz w:val="24"/>
        </w:rPr>
        <w:t>. Notwithstanding anything to the contrary contained in the Lease, any failure by Tenant to pay any Termination Fee as and when due hereunder, which failure is not cured within five (5) days after written notice from Landlord that said amount was not paid when due, shall constitute a Default under the Lease by Tenant.</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ind w:left="0" w:right="0" w:hanging="720"/>
        <w:jc w:val="left"/>
        <w:rPr/>
      </w:pPr>
      <w:r>
        <w:rPr>
          <w:rFonts w:ascii="Times New Roman;sans-serif" w:hAnsi="Times New Roman;sans-serif"/>
          <w:b/>
          <w:color w:val="000000"/>
          <w:sz w:val="24"/>
        </w:rPr>
        <w:t>6.</w:t>
      </w:r>
      <w:r>
        <w:rPr>
          <w:rFonts w:ascii="Times New Roman;sans-serif" w:hAnsi="Times New Roman;sans-serif"/>
          <w:b/>
          <w:color w:val="000000"/>
          <w:sz w:val="24"/>
          <w:u w:val="single"/>
        </w:rPr>
        <w:t>Description of the Premises</w:t>
      </w:r>
      <w:r>
        <w:rPr>
          <w:rFonts w:ascii="Times New Roman;sans-serif" w:hAnsi="Times New Roman;sans-serif"/>
          <w:b w:val="false"/>
          <w:color w:val="000000"/>
          <w:sz w:val="24"/>
        </w:rPr>
        <w:t>.</w:t>
      </w:r>
    </w:p>
    <w:p>
      <w:pPr>
        <w:pStyle w:val="TextBody"/>
        <w:bidi w:val="0"/>
        <w:spacing w:before="9" w:after="283"/>
        <w:jc w:val="left"/>
        <w:rPr/>
      </w:pPr>
      <w:r>
        <w:rPr/>
      </w:r>
    </w:p>
    <w:p>
      <w:pPr>
        <w:pStyle w:val="TextBody"/>
        <w:bidi w:val="0"/>
        <w:spacing w:lineRule="auto" w:line="280" w:before="0" w:after="0"/>
        <w:ind w:left="0" w:right="0" w:firstLine="1440"/>
        <w:jc w:val="both"/>
        <w:rPr/>
      </w:pPr>
      <w:r>
        <w:rPr>
          <w:rFonts w:ascii="Times New Roman;sans-serif" w:hAnsi="Times New Roman;sans-serif"/>
          <w:b w:val="false"/>
          <w:color w:val="000000"/>
          <w:sz w:val="24"/>
        </w:rPr>
        <w:t xml:space="preserve">(a)Effective as of the Tranche I Give-Back Date, the description of the Premises set forth in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of the Summary of Basic Lease Information of the Existing Lease (the “</w:t>
      </w:r>
      <w:r>
        <w:rPr>
          <w:rFonts w:ascii="Times New Roman;sans-serif" w:hAnsi="Times New Roman;sans-serif"/>
          <w:b/>
          <w:color w:val="000000"/>
          <w:sz w:val="24"/>
        </w:rPr>
        <w:t>Summary</w:t>
      </w:r>
      <w:r>
        <w:rPr>
          <w:color w:val="000000"/>
        </w:rPr>
        <w:t>”</w:t>
      </w:r>
      <w:r>
        <w:rPr>
          <w:rFonts w:ascii="Times New Roman;sans-serif" w:hAnsi="Times New Roman;sans-serif"/>
          <w:b w:val="false"/>
          <w:color w:val="000000"/>
          <w:sz w:val="24"/>
        </w:rPr>
        <w:t>) is hereby deleted in its entirety and replaced with the following:</w:t>
      </w:r>
    </w:p>
    <w:p>
      <w:pPr>
        <w:pStyle w:val="TextBody"/>
        <w:bidi w:val="0"/>
        <w:spacing w:lineRule="auto" w:line="276" w:before="234" w:after="283"/>
        <w:jc w:val="both"/>
        <w:rPr>
          <w:rFonts w:ascii="Times New Roman;sans-serif" w:hAnsi="Times New Roman;sans-serif"/>
          <w:b w:val="false"/>
          <w:color w:val="000000"/>
          <w:sz w:val="24"/>
        </w:rPr>
      </w:pPr>
      <w:r>
        <w:rPr>
          <w:rFonts w:ascii="Times New Roman;sans-serif" w:hAnsi="Times New Roman;sans-serif"/>
          <w:b w:val="false"/>
          <w:color w:val="000000"/>
          <w:sz w:val="24"/>
        </w:rPr>
        <w:t>2.2. Premises:    552,229 rentable square feet of space,</w:t>
      </w:r>
    </w:p>
    <w:p>
      <w:pPr>
        <w:pStyle w:val="TextBody"/>
        <w:bidi w:val="0"/>
        <w:spacing w:lineRule="auto" w:line="240" w:before="0" w:after="0"/>
        <w:jc w:val="both"/>
        <w:rPr/>
      </w:pPr>
      <w:r>
        <w:rPr>
          <w:rFonts w:ascii="Times New Roman;sans-serif" w:hAnsi="Times New Roman;sans-serif"/>
          <w:b w:val="false"/>
          <w:color w:val="000000"/>
          <w:sz w:val="24"/>
        </w:rPr>
        <w:t>including approximately 2,381 rentable square feet of space on the ground floor of the North Building (the “</w:t>
      </w:r>
      <w:r>
        <w:rPr>
          <w:rFonts w:ascii="Times New Roman;sans-serif" w:hAnsi="Times New Roman;sans-serif"/>
          <w:b/>
          <w:color w:val="000000"/>
          <w:sz w:val="24"/>
        </w:rPr>
        <w:t>North Building L1 Space</w:t>
      </w:r>
      <w:r>
        <w:rPr>
          <w:color w:val="000000"/>
        </w:rPr>
        <w:t>”</w:t>
      </w:r>
      <w:r>
        <w:rPr>
          <w:rFonts w:ascii="Times New Roman;sans-serif" w:hAnsi="Times New Roman;sans-serif"/>
          <w:b w:val="false"/>
          <w:color w:val="000000"/>
          <w:sz w:val="24"/>
        </w:rPr>
        <w:t>), but expressly excluding approximately 12,289 rentable square feet of retail space in the North Tower (the “</w:t>
      </w:r>
      <w:r>
        <w:rPr>
          <w:rFonts w:ascii="Times New Roman;sans-serif" w:hAnsi="Times New Roman;sans-serif"/>
          <w:b/>
          <w:color w:val="000000"/>
          <w:sz w:val="24"/>
        </w:rPr>
        <w:t>Retail Space</w:t>
      </w:r>
      <w:r>
        <w:rPr>
          <w:color w:val="000000"/>
        </w:rPr>
        <w:t>”</w:t>
      </w:r>
      <w:r>
        <w:rPr>
          <w:rFonts w:ascii="Times New Roman;sans-serif" w:hAnsi="Times New Roman;sans-serif"/>
          <w:b w:val="false"/>
          <w:color w:val="000000"/>
          <w:sz w:val="24"/>
        </w:rPr>
        <w:t xml:space="preserve">), all as is further set forth in </w:t>
      </w:r>
      <w:r>
        <w:rPr>
          <w:rFonts w:ascii="Times New Roman;sans-serif" w:hAnsi="Times New Roman;sans-serif"/>
          <w:b/>
          <w:color w:val="000000"/>
          <w:sz w:val="24"/>
          <w:u w:val="single"/>
        </w:rPr>
        <w:t>Exhibit A-1</w:t>
      </w:r>
      <w:r>
        <w:rPr>
          <w:color w:val="000000"/>
        </w:rPr>
        <w:t xml:space="preserve"> </w:t>
      </w:r>
      <w:r>
        <w:rPr>
          <w:rFonts w:ascii="Times New Roman;sans-serif" w:hAnsi="Times New Roman;sans-serif"/>
          <w:b w:val="false"/>
          <w:color w:val="000000"/>
          <w:sz w:val="24"/>
        </w:rPr>
        <w:t>to this Lease.</w:t>
      </w:r>
    </w:p>
    <w:p>
      <w:pPr>
        <w:pStyle w:val="TextBody"/>
        <w:bidi w:val="0"/>
        <w:spacing w:before="2"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The rentable square footage of each floor of the Premises is set forth on </w:t>
      </w:r>
      <w:r>
        <w:rPr>
          <w:rFonts w:ascii="Times New Roman;sans-serif" w:hAnsi="Times New Roman;sans-serif"/>
          <w:b/>
          <w:color w:val="000000"/>
          <w:sz w:val="24"/>
          <w:u w:val="single"/>
        </w:rPr>
        <w:t>Exhibit A-1</w:t>
      </w:r>
      <w:r>
        <w:rPr>
          <w:color w:val="000000"/>
        </w:rPr>
        <w:t xml:space="preserve"> </w:t>
      </w:r>
      <w:r>
        <w:rPr>
          <w:rFonts w:ascii="Times New Roman;sans-serif" w:hAnsi="Times New Roman;sans-serif"/>
          <w:b w:val="false"/>
          <w:color w:val="000000"/>
          <w:sz w:val="24"/>
        </w:rPr>
        <w:t>attached hereto.</w:t>
      </w:r>
    </w:p>
    <w:p>
      <w:pPr>
        <w:pStyle w:val="TextBody"/>
        <w:bidi w:val="0"/>
        <w:spacing w:before="1" w:after="283"/>
        <w:jc w:val="left"/>
        <w:rPr/>
      </w:pPr>
      <w:r>
        <w:rPr/>
      </w:r>
    </w:p>
    <w:p>
      <w:pPr>
        <w:pStyle w:val="TextBody"/>
        <w:bidi w:val="0"/>
        <w:spacing w:lineRule="auto" w:line="240" w:before="1" w:after="283"/>
        <w:ind w:left="0" w:right="0" w:firstLine="1440"/>
        <w:jc w:val="both"/>
        <w:rPr/>
      </w:pPr>
      <w:r>
        <w:rPr>
          <w:rFonts w:ascii="Times New Roman;sans-serif" w:hAnsi="Times New Roman;sans-serif"/>
          <w:b w:val="false"/>
          <w:color w:val="000000"/>
          <w:sz w:val="24"/>
        </w:rPr>
        <w:t xml:space="preserve">(b)Effective as of the Tranche II Give-Back Date, the description of the Premises set forth in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of the Summary is hereby deleted in its entirety and replaced with the following:</w:t>
      </w:r>
    </w:p>
    <w:p>
      <w:pPr>
        <w:pStyle w:val="TextBody"/>
        <w:bidi w:val="0"/>
        <w:spacing w:lineRule="auto" w:line="276" w:before="237" w:after="283"/>
        <w:jc w:val="both"/>
        <w:rPr>
          <w:rFonts w:ascii="Times New Roman;sans-serif" w:hAnsi="Times New Roman;sans-serif"/>
          <w:b w:val="false"/>
          <w:color w:val="000000"/>
          <w:sz w:val="24"/>
        </w:rPr>
      </w:pPr>
      <w:r>
        <w:rPr>
          <w:rFonts w:ascii="Times New Roman;sans-serif" w:hAnsi="Times New Roman;sans-serif"/>
          <w:b w:val="false"/>
          <w:color w:val="000000"/>
          <w:sz w:val="24"/>
        </w:rPr>
        <w:t>2.2. Premises:    497,976 rentable square feet of space,</w:t>
      </w:r>
    </w:p>
    <w:p>
      <w:pPr>
        <w:pStyle w:val="TextBody"/>
        <w:bidi w:val="0"/>
        <w:spacing w:lineRule="auto" w:line="240" w:before="0" w:after="0"/>
        <w:jc w:val="both"/>
        <w:rPr/>
      </w:pPr>
      <w:r>
        <w:rPr>
          <w:rFonts w:ascii="Times New Roman;sans-serif" w:hAnsi="Times New Roman;sans-serif"/>
          <w:b w:val="false"/>
          <w:color w:val="000000"/>
          <w:sz w:val="24"/>
        </w:rPr>
        <w:t>including approximately 2,381 rentable square feet of space on the ground floor of the North Building (the “</w:t>
      </w:r>
      <w:r>
        <w:rPr>
          <w:rFonts w:ascii="Times New Roman;sans-serif" w:hAnsi="Times New Roman;sans-serif"/>
          <w:b/>
          <w:color w:val="000000"/>
          <w:sz w:val="24"/>
        </w:rPr>
        <w:t>North Building L1 Space</w:t>
      </w:r>
      <w:r>
        <w:rPr>
          <w:color w:val="000000"/>
        </w:rPr>
        <w:t>”</w:t>
      </w:r>
      <w:r>
        <w:rPr>
          <w:rFonts w:ascii="Times New Roman;sans-serif" w:hAnsi="Times New Roman;sans-serif"/>
          <w:b w:val="false"/>
          <w:color w:val="000000"/>
          <w:sz w:val="24"/>
        </w:rPr>
        <w:t>), but expressly excluding approximately 12,289 rentable square feet of retail space in the North Tower (the “</w:t>
      </w:r>
      <w:r>
        <w:rPr>
          <w:rFonts w:ascii="Times New Roman;sans-serif" w:hAnsi="Times New Roman;sans-serif"/>
          <w:b/>
          <w:color w:val="000000"/>
          <w:sz w:val="24"/>
        </w:rPr>
        <w:t>Retail Space</w:t>
      </w:r>
      <w:r>
        <w:rPr>
          <w:color w:val="000000"/>
        </w:rPr>
        <w:t>”</w:t>
      </w:r>
      <w:r>
        <w:rPr>
          <w:rFonts w:ascii="Times New Roman;sans-serif" w:hAnsi="Times New Roman;sans-serif"/>
          <w:b w:val="false"/>
          <w:color w:val="000000"/>
          <w:sz w:val="24"/>
        </w:rPr>
        <w:t xml:space="preserve">), all as is further set forth in </w:t>
      </w:r>
      <w:r>
        <w:rPr>
          <w:rFonts w:ascii="Times New Roman;sans-serif" w:hAnsi="Times New Roman;sans-serif"/>
          <w:b/>
          <w:color w:val="000000"/>
          <w:sz w:val="24"/>
          <w:u w:val="single"/>
        </w:rPr>
        <w:t>Exhibit A-1</w:t>
      </w:r>
      <w:r>
        <w:rPr>
          <w:color w:val="000000"/>
        </w:rPr>
        <w:t xml:space="preserve"> </w:t>
      </w:r>
      <w:r>
        <w:rPr>
          <w:rFonts w:ascii="Times New Roman;sans-serif" w:hAnsi="Times New Roman;sans-serif"/>
          <w:b w:val="false"/>
          <w:color w:val="000000"/>
          <w:sz w:val="24"/>
        </w:rPr>
        <w:t>to this Lease.</w:t>
      </w:r>
    </w:p>
    <w:p>
      <w:pPr>
        <w:pStyle w:val="TextBody"/>
        <w:bidi w:val="0"/>
        <w:spacing w:before="1"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The rentable square footage of each floor of the Premises is set forth on </w:t>
      </w:r>
      <w:r>
        <w:rPr>
          <w:rFonts w:ascii="Times New Roman;sans-serif" w:hAnsi="Times New Roman;sans-serif"/>
          <w:b/>
          <w:color w:val="000000"/>
          <w:sz w:val="24"/>
          <w:u w:val="single"/>
        </w:rPr>
        <w:t>Exhibit A-1</w:t>
      </w:r>
      <w:r>
        <w:rPr>
          <w:color w:val="000000"/>
        </w:rPr>
        <w:t xml:space="preserve"> </w:t>
      </w:r>
      <w:r>
        <w:rPr>
          <w:rFonts w:ascii="Times New Roman;sans-serif" w:hAnsi="Times New Roman;sans-serif"/>
          <w:b w:val="false"/>
          <w:color w:val="000000"/>
          <w:sz w:val="24"/>
        </w:rPr>
        <w:t>attached hereto.</w:t>
      </w:r>
    </w:p>
    <w:p>
      <w:pPr>
        <w:pStyle w:val="TextBody"/>
        <w:bidi w:val="0"/>
        <w:spacing w:before="2"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(c)Effective as of the Tranche III Give-Back Date, the description of the Premises set forth in </w:t>
      </w:r>
      <w:r>
        <w:rPr>
          <w:rFonts w:ascii="Times New Roman;sans-serif" w:hAnsi="Times New Roman;sans-serif"/>
          <w:b w:val="false"/>
          <w:color w:val="000000"/>
          <w:sz w:val="24"/>
          <w:u w:val="single"/>
        </w:rPr>
        <w:t>Section 2.2</w:t>
      </w:r>
      <w:r>
        <w:rPr>
          <w:color w:val="000000"/>
        </w:rPr>
        <w:t xml:space="preserve"> </w:t>
      </w:r>
      <w:r>
        <w:rPr>
          <w:rFonts w:ascii="Times New Roman;sans-serif" w:hAnsi="Times New Roman;sans-serif"/>
          <w:b w:val="false"/>
          <w:color w:val="000000"/>
          <w:sz w:val="24"/>
        </w:rPr>
        <w:t>of the Summary is hereby deleted in its entirety and replaced with the following</w:t>
      </w:r>
    </w:p>
    <w:p>
      <w:pPr>
        <w:pStyle w:val="TextBody"/>
        <w:bidi w:val="0"/>
        <w:spacing w:lineRule="auto" w:line="240" w:before="237" w:after="283"/>
        <w:jc w:val="both"/>
        <w:rPr>
          <w:rFonts w:ascii="Times New Roman;sans-serif" w:hAnsi="Times New Roman;sans-serif"/>
          <w:b w:val="false"/>
          <w:color w:val="000000"/>
          <w:sz w:val="24"/>
        </w:rPr>
      </w:pPr>
      <w:r>
        <w:rPr>
          <w:rFonts w:ascii="Times New Roman;sans-serif" w:hAnsi="Times New Roman;sans-serif"/>
          <w:b w:val="false"/>
          <w:color w:val="000000"/>
          <w:sz w:val="24"/>
        </w:rPr>
        <w:t>2.2. Premises:    438,941 rentable square feet of space,</w:t>
      </w:r>
    </w:p>
    <w:p>
      <w:pPr>
        <w:pStyle w:val="TextBody"/>
        <w:bidi w:val="0"/>
        <w:spacing w:lineRule="auto" w:line="240" w:before="5" w:after="283"/>
        <w:jc w:val="both"/>
        <w:rPr/>
      </w:pPr>
      <w:r>
        <w:rPr>
          <w:rFonts w:ascii="Times New Roman;sans-serif" w:hAnsi="Times New Roman;sans-serif"/>
          <w:b w:val="false"/>
          <w:color w:val="000000"/>
          <w:sz w:val="24"/>
        </w:rPr>
        <w:t>including approximately 2,381 rentable square feet of space on the ground floor of the North Building (the “</w:t>
      </w:r>
      <w:r>
        <w:rPr>
          <w:rFonts w:ascii="Times New Roman;sans-serif" w:hAnsi="Times New Roman;sans-serif"/>
          <w:b/>
          <w:color w:val="000000"/>
          <w:sz w:val="24"/>
        </w:rPr>
        <w:t>North Building L1 Space</w:t>
      </w:r>
      <w:r>
        <w:rPr>
          <w:color w:val="000000"/>
        </w:rPr>
        <w:t>”</w:t>
      </w:r>
      <w:r>
        <w:rPr>
          <w:rFonts w:ascii="Times New Roman;sans-serif" w:hAnsi="Times New Roman;sans-serif"/>
          <w:b w:val="false"/>
          <w:color w:val="000000"/>
          <w:sz w:val="24"/>
        </w:rPr>
        <w:t>), but expressly excluding approximately 12,289 rentable square feet of retail space in the North Tower (the “</w:t>
      </w:r>
      <w:r>
        <w:rPr>
          <w:rFonts w:ascii="Times New Roman;sans-serif" w:hAnsi="Times New Roman;sans-serif"/>
          <w:b/>
          <w:color w:val="000000"/>
          <w:sz w:val="24"/>
        </w:rPr>
        <w:t>Retail Space</w:t>
      </w:r>
      <w:r>
        <w:rPr>
          <w:color w:val="000000"/>
        </w:rPr>
        <w:t>”</w:t>
      </w:r>
      <w:r>
        <w:rPr>
          <w:rFonts w:ascii="Times New Roman;sans-serif" w:hAnsi="Times New Roman;sans-serif"/>
          <w:b w:val="false"/>
          <w:color w:val="000000"/>
          <w:sz w:val="24"/>
        </w:rPr>
        <w:t xml:space="preserve">), all as is further set forth in </w:t>
      </w:r>
      <w:r>
        <w:rPr>
          <w:rFonts w:ascii="Times New Roman;sans-serif" w:hAnsi="Times New Roman;sans-serif"/>
          <w:b/>
          <w:color w:val="000000"/>
          <w:sz w:val="24"/>
          <w:u w:val="single"/>
        </w:rPr>
        <w:t>Exhibit A-1</w:t>
      </w:r>
      <w:r>
        <w:rPr>
          <w:color w:val="000000"/>
        </w:rPr>
        <w:t xml:space="preserve"> </w:t>
      </w:r>
      <w:r>
        <w:rPr>
          <w:rFonts w:ascii="Times New Roman;sans-serif" w:hAnsi="Times New Roman;sans-serif"/>
          <w:b w:val="false"/>
          <w:color w:val="000000"/>
          <w:sz w:val="24"/>
        </w:rPr>
        <w:t>to this Lease.</w:t>
      </w:r>
    </w:p>
    <w:p>
      <w:pPr>
        <w:pStyle w:val="TextBody"/>
        <w:bidi w:val="0"/>
        <w:spacing w:before="1" w:after="283"/>
        <w:jc w:val="left"/>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The rentable square footage of each floor of the Premises is set forth on </w:t>
      </w:r>
      <w:r>
        <w:rPr>
          <w:rFonts w:ascii="Times New Roman;sans-serif" w:hAnsi="Times New Roman;sans-serif"/>
          <w:b/>
          <w:color w:val="000000"/>
          <w:sz w:val="24"/>
          <w:u w:val="single"/>
        </w:rPr>
        <w:t>Exhibit A-1</w:t>
      </w:r>
      <w:r>
        <w:rPr>
          <w:color w:val="000000"/>
        </w:rPr>
        <w:t xml:space="preserve"> </w:t>
      </w:r>
      <w:r>
        <w:rPr>
          <w:rFonts w:ascii="Times New Roman;sans-serif" w:hAnsi="Times New Roman;sans-serif"/>
          <w:b w:val="false"/>
          <w:color w:val="000000"/>
          <w:sz w:val="24"/>
        </w:rPr>
        <w:t>attached hereto.</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 w:after="283"/>
        <w:ind w:left="0" w:right="0" w:hanging="719"/>
        <w:jc w:val="left"/>
        <w:rPr/>
      </w:pPr>
      <w:r>
        <w:rPr>
          <w:rFonts w:ascii="Times New Roman;sans-serif" w:hAnsi="Times New Roman;sans-serif"/>
          <w:b/>
          <w:color w:val="000000"/>
          <w:sz w:val="24"/>
        </w:rPr>
        <w:t>7.</w:t>
      </w:r>
      <w:r>
        <w:rPr>
          <w:rFonts w:ascii="Times New Roman;sans-serif" w:hAnsi="Times New Roman;sans-serif"/>
          <w:b/>
          <w:color w:val="000000"/>
          <w:sz w:val="24"/>
          <w:u w:val="single"/>
        </w:rPr>
        <w:t>Tenant’s Share of Direct Expenses</w:t>
      </w:r>
      <w:r>
        <w:rPr>
          <w:rFonts w:ascii="Times New Roman;sans-serif" w:hAnsi="Times New Roman;sans-serif"/>
          <w:b w:val="false"/>
          <w:color w:val="000000"/>
          <w:sz w:val="20"/>
        </w:rPr>
        <w:t>.</w:t>
      </w:r>
    </w:p>
    <w:p>
      <w:pPr>
        <w:pStyle w:val="TextBody"/>
        <w:bidi w:val="0"/>
        <w:spacing w:before="9"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(a)Effective as of the Tranche I Give-Back Date, the description of Tenant’s Share set forth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of the Summary is hereby deleted in its entirety and replaced with the following:</w:t>
      </w:r>
    </w:p>
    <w:p>
      <w:pPr>
        <w:pStyle w:val="TextBody"/>
        <w:bidi w:val="0"/>
        <w:spacing w:lineRule="auto" w:line="240" w:before="238" w:after="283"/>
        <w:jc w:val="left"/>
        <w:rPr/>
      </w:pPr>
      <w:r>
        <w:rPr>
          <w:rFonts w:ascii="Times New Roman;sans-serif" w:hAnsi="Times New Roman;sans-serif"/>
          <w:b w:val="false"/>
          <w:color w:val="000000"/>
          <w:sz w:val="24"/>
        </w:rPr>
        <w:t>6.    Tenant’s Share (</w:t>
      </w:r>
      <w:r>
        <w:rPr>
          <w:rFonts w:ascii="Times New Roman;sans-serif" w:hAnsi="Times New Roman;sans-serif"/>
          <w:b w:val="false"/>
          <w:color w:val="000000"/>
          <w:sz w:val="24"/>
          <w:u w:val="single"/>
        </w:rPr>
        <w:t>Article 4</w:t>
      </w:r>
      <w:r>
        <w:rPr>
          <w:rFonts w:ascii="Times New Roman;sans-serif" w:hAnsi="Times New Roman;sans-serif"/>
          <w:b w:val="false"/>
          <w:color w:val="000000"/>
          <w:sz w:val="24"/>
        </w:rPr>
        <w:t>):    100% of the North Building</w:t>
      </w:r>
    </w:p>
    <w:p>
      <w:pPr>
        <w:pStyle w:val="TextBody"/>
        <w:bidi w:val="0"/>
        <w:spacing w:before="3" w:after="283"/>
        <w:jc w:val="left"/>
        <w:rPr/>
      </w:pPr>
      <w:r>
        <w:rPr/>
      </w:r>
    </w:p>
    <w:p>
      <w:pPr>
        <w:pStyle w:val="TextBody"/>
        <w:bidi w:val="0"/>
        <w:spacing w:lineRule="auto" w:line="5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33.79% of the North Tower 100% of the South Building 100% of the South Tower</w:t>
      </w:r>
    </w:p>
    <w:p>
      <w:pPr>
        <w:pStyle w:val="TextBody"/>
        <w:bidi w:val="0"/>
        <w:spacing w:lineRule="auto" w:line="240" w:before="0" w:after="0"/>
        <w:jc w:val="both"/>
        <w:rPr/>
      </w:pPr>
      <w:r>
        <w:rPr>
          <w:rFonts w:ascii="Times New Roman;sans-serif" w:hAnsi="Times New Roman;sans-serif"/>
          <w:b w:val="false"/>
          <w:color w:val="000000"/>
          <w:sz w:val="24"/>
        </w:rPr>
        <w:t xml:space="preserve">*Tenant’s Share shall be determined separately for each Building and shall be equal to 100% for each of the South Building and South Tower regardless of the rentable square footage of the Retail Space; and specifically with respect to the North Tower the allocation of Direct Expenses shall be subject to the Retail Space “Cost Pool” (as that term is defined in </w:t>
      </w:r>
      <w:r>
        <w:rPr>
          <w:rFonts w:ascii="Times New Roman;sans-serif" w:hAnsi="Times New Roman;sans-serif"/>
          <w:b w:val="false"/>
          <w:color w:val="000000"/>
          <w:sz w:val="24"/>
          <w:u w:val="single"/>
        </w:rPr>
        <w:t>Section 4.3.2</w:t>
      </w:r>
      <w:r>
        <w:rPr>
          <w:color w:val="000000"/>
        </w:rPr>
        <w:t xml:space="preserve"> </w:t>
      </w:r>
      <w:r>
        <w:rPr>
          <w:rFonts w:ascii="Times New Roman;sans-serif" w:hAnsi="Times New Roman;sans-serif"/>
          <w:b w:val="false"/>
          <w:color w:val="000000"/>
          <w:sz w:val="24"/>
        </w:rPr>
        <w:t>below).</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4"/>
        </w:rPr>
        <w:t xml:space="preserve">The rentable square footage of each floor of the Premises is as set forth on </w:t>
      </w:r>
      <w:r>
        <w:rPr>
          <w:rFonts w:ascii="Times New Roman;sans-serif" w:hAnsi="Times New Roman;sans-serif"/>
          <w:b/>
          <w:color w:val="000000"/>
          <w:sz w:val="24"/>
          <w:u w:val="single"/>
        </w:rPr>
        <w:t>Exhibit</w:t>
      </w:r>
      <w:r>
        <w:rPr>
          <w:color w:val="000000"/>
        </w:rPr>
        <w:t xml:space="preserve"> </w:t>
      </w:r>
      <w:r>
        <w:rPr>
          <w:rFonts w:ascii="Times New Roman;sans-serif" w:hAnsi="Times New Roman;sans-serif"/>
          <w:b/>
          <w:color w:val="000000"/>
          <w:sz w:val="24"/>
          <w:u w:val="single"/>
        </w:rPr>
        <w:t>A-1</w:t>
      </w:r>
      <w:r>
        <w:rPr>
          <w:color w:val="000000"/>
        </w:rPr>
        <w:t xml:space="preserve"> </w:t>
      </w:r>
      <w:r>
        <w:rPr>
          <w:rFonts w:ascii="Times New Roman;sans-serif" w:hAnsi="Times New Roman;sans-serif"/>
          <w:b w:val="false"/>
          <w:color w:val="000000"/>
          <w:sz w:val="24"/>
        </w:rPr>
        <w:t>attached hereto.</w:t>
      </w:r>
    </w:p>
    <w:p>
      <w:pPr>
        <w:pStyle w:val="TextBody"/>
        <w:bidi w:val="0"/>
        <w:spacing w:before="1" w:after="283"/>
        <w:jc w:val="left"/>
        <w:rPr/>
      </w:pPr>
      <w:r>
        <w:rPr/>
      </w:r>
    </w:p>
    <w:p>
      <w:pPr>
        <w:pStyle w:val="TextBody"/>
        <w:bidi w:val="0"/>
        <w:spacing w:lineRule="auto" w:line="240" w:before="0" w:after="0"/>
        <w:ind w:left="0" w:right="0" w:firstLine="1440"/>
        <w:jc w:val="both"/>
        <w:rPr/>
      </w:pPr>
      <w:r>
        <w:rPr>
          <w:rFonts w:ascii="Times New Roman;sans-serif" w:hAnsi="Times New Roman;sans-serif"/>
          <w:b w:val="false"/>
          <w:color w:val="000000"/>
          <w:sz w:val="24"/>
        </w:rPr>
        <w:t xml:space="preserve">(b)Effective as of the Tranche II Give-Back Date, the description of Tenant’s Share set forth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of the Summary is hereby deleted in its entirety and replaced with the following:</w:t>
      </w:r>
    </w:p>
    <w:p>
      <w:pPr>
        <w:pStyle w:val="TextBody"/>
        <w:bidi w:val="0"/>
        <w:spacing w:lineRule="auto" w:line="240" w:before="238" w:after="283"/>
        <w:jc w:val="left"/>
        <w:rPr/>
      </w:pPr>
      <w:r>
        <w:rPr>
          <w:rFonts w:ascii="Times New Roman;sans-serif" w:hAnsi="Times New Roman;sans-serif"/>
          <w:b w:val="false"/>
          <w:color w:val="000000"/>
          <w:sz w:val="24"/>
        </w:rPr>
        <w:t>6.    Tenant’s Share (</w:t>
      </w:r>
      <w:r>
        <w:rPr>
          <w:rFonts w:ascii="Times New Roman;sans-serif" w:hAnsi="Times New Roman;sans-serif"/>
          <w:b w:val="false"/>
          <w:color w:val="000000"/>
          <w:sz w:val="24"/>
          <w:u w:val="single"/>
        </w:rPr>
        <w:t>Article 4</w:t>
      </w:r>
      <w:r>
        <w:rPr>
          <w:rFonts w:ascii="Times New Roman;sans-serif" w:hAnsi="Times New Roman;sans-serif"/>
          <w:b w:val="false"/>
          <w:color w:val="000000"/>
          <w:sz w:val="24"/>
        </w:rPr>
        <w:t>):    100% of the North Building</w:t>
      </w:r>
    </w:p>
    <w:p>
      <w:pPr>
        <w:pStyle w:val="TextBody"/>
        <w:bidi w:val="0"/>
        <w:spacing w:before="3" w:after="283"/>
        <w:jc w:val="left"/>
        <w:rPr/>
      </w:pPr>
      <w:r>
        <w:rPr/>
      </w:r>
    </w:p>
    <w:p>
      <w:pPr>
        <w:pStyle w:val="TextBody"/>
        <w:bidi w:val="0"/>
        <w:spacing w:lineRule="auto" w:line="5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15.66% of the North Tower 100% of the South Building</w:t>
      </w:r>
    </w:p>
    <w:p>
      <w:pPr>
        <w:pStyle w:val="TextBody"/>
        <w:bidi w:val="0"/>
        <w:spacing w:before="97"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100% of the South Tower</w:t>
      </w:r>
    </w:p>
    <w:p>
      <w:pPr>
        <w:pStyle w:val="TextBody"/>
        <w:bidi w:val="0"/>
        <w:spacing w:lineRule="auto" w:line="240" w:before="274" w:after="283"/>
        <w:jc w:val="both"/>
        <w:rPr/>
      </w:pPr>
      <w:r>
        <w:rPr>
          <w:rFonts w:ascii="Times New Roman;sans-serif" w:hAnsi="Times New Roman;sans-serif"/>
          <w:b w:val="false"/>
          <w:color w:val="000000"/>
          <w:sz w:val="24"/>
        </w:rPr>
        <w:t xml:space="preserve">*Tenant’s Share shall be determined separately for each Building and shall be equal to 100% for the South Tower regardless of the rentable square footage of the Retail Space; and specifically with respect to the North Tower the allocation of Direct Expenses shall be subject to the Retail Space “Cost Pool” (as that term is defined in </w:t>
      </w:r>
      <w:r>
        <w:rPr>
          <w:rFonts w:ascii="Times New Roman;sans-serif" w:hAnsi="Times New Roman;sans-serif"/>
          <w:b w:val="false"/>
          <w:color w:val="000000"/>
          <w:sz w:val="24"/>
          <w:u w:val="single"/>
        </w:rPr>
        <w:t>Section 4.3.2</w:t>
      </w:r>
      <w:r>
        <w:rPr>
          <w:color w:val="000000"/>
        </w:rPr>
        <w:t xml:space="preserve"> </w:t>
      </w:r>
      <w:r>
        <w:rPr>
          <w:rFonts w:ascii="Times New Roman;sans-serif" w:hAnsi="Times New Roman;sans-serif"/>
          <w:b w:val="false"/>
          <w:color w:val="000000"/>
          <w:sz w:val="24"/>
        </w:rPr>
        <w:t>below).</w:t>
      </w:r>
    </w:p>
    <w:p>
      <w:pPr>
        <w:pStyle w:val="TextBody"/>
        <w:bidi w:val="0"/>
        <w:spacing w:before="1" w:after="283"/>
        <w:jc w:val="left"/>
        <w:rPr/>
      </w:pPr>
      <w:r>
        <w:rPr/>
      </w:r>
    </w:p>
    <w:p>
      <w:pPr>
        <w:pStyle w:val="TextBody"/>
        <w:bidi w:val="0"/>
        <w:spacing w:lineRule="auto" w:line="280" w:before="0" w:after="0"/>
        <w:jc w:val="both"/>
        <w:rPr/>
      </w:pPr>
      <w:r>
        <w:rPr>
          <w:rFonts w:ascii="Times New Roman;sans-serif" w:hAnsi="Times New Roman;sans-serif"/>
          <w:b w:val="false"/>
          <w:color w:val="000000"/>
          <w:sz w:val="24"/>
        </w:rPr>
        <w:t xml:space="preserve">The rentable square footage of each floor of the Premises is as set forth on </w:t>
      </w:r>
      <w:r>
        <w:rPr>
          <w:rFonts w:ascii="Times New Roman;sans-serif" w:hAnsi="Times New Roman;sans-serif"/>
          <w:b/>
          <w:color w:val="000000"/>
          <w:sz w:val="24"/>
          <w:u w:val="single"/>
        </w:rPr>
        <w:t>Exhibit</w:t>
      </w:r>
      <w:r>
        <w:rPr>
          <w:color w:val="000000"/>
        </w:rPr>
        <w:t xml:space="preserve"> </w:t>
      </w:r>
      <w:r>
        <w:rPr>
          <w:rFonts w:ascii="Times New Roman;sans-serif" w:hAnsi="Times New Roman;sans-serif"/>
          <w:b/>
          <w:color w:val="000000"/>
          <w:sz w:val="24"/>
          <w:u w:val="single"/>
        </w:rPr>
        <w:t>A-1</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80" w:before="270" w:after="283"/>
        <w:ind w:left="0" w:right="0" w:firstLine="1440"/>
        <w:jc w:val="both"/>
        <w:rPr/>
      </w:pPr>
      <w:r>
        <w:rPr>
          <w:rFonts w:ascii="Times New Roman;sans-serif" w:hAnsi="Times New Roman;sans-serif"/>
          <w:b w:val="false"/>
          <w:color w:val="000000"/>
          <w:sz w:val="24"/>
        </w:rPr>
        <w:t xml:space="preserve">(c)Effective as of the Tranche III Give-Back Date, the description of Tenant’s Share set forth in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of the Summary is hereby deleted in its entirety and replaced with the following:</w:t>
      </w:r>
    </w:p>
    <w:p>
      <w:pPr>
        <w:pStyle w:val="TextBody"/>
        <w:bidi w:val="0"/>
        <w:spacing w:lineRule="auto" w:line="240" w:before="234" w:after="283"/>
        <w:jc w:val="left"/>
        <w:rPr/>
      </w:pPr>
      <w:r>
        <w:rPr>
          <w:rFonts w:ascii="Times New Roman;sans-serif" w:hAnsi="Times New Roman;sans-serif"/>
          <w:b w:val="false"/>
          <w:color w:val="000000"/>
          <w:sz w:val="24"/>
        </w:rPr>
        <w:t>6.    Tenant’s Share (</w:t>
      </w:r>
      <w:r>
        <w:rPr>
          <w:rFonts w:ascii="Times New Roman;sans-serif" w:hAnsi="Times New Roman;sans-serif"/>
          <w:b w:val="false"/>
          <w:color w:val="000000"/>
          <w:sz w:val="24"/>
          <w:u w:val="single"/>
        </w:rPr>
        <w:t>Article 4</w:t>
      </w:r>
      <w:r>
        <w:rPr>
          <w:rFonts w:ascii="Times New Roman;sans-serif" w:hAnsi="Times New Roman;sans-serif"/>
          <w:b w:val="false"/>
          <w:color w:val="000000"/>
          <w:sz w:val="24"/>
        </w:rPr>
        <w:t>):    73.86% of the North Building</w:t>
      </w:r>
    </w:p>
    <w:p>
      <w:pPr>
        <w:pStyle w:val="TextBody"/>
        <w:bidi w:val="0"/>
        <w:spacing w:lineRule="auto" w:line="556" w:before="274"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15.66% of the North Tower 89.87% of the South Building 100% of the South Tower</w:t>
      </w:r>
    </w:p>
    <w:p>
      <w:pPr>
        <w:pStyle w:val="TextBody"/>
        <w:bidi w:val="0"/>
        <w:spacing w:lineRule="auto" w:line="240" w:before="0" w:after="0"/>
        <w:jc w:val="both"/>
        <w:rPr/>
      </w:pPr>
      <w:r>
        <w:rPr>
          <w:rFonts w:ascii="Times New Roman;sans-serif" w:hAnsi="Times New Roman;sans-serif"/>
          <w:b w:val="false"/>
          <w:color w:val="000000"/>
          <w:sz w:val="24"/>
        </w:rPr>
        <w:t xml:space="preserve">*Tenant’s Share shall be determined separately for each Building and shall be equal to 100% for each of the South Building and South Tower regardless of the rentable square footage of the Retail Space; and specifically with respect to the North Tower the allocation of Direct Expenses shall be subject to the Retail Space “Cost Pool” (as that term is defined in </w:t>
      </w:r>
      <w:r>
        <w:rPr>
          <w:rFonts w:ascii="Times New Roman;sans-serif" w:hAnsi="Times New Roman;sans-serif"/>
          <w:b w:val="false"/>
          <w:color w:val="000000"/>
          <w:sz w:val="24"/>
          <w:u w:val="single"/>
        </w:rPr>
        <w:t>Section 4.3.2</w:t>
      </w:r>
      <w:r>
        <w:rPr>
          <w:color w:val="000000"/>
        </w:rPr>
        <w:t xml:space="preserve"> </w:t>
      </w:r>
      <w:r>
        <w:rPr>
          <w:rFonts w:ascii="Times New Roman;sans-serif" w:hAnsi="Times New Roman;sans-serif"/>
          <w:b w:val="false"/>
          <w:color w:val="000000"/>
          <w:sz w:val="24"/>
        </w:rPr>
        <w:t>below).</w:t>
      </w:r>
    </w:p>
    <w:p>
      <w:pPr>
        <w:pStyle w:val="TextBody"/>
        <w:bidi w:val="0"/>
        <w:spacing w:before="0" w:after="0"/>
        <w:jc w:val="left"/>
        <w:rPr/>
      </w:pPr>
      <w:r>
        <w:rPr/>
      </w:r>
    </w:p>
    <w:p>
      <w:pPr>
        <w:pStyle w:val="TextBody"/>
        <w:bidi w:val="0"/>
        <w:spacing w:lineRule="auto" w:line="280" w:before="0" w:after="0"/>
        <w:jc w:val="both"/>
        <w:rPr/>
      </w:pPr>
      <w:r>
        <w:rPr>
          <w:rFonts w:ascii="Times New Roman;sans-serif" w:hAnsi="Times New Roman;sans-serif"/>
          <w:b w:val="false"/>
          <w:color w:val="000000"/>
          <w:sz w:val="24"/>
        </w:rPr>
        <w:t xml:space="preserve">The rentable square footage of each floor of the Premises is as set forth on </w:t>
      </w:r>
      <w:r>
        <w:rPr>
          <w:rFonts w:ascii="Times New Roman;sans-serif" w:hAnsi="Times New Roman;sans-serif"/>
          <w:b/>
          <w:color w:val="000000"/>
          <w:sz w:val="24"/>
          <w:u w:val="single"/>
        </w:rPr>
        <w:t>Exhibit</w:t>
      </w:r>
      <w:r>
        <w:rPr>
          <w:color w:val="000000"/>
        </w:rPr>
        <w:t xml:space="preserve"> </w:t>
      </w:r>
      <w:r>
        <w:rPr>
          <w:rFonts w:ascii="Times New Roman;sans-serif" w:hAnsi="Times New Roman;sans-serif"/>
          <w:b/>
          <w:color w:val="000000"/>
          <w:sz w:val="24"/>
          <w:u w:val="single"/>
        </w:rPr>
        <w:t>A-1</w:t>
      </w:r>
      <w:r>
        <w:rPr>
          <w:color w:val="000000"/>
        </w:rPr>
        <w:t xml:space="preserve"> </w:t>
      </w:r>
      <w:r>
        <w:rPr>
          <w:rFonts w:ascii="Times New Roman;sans-serif" w:hAnsi="Times New Roman;sans-serif"/>
          <w:b w:val="false"/>
          <w:color w:val="000000"/>
          <w:sz w:val="24"/>
        </w:rPr>
        <w:t>attached hereto.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4" w:after="283"/>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ind w:left="0" w:right="0" w:hanging="720"/>
        <w:jc w:val="left"/>
        <w:rPr/>
      </w:pPr>
      <w:r>
        <w:rPr>
          <w:rFonts w:ascii="Times New Roman;sans-serif" w:hAnsi="Times New Roman;sans-serif"/>
          <w:b/>
          <w:color w:val="000000"/>
          <w:sz w:val="24"/>
        </w:rPr>
        <w:t>8.</w:t>
      </w:r>
      <w:r>
        <w:rPr>
          <w:rFonts w:ascii="Times New Roman;sans-serif" w:hAnsi="Times New Roman;sans-serif"/>
          <w:b/>
          <w:color w:val="000000"/>
          <w:sz w:val="24"/>
          <w:u w:val="single"/>
        </w:rPr>
        <w:t>Base Rent</w:t>
      </w:r>
      <w:r>
        <w:rPr>
          <w:rFonts w:ascii="Times New Roman;sans-serif" w:hAnsi="Times New Roman;sans-serif"/>
          <w:b w:val="false"/>
          <w:color w:val="000000"/>
          <w:sz w:val="24"/>
        </w:rPr>
        <w:t>.</w:t>
      </w:r>
    </w:p>
    <w:p>
      <w:pPr>
        <w:pStyle w:val="TextBody"/>
        <w:bidi w:val="0"/>
        <w:spacing w:before="21" w:after="283"/>
        <w:jc w:val="left"/>
        <w:rPr/>
      </w:pPr>
      <w:r>
        <w:rPr/>
      </w:r>
    </w:p>
    <w:p>
      <w:pPr>
        <w:pStyle w:val="TextBody"/>
        <w:bidi w:val="0"/>
        <w:spacing w:lineRule="auto" w:line="28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(a)Prior to the Tranche I Give-Back Date, Tenant shall continue to pay to Landlord all Rent payable under the Existing Lease with respect to the Existing Premises and all other costs and expenses payable under the Existing Lease in accordance with its terms.</w:t>
      </w:r>
    </w:p>
    <w:p>
      <w:pPr>
        <w:pStyle w:val="TextBody"/>
        <w:bidi w:val="0"/>
        <w:spacing w:lineRule="auto" w:line="240" w:before="234"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(b)Effective as of the Tranche I Give-Back Date and in addition to Additional Rent and all other costs and expenses payable by Tenant pursuant to the Lease, Tenant shall pay the following monthly Base Rent for the Post-Tranche I Remaining Premises, in accordance with the terms of the Lease:</w:t>
      </w:r>
    </w:p>
    <w:p>
      <w:pPr>
        <w:pStyle w:val="TextBody"/>
        <w:bidi w:val="0"/>
        <w:spacing w:before="11" w:after="283"/>
        <w:jc w:val="left"/>
        <w:rPr/>
      </w:pPr>
      <w:r>
        <w:rPr/>
      </w:r>
    </w:p>
    <w:tbl>
      <w:tblPr>
        <w:tblW w:w="10205" w:type="dxa"/>
        <w:jc w:val="left"/>
        <w:tblInd w:w="0" w:type="dxa"/>
        <w:tblLayout w:type="fixed"/>
        <w:tblCellMar>
          <w:top w:w="28" w:type="dxa"/>
          <w:left w:w="28" w:type="dxa"/>
          <w:bottom w:w="28" w:type="dxa"/>
          <w:right w:w="28" w:type="dxa"/>
        </w:tblCellMar>
      </w:tblPr>
      <w:tblGrid>
        <w:gridCol w:w="742"/>
        <w:gridCol w:w="653"/>
        <w:gridCol w:w="658"/>
        <w:gridCol w:w="847"/>
        <w:gridCol w:w="699"/>
        <w:gridCol w:w="535"/>
        <w:gridCol w:w="745"/>
        <w:gridCol w:w="693"/>
        <w:gridCol w:w="695"/>
        <w:gridCol w:w="1152"/>
        <w:gridCol w:w="1152"/>
        <w:gridCol w:w="1634"/>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before="135" w:after="283"/>
              <w:jc w:val="left"/>
              <w:rPr/>
            </w:pPr>
            <w:r>
              <w:rPr/>
            </w:r>
          </w:p>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PERIOD</w:t>
            </w:r>
          </w:p>
        </w:tc>
        <w:tc>
          <w:tcPr>
            <w:tcW w:w="208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ind w:left="0" w:right="0" w:hanging="530"/>
              <w:jc w:val="left"/>
              <w:rPr>
                <w:rFonts w:ascii="Times New Roman;sans-serif" w:hAnsi="Times New Roman;sans-serif"/>
                <w:b w:val="false"/>
                <w:color w:val="000000"/>
                <w:sz w:val="24"/>
              </w:rPr>
            </w:pPr>
            <w:r>
              <w:rPr>
                <w:rFonts w:ascii="Times New Roman;sans-serif" w:hAnsi="Times New Roman;sans-serif"/>
                <w:b w:val="false"/>
                <w:color w:val="000000"/>
                <w:sz w:val="24"/>
              </w:rPr>
              <w:t>ANNUAL BASE RENT</w:t>
            </w:r>
          </w:p>
        </w:tc>
        <w:tc>
          <w:tcPr>
            <w:tcW w:w="2133"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ind w:left="0" w:right="0" w:firstLine="45"/>
              <w:jc w:val="left"/>
              <w:rPr>
                <w:rFonts w:ascii="Times New Roman;sans-serif" w:hAnsi="Times New Roman;sans-serif"/>
                <w:b w:val="false"/>
                <w:color w:val="000000"/>
                <w:sz w:val="24"/>
              </w:rPr>
            </w:pPr>
            <w:r>
              <w:rPr>
                <w:rFonts w:ascii="Times New Roman;sans-serif" w:hAnsi="Times New Roman;sans-serif"/>
                <w:b w:val="false"/>
                <w:color w:val="000000"/>
                <w:sz w:val="24"/>
              </w:rPr>
              <w:t>MONTHLY BASE RENT</w:t>
            </w:r>
          </w:p>
        </w:tc>
        <w:tc>
          <w:tcPr>
            <w:tcW w:w="3938"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73"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MONTHLY BASE RENT PER RENTABLE SQUARE FOOT</w:t>
            </w:r>
          </w:p>
        </w:tc>
      </w:tr>
      <w:tr>
        <w:trPr/>
        <w:tc>
          <w:tcPr>
            <w:tcW w:w="20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October 1, 2023 to November</w:t>
            </w:r>
          </w:p>
          <w:p>
            <w:pPr>
              <w:pStyle w:val="TableContents"/>
              <w:bidi w:val="0"/>
              <w:spacing w:lineRule="auto" w:line="254" w:before="4"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30, 2023</w:t>
            </w:r>
          </w:p>
        </w:tc>
        <w:tc>
          <w:tcPr>
            <w:tcW w:w="2081" w:type="dxa"/>
            <w:gridSpan w:val="3"/>
            <w:tcBorders>
              <w:top w:val="single" w:sz="4" w:space="0" w:color="000000"/>
              <w:left w:val="single" w:sz="4" w:space="0" w:color="000000"/>
            </w:tcBorders>
            <w:tcMar>
              <w:top w:w="30" w:type="dxa"/>
              <w:left w:w="134"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$38,535,393.49</w:t>
            </w:r>
          </w:p>
        </w:tc>
        <w:tc>
          <w:tcPr>
            <w:tcW w:w="2133" w:type="dxa"/>
            <w:gridSpan w:val="3"/>
            <w:tcBorders>
              <w:top w:val="single" w:sz="4" w:space="0" w:color="000000"/>
              <w:left w:val="single" w:sz="4" w:space="0" w:color="000000"/>
            </w:tcBorders>
            <w:tcMar>
              <w:top w:w="30" w:type="dxa"/>
              <w:left w:w="134"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$3,211,282.79</w:t>
            </w:r>
          </w:p>
        </w:tc>
        <w:tc>
          <w:tcPr>
            <w:tcW w:w="3938" w:type="dxa"/>
            <w:gridSpan w:val="3"/>
            <w:tcBorders>
              <w:top w:val="single" w:sz="4" w:space="0" w:color="000000"/>
              <w:left w:val="single" w:sz="4" w:space="0" w:color="000000"/>
              <w:right w:val="single" w:sz="4" w:space="0" w:color="000000"/>
            </w:tcBorders>
            <w:tcMar>
              <w:top w:w="30" w:type="dxa"/>
              <w:left w:w="133"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$69.78</w:t>
            </w:r>
          </w:p>
        </w:tc>
      </w:tr>
      <w:tr>
        <w:trPr/>
        <w:tc>
          <w:tcPr>
            <w:tcW w:w="205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December 1, 2023 to May 31,</w:t>
            </w:r>
          </w:p>
          <w:p>
            <w:pPr>
              <w:pStyle w:val="TableContents"/>
              <w:bidi w:val="0"/>
              <w:spacing w:lineRule="auto"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2024</w:t>
            </w:r>
          </w:p>
        </w:tc>
        <w:tc>
          <w:tcPr>
            <w:tcW w:w="2081" w:type="dxa"/>
            <w:gridSpan w:val="3"/>
            <w:tcBorders>
              <w:top w:val="single" w:sz="4" w:space="0" w:color="000000"/>
              <w:left w:val="single" w:sz="4" w:space="0" w:color="000000"/>
              <w:bottom w:val="single" w:sz="4" w:space="0" w:color="000000"/>
            </w:tcBorders>
            <w:tcMar>
              <w:top w:w="30" w:type="dxa"/>
              <w:left w:w="134"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$39,691,455.29</w:t>
            </w:r>
          </w:p>
        </w:tc>
        <w:tc>
          <w:tcPr>
            <w:tcW w:w="2133" w:type="dxa"/>
            <w:gridSpan w:val="3"/>
            <w:tcBorders>
              <w:top w:val="single" w:sz="4" w:space="0" w:color="000000"/>
              <w:left w:val="single" w:sz="4" w:space="0" w:color="000000"/>
              <w:bottom w:val="single" w:sz="4" w:space="0" w:color="000000"/>
            </w:tcBorders>
            <w:tcMar>
              <w:top w:w="30" w:type="dxa"/>
              <w:left w:w="134"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$3,307,621.27</w:t>
            </w:r>
          </w:p>
        </w:tc>
        <w:tc>
          <w:tcPr>
            <w:tcW w:w="3938" w:type="dxa"/>
            <w:gridSpan w:val="3"/>
            <w:tcBorders>
              <w:top w:val="single" w:sz="4" w:space="0" w:color="000000"/>
              <w:left w:val="single" w:sz="4" w:space="0" w:color="000000"/>
              <w:bottom w:val="single" w:sz="4" w:space="0" w:color="000000"/>
              <w:right w:val="single" w:sz="4" w:space="0" w:color="000000"/>
            </w:tcBorders>
            <w:tcMar>
              <w:top w:w="30" w:type="dxa"/>
              <w:left w:w="133"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$71.87</w:t>
            </w:r>
          </w:p>
        </w:tc>
      </w:tr>
    </w:tbl>
    <w:p>
      <w:pPr>
        <w:pStyle w:val="TextBody"/>
        <w:bidi w:val="0"/>
        <w:spacing w:before="0" w:after="0"/>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(c)Effective as of the Tranche II Give-Back Date and in addition to Additional Rent and all other costs and expenses payable by Tenant pursuant to the Lease, Tenant shall pay the following monthly Base Rent for the Post-Tranche II Remaining Premises, in accordance with the terms of the Lease:</w:t>
      </w:r>
    </w:p>
    <w:p>
      <w:pPr>
        <w:pStyle w:val="TextBody"/>
        <w:bidi w:val="0"/>
        <w:spacing w:before="10" w:after="283"/>
        <w:jc w:val="left"/>
        <w:rPr/>
      </w:pPr>
      <w:r>
        <w:rPr/>
      </w:r>
    </w:p>
    <w:tbl>
      <w:tblPr>
        <w:tblW w:w="10205" w:type="dxa"/>
        <w:jc w:val="left"/>
        <w:tblInd w:w="0" w:type="dxa"/>
        <w:tblLayout w:type="fixed"/>
        <w:tblCellMar>
          <w:top w:w="28" w:type="dxa"/>
          <w:left w:w="28" w:type="dxa"/>
          <w:bottom w:w="28" w:type="dxa"/>
          <w:right w:w="28" w:type="dxa"/>
        </w:tblCellMar>
      </w:tblPr>
      <w:tblGrid>
        <w:gridCol w:w="590"/>
        <w:gridCol w:w="519"/>
        <w:gridCol w:w="523"/>
        <w:gridCol w:w="847"/>
        <w:gridCol w:w="717"/>
        <w:gridCol w:w="572"/>
        <w:gridCol w:w="767"/>
        <w:gridCol w:w="721"/>
        <w:gridCol w:w="722"/>
        <w:gridCol w:w="1236"/>
        <w:gridCol w:w="1236"/>
        <w:gridCol w:w="1755"/>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PERIOD</w:t>
            </w:r>
          </w:p>
        </w:tc>
        <w:tc>
          <w:tcPr>
            <w:tcW w:w="2136"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41" w:after="283"/>
              <w:ind w:left="0" w:right="0" w:hanging="536"/>
              <w:jc w:val="left"/>
              <w:rPr>
                <w:rFonts w:ascii="Times New Roman;sans-serif" w:hAnsi="Times New Roman;sans-serif"/>
                <w:b w:val="false"/>
                <w:color w:val="000000"/>
                <w:sz w:val="24"/>
              </w:rPr>
            </w:pPr>
            <w:r>
              <w:rPr>
                <w:rFonts w:ascii="Times New Roman;sans-serif" w:hAnsi="Times New Roman;sans-serif"/>
                <w:b w:val="false"/>
                <w:color w:val="000000"/>
                <w:sz w:val="24"/>
              </w:rPr>
              <w:t>ANNUAL BASE RENT</w:t>
            </w:r>
          </w:p>
        </w:tc>
        <w:tc>
          <w:tcPr>
            <w:tcW w:w="221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141" w:after="283"/>
              <w:ind w:left="0" w:right="0" w:firstLine="45"/>
              <w:jc w:val="left"/>
              <w:rPr>
                <w:rFonts w:ascii="Times New Roman;sans-serif" w:hAnsi="Times New Roman;sans-serif"/>
                <w:b w:val="false"/>
                <w:color w:val="000000"/>
                <w:sz w:val="24"/>
              </w:rPr>
            </w:pPr>
            <w:r>
              <w:rPr>
                <w:rFonts w:ascii="Times New Roman;sans-serif" w:hAnsi="Times New Roman;sans-serif"/>
                <w:b w:val="false"/>
                <w:color w:val="000000"/>
                <w:sz w:val="24"/>
              </w:rPr>
              <w:t>MONTHLY BASE RENT</w:t>
            </w:r>
          </w:p>
        </w:tc>
        <w:tc>
          <w:tcPr>
            <w:tcW w:w="4227"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1" w:after="283"/>
              <w:ind w:left="0" w:right="0" w:hanging="6"/>
              <w:jc w:val="center"/>
              <w:rPr>
                <w:rFonts w:ascii="Times New Roman;sans-serif" w:hAnsi="Times New Roman;sans-serif"/>
                <w:b w:val="false"/>
                <w:color w:val="000000"/>
                <w:sz w:val="24"/>
              </w:rPr>
            </w:pPr>
            <w:r>
              <w:rPr>
                <w:rFonts w:ascii="Times New Roman;sans-serif" w:hAnsi="Times New Roman;sans-serif"/>
                <w:b w:val="false"/>
                <w:color w:val="000000"/>
                <w:sz w:val="24"/>
              </w:rPr>
              <w:t>MONTHLY BASE RENT PER RENTABLE SQUARE FOOT</w:t>
            </w:r>
          </w:p>
        </w:tc>
      </w:tr>
      <w:tr>
        <w:trPr/>
        <w:tc>
          <w:tcPr>
            <w:tcW w:w="16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June 1, 2024 -</w:t>
            </w:r>
          </w:p>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November 30, 2024</w:t>
            </w:r>
          </w:p>
        </w:tc>
        <w:tc>
          <w:tcPr>
            <w:tcW w:w="21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3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$35,792,021.32</w:t>
            </w:r>
          </w:p>
        </w:tc>
        <w:tc>
          <w:tcPr>
            <w:tcW w:w="22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3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$2,982,668.44</w:t>
            </w:r>
          </w:p>
        </w:tc>
        <w:tc>
          <w:tcPr>
            <w:tcW w:w="4227"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3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$71.87</w:t>
            </w:r>
          </w:p>
        </w:tc>
      </w:tr>
      <w:tr>
        <w:trPr/>
        <w:tc>
          <w:tcPr>
            <w:tcW w:w="163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December 1, 2024 -</w:t>
            </w:r>
          </w:p>
          <w:p>
            <w:pPr>
              <w:pStyle w:val="TableContents"/>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December 31, 2024</w:t>
            </w:r>
          </w:p>
        </w:tc>
        <w:tc>
          <w:tcPr>
            <w:tcW w:w="21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4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$36,865,781.96</w:t>
            </w:r>
          </w:p>
        </w:tc>
        <w:tc>
          <w:tcPr>
            <w:tcW w:w="22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4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$3,072,148.50</w:t>
            </w:r>
          </w:p>
        </w:tc>
        <w:tc>
          <w:tcPr>
            <w:tcW w:w="4227"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4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$74.03</w:t>
            </w:r>
          </w:p>
        </w:tc>
      </w:tr>
    </w:tbl>
    <w:p>
      <w:pPr>
        <w:pStyle w:val="TextBody"/>
        <w:bidi w:val="0"/>
        <w:spacing w:before="245" w:after="283"/>
        <w:jc w:val="left"/>
        <w:rPr/>
      </w:pPr>
      <w:r>
        <w:rPr/>
      </w:r>
    </w:p>
    <w:p>
      <w:pPr>
        <w:pStyle w:val="TextBody"/>
        <w:bidi w:val="0"/>
        <w:spacing w:lineRule="auto" w:line="240" w:before="1"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(d)Effective as of the Tranche III Give-Back Date and in addition to Additional Rent and all other costs and expenses payable by Tenant pursuant to the Lease, Tenant shall pay the following monthly Base Rent for the Post-Tranche III Remaining Premises, in accordance with the terms of the Lease: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91" w:after="283"/>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14"/>
        <w:gridCol w:w="716"/>
        <w:gridCol w:w="721"/>
        <w:gridCol w:w="847"/>
        <w:gridCol w:w="736"/>
        <w:gridCol w:w="616"/>
        <w:gridCol w:w="791"/>
        <w:gridCol w:w="752"/>
        <w:gridCol w:w="754"/>
        <w:gridCol w:w="1011"/>
        <w:gridCol w:w="1011"/>
        <w:gridCol w:w="1436"/>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before="139" w:after="283"/>
              <w:jc w:val="left"/>
              <w:rPr/>
            </w:pPr>
            <w:r>
              <w:rPr/>
            </w:r>
          </w:p>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PERIOD</w:t>
            </w:r>
          </w:p>
        </w:tc>
        <w:tc>
          <w:tcPr>
            <w:tcW w:w="219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276" w:after="283"/>
              <w:ind w:left="0" w:right="0" w:hanging="530"/>
              <w:jc w:val="left"/>
              <w:rPr>
                <w:rFonts w:ascii="Times New Roman;sans-serif" w:hAnsi="Times New Roman;sans-serif"/>
                <w:b w:val="false"/>
                <w:color w:val="000000"/>
                <w:sz w:val="24"/>
              </w:rPr>
            </w:pPr>
            <w:r>
              <w:rPr>
                <w:rFonts w:ascii="Times New Roman;sans-serif" w:hAnsi="Times New Roman;sans-serif"/>
                <w:b w:val="false"/>
                <w:color w:val="000000"/>
                <w:sz w:val="24"/>
              </w:rPr>
              <w:t>ANNUAL BASE RENT</w:t>
            </w:r>
          </w:p>
        </w:tc>
        <w:tc>
          <w:tcPr>
            <w:tcW w:w="229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276" w:after="283"/>
              <w:ind w:left="0" w:right="0" w:firstLine="45"/>
              <w:jc w:val="left"/>
              <w:rPr>
                <w:rFonts w:ascii="Times New Roman;sans-serif" w:hAnsi="Times New Roman;sans-serif"/>
                <w:b w:val="false"/>
                <w:color w:val="000000"/>
                <w:sz w:val="24"/>
              </w:rPr>
            </w:pPr>
            <w:r>
              <w:rPr>
                <w:rFonts w:ascii="Times New Roman;sans-serif" w:hAnsi="Times New Roman;sans-serif"/>
                <w:b w:val="false"/>
                <w:color w:val="000000"/>
                <w:sz w:val="24"/>
              </w:rPr>
              <w:t>MONTHLY BASE RENT</w:t>
            </w:r>
          </w:p>
        </w:tc>
        <w:tc>
          <w:tcPr>
            <w:tcW w:w="3458"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MONTHLY BASE RENT PER RENTABLE</w:t>
            </w:r>
          </w:p>
          <w:p>
            <w:pPr>
              <w:pStyle w:val="TableContents"/>
              <w:bidi w:val="0"/>
              <w:spacing w:lineRule="auto" w:line="254" w:before="2"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SQUARE FOOT</w:t>
            </w:r>
          </w:p>
        </w:tc>
      </w:tr>
      <w:tr>
        <w:trPr/>
        <w:tc>
          <w:tcPr>
            <w:tcW w:w="22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January 1, 2025 - November</w:t>
            </w:r>
          </w:p>
          <w:p>
            <w:pPr>
              <w:pStyle w:val="TableContents"/>
              <w:bidi w:val="0"/>
              <w:spacing w:lineRule="auto" w:line="254"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30, 2025</w:t>
            </w:r>
          </w:p>
        </w:tc>
        <w:tc>
          <w:tcPr>
            <w:tcW w:w="2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$32,495,347.56</w:t>
            </w:r>
          </w:p>
        </w:tc>
        <w:tc>
          <w:tcPr>
            <w:tcW w:w="22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$2,707,945.63</w:t>
            </w:r>
          </w:p>
        </w:tc>
        <w:tc>
          <w:tcPr>
            <w:tcW w:w="34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$74.03</w:t>
            </w:r>
          </w:p>
        </w:tc>
      </w:tr>
      <w:tr>
        <w:trPr/>
        <w:tc>
          <w:tcPr>
            <w:tcW w:w="22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December 1, 2025 -</w:t>
            </w:r>
          </w:p>
          <w:p>
            <w:pPr>
              <w:pStyle w:val="TableContents"/>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November 30, 2026</w:t>
            </w:r>
          </w:p>
        </w:tc>
        <w:tc>
          <w:tcPr>
            <w:tcW w:w="2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$33,470,207.99</w:t>
            </w:r>
          </w:p>
        </w:tc>
        <w:tc>
          <w:tcPr>
            <w:tcW w:w="22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$2,789,184.00</w:t>
            </w:r>
          </w:p>
        </w:tc>
        <w:tc>
          <w:tcPr>
            <w:tcW w:w="34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$76.25</w:t>
            </w:r>
          </w:p>
        </w:tc>
      </w:tr>
      <w:tr>
        <w:trPr/>
        <w:tc>
          <w:tcPr>
            <w:tcW w:w="22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December 1, 2026 -</w:t>
            </w:r>
          </w:p>
          <w:p>
            <w:pPr>
              <w:pStyle w:val="TableContents"/>
              <w:bidi w:val="0"/>
              <w:spacing w:lineRule="auto"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November 30, 2027</w:t>
            </w:r>
          </w:p>
        </w:tc>
        <w:tc>
          <w:tcPr>
            <w:tcW w:w="2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$34,474,314.23</w:t>
            </w:r>
          </w:p>
        </w:tc>
        <w:tc>
          <w:tcPr>
            <w:tcW w:w="22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$2,872,859.52</w:t>
            </w:r>
          </w:p>
        </w:tc>
        <w:tc>
          <w:tcPr>
            <w:tcW w:w="34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$78.54</w:t>
            </w:r>
          </w:p>
        </w:tc>
      </w:tr>
      <w:tr>
        <w:trPr/>
        <w:tc>
          <w:tcPr>
            <w:tcW w:w="22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December 1, 2027 -</w:t>
            </w:r>
          </w:p>
          <w:p>
            <w:pPr>
              <w:pStyle w:val="TableContents"/>
              <w:bidi w:val="0"/>
              <w:spacing w:lineRule="auto"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November 30, 2028</w:t>
            </w:r>
          </w:p>
        </w:tc>
        <w:tc>
          <w:tcPr>
            <w:tcW w:w="2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$35,508,543.66</w:t>
            </w:r>
          </w:p>
        </w:tc>
        <w:tc>
          <w:tcPr>
            <w:tcW w:w="22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$2,959,045.30</w:t>
            </w:r>
          </w:p>
        </w:tc>
        <w:tc>
          <w:tcPr>
            <w:tcW w:w="34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$80.90</w:t>
            </w:r>
          </w:p>
        </w:tc>
      </w:tr>
      <w:tr>
        <w:trPr/>
        <w:tc>
          <w:tcPr>
            <w:tcW w:w="22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December 1, 2028 -</w:t>
            </w:r>
          </w:p>
          <w:p>
            <w:pPr>
              <w:pStyle w:val="TableContents"/>
              <w:bidi w:val="0"/>
              <w:spacing w:lineRule="auto" w:line="254" w:before="4"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November 30, 2029</w:t>
            </w:r>
          </w:p>
        </w:tc>
        <w:tc>
          <w:tcPr>
            <w:tcW w:w="2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$36,573,799.97</w:t>
            </w:r>
          </w:p>
        </w:tc>
        <w:tc>
          <w:tcPr>
            <w:tcW w:w="22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$3,047,816.66</w:t>
            </w:r>
          </w:p>
        </w:tc>
        <w:tc>
          <w:tcPr>
            <w:tcW w:w="34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$83.32</w:t>
            </w:r>
          </w:p>
        </w:tc>
      </w:tr>
      <w:tr>
        <w:trPr/>
        <w:tc>
          <w:tcPr>
            <w:tcW w:w="22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December 1, 2029 -</w:t>
            </w:r>
          </w:p>
          <w:p>
            <w:pPr>
              <w:pStyle w:val="TableContents"/>
              <w:bidi w:val="0"/>
              <w:spacing w:lineRule="auto"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November 30, 2030</w:t>
            </w:r>
          </w:p>
        </w:tc>
        <w:tc>
          <w:tcPr>
            <w:tcW w:w="2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$37,671,013.97</w:t>
            </w:r>
          </w:p>
        </w:tc>
        <w:tc>
          <w:tcPr>
            <w:tcW w:w="22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$3,139,251.16</w:t>
            </w:r>
          </w:p>
        </w:tc>
        <w:tc>
          <w:tcPr>
            <w:tcW w:w="34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$85.82</w:t>
            </w:r>
          </w:p>
        </w:tc>
      </w:tr>
      <w:tr>
        <w:trPr/>
        <w:tc>
          <w:tcPr>
            <w:tcW w:w="22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December 1, 2030 -</w:t>
            </w:r>
          </w:p>
          <w:p>
            <w:pPr>
              <w:pStyle w:val="TableContents"/>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November 30, 2031</w:t>
            </w:r>
          </w:p>
        </w:tc>
        <w:tc>
          <w:tcPr>
            <w:tcW w:w="2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$38,801,144.38</w:t>
            </w:r>
          </w:p>
        </w:tc>
        <w:tc>
          <w:tcPr>
            <w:tcW w:w="22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$3,233,428.70</w:t>
            </w:r>
          </w:p>
        </w:tc>
        <w:tc>
          <w:tcPr>
            <w:tcW w:w="34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$88.40</w:t>
            </w:r>
          </w:p>
        </w:tc>
      </w:tr>
      <w:tr>
        <w:trPr/>
        <w:tc>
          <w:tcPr>
            <w:tcW w:w="22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December 1, 2031 -</w:t>
            </w:r>
          </w:p>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November 30, 2032</w:t>
            </w:r>
          </w:p>
        </w:tc>
        <w:tc>
          <w:tcPr>
            <w:tcW w:w="21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$39,965,178.72</w:t>
            </w:r>
          </w:p>
        </w:tc>
        <w:tc>
          <w:tcPr>
            <w:tcW w:w="22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$3,330,431.56</w:t>
            </w:r>
          </w:p>
        </w:tc>
        <w:tc>
          <w:tcPr>
            <w:tcW w:w="345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$91.05</w:t>
            </w:r>
          </w:p>
        </w:tc>
      </w:tr>
      <w:tr>
        <w:trPr/>
        <w:tc>
          <w:tcPr>
            <w:tcW w:w="2251" w:type="dxa"/>
            <w:gridSpan w:val="3"/>
            <w:tcBorders>
              <w:top w:val="single" w:sz="6"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December 1, 2032 -</w:t>
            </w:r>
          </w:p>
          <w:p>
            <w:pPr>
              <w:pStyle w:val="TableContents"/>
              <w:bidi w:val="0"/>
              <w:spacing w:lineRule="auto" w:line="254"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November 30, 2033</w:t>
            </w:r>
          </w:p>
        </w:tc>
        <w:tc>
          <w:tcPr>
            <w:tcW w:w="2199" w:type="dxa"/>
            <w:gridSpan w:val="3"/>
            <w:tcBorders>
              <w:top w:val="single" w:sz="6"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$41,164,134.08</w:t>
            </w:r>
          </w:p>
        </w:tc>
        <w:tc>
          <w:tcPr>
            <w:tcW w:w="2297" w:type="dxa"/>
            <w:gridSpan w:val="3"/>
            <w:tcBorders>
              <w:top w:val="single" w:sz="6"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$3,430,344.51</w:t>
            </w:r>
          </w:p>
        </w:tc>
        <w:tc>
          <w:tcPr>
            <w:tcW w:w="3458" w:type="dxa"/>
            <w:gridSpan w:val="3"/>
            <w:tcBorders>
              <w:top w:val="single" w:sz="6"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$93.78</w:t>
            </w:r>
          </w:p>
        </w:tc>
      </w:tr>
    </w:tbl>
    <w:p>
      <w:pPr>
        <w:pStyle w:val="TextBody"/>
        <w:bidi w:val="0"/>
        <w:spacing w:before="0" w:after="0"/>
        <w:jc w:val="left"/>
        <w:rPr/>
      </w:pPr>
      <w:r>
        <w:rPr/>
      </w:r>
    </w:p>
    <w:p>
      <w:pPr>
        <w:pStyle w:val="TextBody"/>
        <w:bidi w:val="0"/>
        <w:spacing w:before="79" w:after="283"/>
        <w:jc w:val="left"/>
        <w:rPr/>
      </w:pPr>
      <w:r>
        <w:rPr/>
      </w:r>
    </w:p>
    <w:p>
      <w:pPr>
        <w:pStyle w:val="TextBody"/>
        <w:bidi w:val="0"/>
        <w:spacing w:lineRule="auto" w:line="240" w:before="0" w:after="0"/>
        <w:ind w:left="0" w:right="0" w:hanging="720"/>
        <w:jc w:val="left"/>
        <w:rPr/>
      </w:pPr>
      <w:r>
        <w:rPr>
          <w:rFonts w:ascii="Times New Roman;sans-serif" w:hAnsi="Times New Roman;sans-serif"/>
          <w:b/>
          <w:color w:val="000000"/>
          <w:sz w:val="24"/>
        </w:rPr>
        <w:t>9.</w:t>
      </w:r>
      <w:r>
        <w:rPr>
          <w:rFonts w:ascii="Times New Roman;sans-serif" w:hAnsi="Times New Roman;sans-serif"/>
          <w:b/>
          <w:color w:val="000000"/>
          <w:sz w:val="24"/>
          <w:u w:val="single"/>
        </w:rPr>
        <w:t>Additional Rent</w:t>
      </w:r>
      <w:r>
        <w:rPr>
          <w:rFonts w:ascii="Times New Roman;sans-serif" w:hAnsi="Times New Roman;sans-serif"/>
          <w:b w:val="false"/>
          <w:color w:val="000000"/>
          <w:sz w:val="24"/>
        </w:rPr>
        <w:t>.</w:t>
      </w:r>
    </w:p>
    <w:p>
      <w:pPr>
        <w:pStyle w:val="TextBody"/>
        <w:bidi w:val="0"/>
        <w:spacing w:before="15" w:after="283"/>
        <w:jc w:val="left"/>
        <w:rPr/>
      </w:pPr>
      <w:r>
        <w:rPr/>
      </w:r>
    </w:p>
    <w:p>
      <w:pPr>
        <w:pStyle w:val="TextBody"/>
        <w:bidi w:val="0"/>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(a)Prior to the Tranche I Give-Back Date, and in addition to the monthly Base Rent set forth in the Existing Lease, Tenant shall continue to pay Tenant’s Share of Direct Expenses, and all other additional rent payable under the terms of the Existing Lease, pursuant to the terms and conditions of the Lease.</w:t>
      </w:r>
    </w:p>
    <w:p>
      <w:pPr>
        <w:pStyle w:val="TextBody"/>
        <w:bidi w:val="0"/>
        <w:spacing w:lineRule="auto" w:line="240" w:before="236" w:after="283"/>
        <w:ind w:left="0" w:right="0" w:firstLine="1440"/>
        <w:jc w:val="both"/>
        <w:rPr/>
      </w:pPr>
      <w:r>
        <w:rPr>
          <w:rFonts w:ascii="Times New Roman;sans-serif" w:hAnsi="Times New Roman;sans-serif"/>
          <w:b w:val="false"/>
          <w:color w:val="000000"/>
          <w:sz w:val="24"/>
        </w:rPr>
        <w:t xml:space="preserve">(b)Effective as of the Tranche I Give-Back Date and in addition to the monthly Base Rent set forth in </w:t>
      </w:r>
      <w:r>
        <w:rPr>
          <w:rFonts w:ascii="Times New Roman;sans-serif" w:hAnsi="Times New Roman;sans-serif"/>
          <w:b w:val="false"/>
          <w:color w:val="000000"/>
          <w:sz w:val="24"/>
          <w:u w:val="single"/>
        </w:rPr>
        <w:t>Section 8(b)</w:t>
      </w:r>
      <w:r>
        <w:rPr>
          <w:color w:val="000000"/>
        </w:rPr>
        <w:t xml:space="preserve"> </w:t>
      </w:r>
      <w:r>
        <w:rPr>
          <w:rFonts w:ascii="Times New Roman;sans-serif" w:hAnsi="Times New Roman;sans-serif"/>
          <w:b w:val="false"/>
          <w:color w:val="000000"/>
          <w:sz w:val="24"/>
        </w:rPr>
        <w:t>of this Eleventh Amendment, Tenant shall pay Tenant’s Share of Direct Expenses with respect to the Post-Tranche I Remaining Premises, and all other additional rent payable under the terms of the Lease, pursuant to the terms and conditions of the Lease. Effective as of the Tranche I Give-Back Date, Tenant’s Share of Direct Expenses shall be as set forth in Section 6 of the Summary of the Lease (as amended by Section 7(a) of this Eleventh Amendment).</w:t>
      </w:r>
    </w:p>
    <w:p>
      <w:pPr>
        <w:pStyle w:val="TextBody"/>
        <w:bidi w:val="0"/>
        <w:spacing w:lineRule="auto" w:line="240" w:before="244" w:after="283"/>
        <w:ind w:left="0" w:right="0" w:firstLine="1440"/>
        <w:jc w:val="both"/>
        <w:rPr/>
      </w:pPr>
      <w:r>
        <w:rPr>
          <w:rFonts w:ascii="Times New Roman;sans-serif" w:hAnsi="Times New Roman;sans-serif"/>
          <w:b w:val="false"/>
          <w:color w:val="000000"/>
          <w:sz w:val="24"/>
        </w:rPr>
        <w:t xml:space="preserve">(c)Effective as of the Tranche II Give-Back Date and in addition to the monthly Base Rent set forth in </w:t>
      </w:r>
      <w:r>
        <w:rPr>
          <w:rFonts w:ascii="Times New Roman;sans-serif" w:hAnsi="Times New Roman;sans-serif"/>
          <w:b w:val="false"/>
          <w:color w:val="000000"/>
          <w:sz w:val="24"/>
          <w:u w:val="single"/>
        </w:rPr>
        <w:t>Section 8(c)</w:t>
      </w:r>
      <w:r>
        <w:rPr>
          <w:color w:val="000000"/>
        </w:rPr>
        <w:t xml:space="preserve"> </w:t>
      </w:r>
      <w:r>
        <w:rPr>
          <w:rFonts w:ascii="Times New Roman;sans-serif" w:hAnsi="Times New Roman;sans-serif"/>
          <w:b w:val="false"/>
          <w:color w:val="000000"/>
          <w:sz w:val="24"/>
        </w:rPr>
        <w:t>of this Eleventh Amendment, Tenant shall pay Tenant’s Share of Direct Expenses with respect to the Remaining Premises, and all other additional rent payable under the terms of the Lease, pursuant to the terms and conditions of the Lease. Effective as of the Tranche II Give-Back Date, Tenant’s Share of Direct Expenses shall be as set forth in Section 6 of the Summary of the Lease (as amended by Section 7(a) of this Eleventh Amendment).</w:t>
      </w:r>
    </w:p>
    <w:p>
      <w:pPr>
        <w:pStyle w:val="TextBody"/>
        <w:bidi w:val="0"/>
        <w:spacing w:before="0" w:after="0"/>
        <w:jc w:val="left"/>
        <w:rPr/>
      </w:pPr>
      <w:r>
        <w:rPr/>
      </w:r>
    </w:p>
    <w:p>
      <w:pPr>
        <w:pStyle w:val="TextBody"/>
        <w:bidi w:val="0"/>
        <w:spacing w:before="17" w:after="283"/>
        <w:jc w:val="left"/>
        <w:rPr/>
      </w:pPr>
      <w:r>
        <w:rPr/>
      </w:r>
    </w:p>
    <w:p>
      <w:pPr>
        <w:pStyle w:val="TextBody"/>
        <w:bidi w:val="0"/>
        <w:spacing w:before="1"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ind w:left="0" w:right="0" w:firstLine="1440"/>
        <w:jc w:val="both"/>
        <w:rPr/>
      </w:pPr>
      <w:r>
        <w:rPr>
          <w:rFonts w:ascii="Times New Roman;sans-serif" w:hAnsi="Times New Roman;sans-serif"/>
          <w:b w:val="false"/>
          <w:color w:val="000000"/>
          <w:sz w:val="24"/>
        </w:rPr>
        <w:t xml:space="preserve">(d)Effective as of the Tranche III Give-Back Date and in addition to the monthly Base Rent set forth in </w:t>
      </w:r>
      <w:r>
        <w:rPr>
          <w:rFonts w:ascii="Times New Roman;sans-serif" w:hAnsi="Times New Roman;sans-serif"/>
          <w:b w:val="false"/>
          <w:color w:val="000000"/>
          <w:sz w:val="24"/>
          <w:u w:val="single"/>
        </w:rPr>
        <w:t>Section 8(d)</w:t>
      </w:r>
      <w:r>
        <w:rPr>
          <w:color w:val="000000"/>
        </w:rPr>
        <w:t xml:space="preserve"> </w:t>
      </w:r>
      <w:r>
        <w:rPr>
          <w:rFonts w:ascii="Times New Roman;sans-serif" w:hAnsi="Times New Roman;sans-serif"/>
          <w:b w:val="false"/>
          <w:color w:val="000000"/>
          <w:sz w:val="24"/>
        </w:rPr>
        <w:t>of this Eleventh Amendment, Tenant shall pay Tenant’s Share of Direct Expenses with respect to the Remaining Premises, and all other additional rent payable under the terms of the Lease, pursuant to the terms and conditions of the Lease. Effective as of the Tranche III Give-Back Date, Tenant’s Share of Direct Expenses shall be as set forth in Section 6 of the Summary of the Lease (as amended by Section 7(a) of this Eleventh Amendment).</w:t>
      </w:r>
    </w:p>
    <w:p>
      <w:pPr>
        <w:pStyle w:val="TextBody"/>
        <w:bidi w:val="0"/>
        <w:spacing w:lineRule="auto" w:line="280" w:before="239" w:after="283"/>
        <w:ind w:left="0" w:right="0" w:firstLine="720"/>
        <w:jc w:val="both"/>
        <w:rPr/>
      </w:pPr>
      <w:r>
        <w:rPr>
          <w:rFonts w:ascii="Times New Roman;sans-serif" w:hAnsi="Times New Roman;sans-serif"/>
          <w:b/>
          <w:color w:val="000000"/>
          <w:sz w:val="24"/>
        </w:rPr>
        <w:t>10.</w:t>
      </w:r>
      <w:r>
        <w:rPr>
          <w:rFonts w:ascii="Times New Roman;sans-serif" w:hAnsi="Times New Roman;sans-serif"/>
          <w:b/>
          <w:color w:val="000000"/>
          <w:sz w:val="24"/>
          <w:u w:val="single"/>
        </w:rPr>
        <w:t>Tenant Parking</w:t>
      </w:r>
      <w:r>
        <w:rPr>
          <w:rFonts w:ascii="Times New Roman;sans-serif" w:hAnsi="Times New Roman;sans-serif"/>
          <w:b w:val="false"/>
          <w:color w:val="000000"/>
          <w:sz w:val="24"/>
        </w:rPr>
        <w:t>. Landlord and Tenant acknowledge and agree that, from and after each applicable Give-Back Date, Tenant’s obligation to rent Parking Passes shall be as follows:</w:t>
      </w:r>
    </w:p>
    <w:p>
      <w:pPr>
        <w:pStyle w:val="TextBody"/>
        <w:bidi w:val="0"/>
        <w:spacing w:before="3" w:after="283"/>
        <w:jc w:val="left"/>
        <w:rPr/>
      </w:pPr>
      <w:r>
        <w:rPr/>
      </w:r>
    </w:p>
    <w:tbl>
      <w:tblPr>
        <w:tblW w:w="9524" w:type="dxa"/>
        <w:jc w:val="left"/>
        <w:tblInd w:w="0" w:type="dxa"/>
        <w:tblLayout w:type="fixed"/>
        <w:tblCellMar>
          <w:top w:w="28" w:type="dxa"/>
          <w:left w:w="28" w:type="dxa"/>
          <w:bottom w:w="28" w:type="dxa"/>
          <w:right w:w="28" w:type="dxa"/>
        </w:tblCellMar>
      </w:tblPr>
      <w:tblGrid>
        <w:gridCol w:w="1350"/>
        <w:gridCol w:w="1186"/>
        <w:gridCol w:w="1198"/>
        <w:gridCol w:w="1695"/>
        <w:gridCol w:w="1695"/>
        <w:gridCol w:w="2400"/>
      </w:tblGrid>
      <w:tr>
        <w:trPr/>
        <w:tc>
          <w:tcPr>
            <w:tcW w:w="13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op w:val="single" w:sz="4" w:space="0" w:color="000000"/>
              <w:left w:val="single" w:sz="4" w:space="0" w:color="000000"/>
            </w:tcBorders>
            <w:tcMar>
              <w:top w:w="30" w:type="dxa"/>
              <w:left w:w="1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Period:</w:t>
            </w:r>
          </w:p>
        </w:tc>
        <w:tc>
          <w:tcPr>
            <w:tcW w:w="5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rFonts w:ascii="Times New Roman;sans-serif" w:hAnsi="Times New Roman;sans-serif"/>
                <w:b/>
                <w:color w:val="000000"/>
                <w:sz w:val="24"/>
              </w:rPr>
            </w:pPr>
            <w:r>
              <w:rPr>
                <w:rFonts w:ascii="Times New Roman;sans-serif" w:hAnsi="Times New Roman;sans-serif"/>
                <w:b/>
                <w:color w:val="000000"/>
                <w:sz w:val="24"/>
              </w:rPr>
              <w:t>Number of Parking Passes Tenant is Obligated to Rent:</w:t>
            </w:r>
          </w:p>
        </w:tc>
      </w:tr>
      <w:tr>
        <w:trPr/>
        <w:tc>
          <w:tcPr>
            <w:tcW w:w="3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October 1, 2023 - December 31, 2023</w:t>
            </w:r>
          </w:p>
        </w:tc>
        <w:tc>
          <w:tcPr>
            <w:tcW w:w="5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349 Parking Passes</w:t>
            </w:r>
          </w:p>
        </w:tc>
      </w:tr>
      <w:tr>
        <w:trPr/>
        <w:tc>
          <w:tcPr>
            <w:tcW w:w="3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January 1, 2024 - May 31, 2024</w:t>
            </w:r>
          </w:p>
        </w:tc>
        <w:tc>
          <w:tcPr>
            <w:tcW w:w="5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317 Parking Passes</w:t>
            </w:r>
          </w:p>
        </w:tc>
      </w:tr>
      <w:tr>
        <w:trPr/>
        <w:tc>
          <w:tcPr>
            <w:tcW w:w="37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June 1, 2024 - December 31, 2024</w:t>
            </w:r>
          </w:p>
        </w:tc>
        <w:tc>
          <w:tcPr>
            <w:tcW w:w="579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263 Parking Passes</w:t>
            </w:r>
          </w:p>
        </w:tc>
      </w:tr>
      <w:tr>
        <w:trPr/>
        <w:tc>
          <w:tcPr>
            <w:tcW w:w="37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January 1, 2025 - Expiration Date</w:t>
            </w:r>
          </w:p>
        </w:tc>
        <w:tc>
          <w:tcPr>
            <w:tcW w:w="579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204 Parking Passes</w:t>
            </w:r>
          </w:p>
        </w:tc>
      </w:tr>
    </w:tbl>
    <w:p>
      <w:pPr>
        <w:pStyle w:val="TextBody"/>
        <w:bidi w:val="0"/>
        <w:spacing w:before="0" w:after="0"/>
        <w:jc w:val="left"/>
        <w:rPr/>
      </w:pPr>
      <w:r>
        <w:rPr/>
      </w:r>
    </w:p>
    <w:p>
      <w:pPr>
        <w:pStyle w:val="TextBody"/>
        <w:bidi w:val="0"/>
        <w:spacing w:lineRule="auto" w:line="280" w:before="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addition to the above, Tenant shall continue to have the right to decrease the number of Parking Passes rented by Tenant pursuant to the express terms of the Existing Lease.</w:t>
      </w:r>
    </w:p>
    <w:p>
      <w:pPr>
        <w:pStyle w:val="TextBody"/>
        <w:bidi w:val="0"/>
        <w:spacing w:lineRule="auto" w:line="240" w:before="238" w:after="283"/>
        <w:ind w:left="0" w:right="0" w:firstLine="720"/>
        <w:jc w:val="both"/>
        <w:rPr/>
      </w:pPr>
      <w:r>
        <w:rPr>
          <w:rFonts w:ascii="Times New Roman;sans-serif" w:hAnsi="Times New Roman;sans-serif"/>
          <w:b/>
          <w:color w:val="000000"/>
          <w:sz w:val="24"/>
        </w:rPr>
        <w:t>11.</w:t>
      </w:r>
      <w:r>
        <w:rPr>
          <w:rFonts w:ascii="Times New Roman;sans-serif" w:hAnsi="Times New Roman;sans-serif"/>
          <w:b/>
          <w:color w:val="000000"/>
          <w:sz w:val="24"/>
          <w:u w:val="single"/>
        </w:rPr>
        <w:t>L</w:t>
      </w:r>
      <w:r>
        <w:rPr>
          <w:rFonts w:ascii="Times New Roman;sans-serif" w:hAnsi="Times New Roman;sans-serif"/>
          <w:b/>
          <w:color w:val="000000"/>
          <w:sz w:val="19"/>
          <w:u w:val="single"/>
        </w:rPr>
        <w:t xml:space="preserve">ANDLORD </w:t>
      </w:r>
      <w:r>
        <w:rPr>
          <w:rFonts w:ascii="Times New Roman;sans-serif" w:hAnsi="Times New Roman;sans-serif"/>
          <w:b/>
          <w:color w:val="000000"/>
          <w:sz w:val="24"/>
          <w:u w:val="single"/>
        </w:rPr>
        <w:t>A</w:t>
      </w:r>
      <w:r>
        <w:rPr>
          <w:rFonts w:ascii="Times New Roman;sans-serif" w:hAnsi="Times New Roman;sans-serif"/>
          <w:b/>
          <w:color w:val="000000"/>
          <w:sz w:val="19"/>
          <w:u w:val="single"/>
        </w:rPr>
        <w:t xml:space="preserve">CCESS TO </w:t>
      </w:r>
      <w:r>
        <w:rPr>
          <w:rFonts w:ascii="Times New Roman;sans-serif" w:hAnsi="Times New Roman;sans-serif"/>
          <w:b/>
          <w:color w:val="000000"/>
          <w:sz w:val="24"/>
          <w:u w:val="single"/>
        </w:rPr>
        <w:t>G</w:t>
      </w:r>
      <w:r>
        <w:rPr>
          <w:rFonts w:ascii="Times New Roman;sans-serif" w:hAnsi="Times New Roman;sans-serif"/>
          <w:b/>
          <w:color w:val="000000"/>
          <w:sz w:val="19"/>
          <w:u w:val="single"/>
        </w:rPr>
        <w:t>IVE</w:t>
      </w:r>
      <w:r>
        <w:rPr>
          <w:rFonts w:ascii="Times New Roman;sans-serif" w:hAnsi="Times New Roman;sans-serif"/>
          <w:b/>
          <w:color w:val="000000"/>
          <w:sz w:val="24"/>
          <w:u w:val="single"/>
        </w:rPr>
        <w:t>-B</w:t>
      </w:r>
      <w:r>
        <w:rPr>
          <w:rFonts w:ascii="Times New Roman;sans-serif" w:hAnsi="Times New Roman;sans-serif"/>
          <w:b/>
          <w:color w:val="000000"/>
          <w:sz w:val="19"/>
          <w:u w:val="single"/>
        </w:rPr>
        <w:t xml:space="preserve">ACK </w:t>
      </w:r>
      <w:r>
        <w:rPr>
          <w:rFonts w:ascii="Times New Roman;sans-serif" w:hAnsi="Times New Roman;sans-serif"/>
          <w:b/>
          <w:color w:val="000000"/>
          <w:sz w:val="24"/>
          <w:u w:val="single"/>
        </w:rPr>
        <w:t>S</w:t>
      </w:r>
      <w:r>
        <w:rPr>
          <w:rFonts w:ascii="Times New Roman;sans-serif" w:hAnsi="Times New Roman;sans-serif"/>
          <w:b/>
          <w:color w:val="000000"/>
          <w:sz w:val="19"/>
          <w:u w:val="single"/>
        </w:rPr>
        <w:t>PACE</w:t>
      </w:r>
      <w:r>
        <w:rPr>
          <w:rFonts w:ascii="Times New Roman;sans-serif" w:hAnsi="Times New Roman;sans-serif"/>
          <w:b w:val="false"/>
          <w:color w:val="000000"/>
          <w:sz w:val="24"/>
        </w:rPr>
        <w:t xml:space="preserve">. Notwithstanding anything to the contrary contained in this Eleventh Amendment or the Lease, upon ten (10) business days’ prior written notice from Landlord to Tenant, Landlord shall have the right to enter upon all or any portion of the Give-Back Space prior to the applicable Give-Back Date for such Give-Back Space for the purpose of conducting such inspections and/or work as Landlord may desire in connection with the re-tenanting of the applicable Give-Back Space, subject only to (i) executing and delivering an access agreement substantially in the form and substance of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attached hereto (each such agreement, an “</w:t>
      </w:r>
      <w:r>
        <w:rPr>
          <w:rFonts w:ascii="Times New Roman;sans-serif" w:hAnsi="Times New Roman;sans-serif"/>
          <w:b/>
          <w:color w:val="000000"/>
          <w:sz w:val="24"/>
        </w:rPr>
        <w:t>Access Agreement</w:t>
      </w:r>
      <w:r>
        <w:rPr>
          <w:color w:val="000000"/>
        </w:rPr>
        <w:t>”</w:t>
      </w:r>
      <w:r>
        <w:rPr>
          <w:rFonts w:ascii="Times New Roman;sans-serif" w:hAnsi="Times New Roman;sans-serif"/>
          <w:b w:val="false"/>
          <w:color w:val="000000"/>
          <w:sz w:val="24"/>
        </w:rPr>
        <w:t>), (ii) complying in all material respects with the terms and conditions set forth in such Access Agreement, (iii) with respect to any work, such work shall only be performed within one hundred eighty (180) days prior to the applicable Give-Back Date for the applicable Give-Back Space (unless otherwise reasonably approved by Tenant) (each such date, an “</w:t>
      </w:r>
      <w:r>
        <w:rPr>
          <w:rFonts w:ascii="Times New Roman;sans-serif" w:hAnsi="Times New Roman;sans-serif"/>
          <w:b/>
          <w:color w:val="000000"/>
          <w:sz w:val="24"/>
        </w:rPr>
        <w:t>Early Access Date</w:t>
      </w:r>
      <w:r>
        <w:rPr>
          <w:color w:val="000000"/>
        </w:rPr>
        <w:t>”</w:t>
      </w:r>
      <w:r>
        <w:rPr>
          <w:rFonts w:ascii="Times New Roman;sans-serif" w:hAnsi="Times New Roman;sans-serif"/>
          <w:b w:val="false"/>
          <w:color w:val="000000"/>
          <w:sz w:val="24"/>
        </w:rPr>
        <w:t>), (iv) Landlord’s access to a Give-Back Space during the Early Access Period (as defined below) shall be subject to Tenant’s reasonable approval, not to be unreasonably withheld, conditioned or delayed (as further described in the Access Agreement), (v) any work shall be subject to Tenant’s prior reasonable written approval, not to be unreasonably withheld, conditioned or delayed (as further described in the Access Agreement), (vi) any work shall not unreasonably disturb Tenant’s use or enjoyment of the applicable Remaining Premises (as further described in the Access Agreement), and (vii) any work shall not commence without at least thirty (30) days prior written notice to Tenant (as further described in the Access Agreement). Landlord and Tenant acknowledge that the anticipated Landlord’s anticipated scope of work within any Give-Back Space during an applicable Early Access Period will be work required for conversion of existing office space to Laboratory Use (as defined below). As used herein, an “</w:t>
      </w:r>
      <w:r>
        <w:rPr>
          <w:rFonts w:ascii="Times New Roman;sans-serif" w:hAnsi="Times New Roman;sans-serif"/>
          <w:b/>
          <w:color w:val="000000"/>
          <w:sz w:val="24"/>
        </w:rPr>
        <w:t>Early Access Period</w:t>
      </w:r>
      <w:r>
        <w:rPr>
          <w:color w:val="000000"/>
        </w:rPr>
        <w:t xml:space="preserve">” </w:t>
      </w:r>
      <w:r>
        <w:rPr>
          <w:rFonts w:ascii="Times New Roman;sans-serif" w:hAnsi="Times New Roman;sans-serif"/>
          <w:b w:val="false"/>
          <w:color w:val="000000"/>
          <w:sz w:val="24"/>
        </w:rPr>
        <w:t>shall mean for each Give-Back Space the period commencing on the applicable Early Access Date and expiring on the applicable Give Back Date. To the extent that Landlord has performed any work within the Tranche I Give-Back Space prior to the date an Access Agreement has been fully executed with respect thereto and the date this Eleventh Amendment has been fully executed, then the terms of this Eleventh Amendment and the applicable Access Agreement shall apply retroactively to any and all such work and related activities by Landlord.</w:t>
      </w:r>
    </w:p>
    <w:p>
      <w:pPr>
        <w:pStyle w:val="TextBody"/>
        <w:bidi w:val="0"/>
        <w:spacing w:lineRule="auto" w:line="240" w:before="242" w:after="283"/>
        <w:ind w:left="0" w:right="0" w:firstLine="720"/>
        <w:jc w:val="both"/>
        <w:rPr/>
      </w:pPr>
      <w:r>
        <w:rPr>
          <w:rFonts w:ascii="Times New Roman;sans-serif" w:hAnsi="Times New Roman;sans-serif"/>
          <w:b/>
          <w:color w:val="000000"/>
          <w:sz w:val="24"/>
        </w:rPr>
        <w:t>12.</w:t>
      </w:r>
      <w:r>
        <w:rPr>
          <w:rFonts w:ascii="Times New Roman;sans-serif" w:hAnsi="Times New Roman;sans-serif"/>
          <w:b/>
          <w:color w:val="000000"/>
          <w:sz w:val="24"/>
          <w:u w:val="single"/>
        </w:rPr>
        <w:t>T</w:t>
      </w:r>
      <w:r>
        <w:rPr>
          <w:rFonts w:ascii="Times New Roman;sans-serif" w:hAnsi="Times New Roman;sans-serif"/>
          <w:b/>
          <w:color w:val="000000"/>
          <w:sz w:val="19"/>
          <w:u w:val="single"/>
        </w:rPr>
        <w:t xml:space="preserve">RANSITION TO A </w:t>
      </w:r>
      <w:r>
        <w:rPr>
          <w:rFonts w:ascii="Times New Roman;sans-serif" w:hAnsi="Times New Roman;sans-serif"/>
          <w:b/>
          <w:color w:val="000000"/>
          <w:sz w:val="24"/>
          <w:u w:val="single"/>
        </w:rPr>
        <w:t>M</w:t>
      </w:r>
      <w:r>
        <w:rPr>
          <w:rFonts w:ascii="Times New Roman;sans-serif" w:hAnsi="Times New Roman;sans-serif"/>
          <w:b/>
          <w:color w:val="000000"/>
          <w:sz w:val="19"/>
          <w:u w:val="single"/>
        </w:rPr>
        <w:t>ULTI</w:t>
      </w:r>
      <w:r>
        <w:rPr>
          <w:rFonts w:ascii="Times New Roman;sans-serif" w:hAnsi="Times New Roman;sans-serif"/>
          <w:b/>
          <w:color w:val="000000"/>
          <w:sz w:val="24"/>
          <w:u w:val="single"/>
        </w:rPr>
        <w:t>-T</w:t>
      </w:r>
      <w:r>
        <w:rPr>
          <w:rFonts w:ascii="Times New Roman;sans-serif" w:hAnsi="Times New Roman;sans-serif"/>
          <w:b/>
          <w:color w:val="000000"/>
          <w:sz w:val="19"/>
          <w:u w:val="single"/>
        </w:rPr>
        <w:t xml:space="preserve">ENANT </w:t>
      </w:r>
      <w:r>
        <w:rPr>
          <w:rFonts w:ascii="Times New Roman;sans-serif" w:hAnsi="Times New Roman;sans-serif"/>
          <w:b/>
          <w:color w:val="000000"/>
          <w:sz w:val="24"/>
          <w:u w:val="single"/>
        </w:rPr>
        <w:t>P</w:t>
      </w:r>
      <w:r>
        <w:rPr>
          <w:rFonts w:ascii="Times New Roman;sans-serif" w:hAnsi="Times New Roman;sans-serif"/>
          <w:b/>
          <w:color w:val="000000"/>
          <w:sz w:val="19"/>
          <w:u w:val="single"/>
        </w:rPr>
        <w:t>ROJECT</w:t>
      </w:r>
      <w:r>
        <w:rPr>
          <w:rFonts w:ascii="Times New Roman;sans-serif" w:hAnsi="Times New Roman;sans-serif"/>
          <w:b w:val="false"/>
          <w:color w:val="000000"/>
          <w:sz w:val="24"/>
        </w:rPr>
        <w:t xml:space="preserve">. In order to continue the transition of the Project from a single-tenant Project under the control and management of Tenant to a multi- tenant Project under the control and management of Landlord, Tenant shall work with Landlord cooperatively and in good faith to accomplish an orderly turnover of management control from Tenant to Landlord of all of the various aspects and areas of the Project related to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2" w:after="283"/>
        <w:jc w:val="both"/>
        <w:rPr/>
      </w:pPr>
      <w:r>
        <w:rPr>
          <w:rFonts w:ascii="Times New Roman;sans-serif" w:hAnsi="Times New Roman;sans-serif"/>
          <w:b w:val="false"/>
          <w:color w:val="000000"/>
          <w:sz w:val="24"/>
        </w:rPr>
        <w:t>Give-Back Space that are controlled by Tenant (including, without limitation, electrical, HVAC, servers, access controls and other structural and/or mechanical buildings services) (collectively, “</w:t>
      </w:r>
      <w:r>
        <w:rPr>
          <w:rFonts w:ascii="Times New Roman;sans-serif" w:hAnsi="Times New Roman;sans-serif"/>
          <w:b/>
          <w:color w:val="000000"/>
          <w:sz w:val="24"/>
        </w:rPr>
        <w:t>Give-Back Building Components</w:t>
      </w:r>
      <w:r>
        <w:rPr>
          <w:color w:val="000000"/>
        </w:rPr>
        <w:t>”</w:t>
      </w:r>
      <w:r>
        <w:rPr>
          <w:rFonts w:ascii="Times New Roman;sans-serif" w:hAnsi="Times New Roman;sans-serif"/>
          <w:b w:val="false"/>
          <w:color w:val="000000"/>
          <w:sz w:val="24"/>
        </w:rPr>
        <w:t>) contemporaneously with the applicable Give-Back Date for the affected Give-Back Space. Landlord and Tenant agree that the transition of Give-Back Building Components described in this Section 12 shall only occur to the extent necessary for Landlord to operate the applicable Give-Back Space on the applicable Give-Back Date (</w:t>
      </w:r>
      <w:r>
        <w:rPr>
          <w:rFonts w:ascii="Times New Roman;sans-serif" w:hAnsi="Times New Roman;sans-serif"/>
          <w:b w:val="false"/>
          <w:i/>
          <w:color w:val="000000"/>
          <w:sz w:val="24"/>
        </w:rPr>
        <w:t>i.e.</w:t>
      </w:r>
      <w:r>
        <w:rPr>
          <w:rFonts w:ascii="Times New Roman;sans-serif" w:hAnsi="Times New Roman;sans-serif"/>
          <w:b w:val="false"/>
          <w:color w:val="000000"/>
          <w:sz w:val="24"/>
        </w:rPr>
        <w:t>, the transition of Give-Back Building Components for the Tranche I Give-Back Date shall only include Give-Back Building Components needed for Landlord’s operation of the Tranche I Give-Back Space and shall not include any transition of Give-Back Building Components of the Tranche II Give-Back Space or Tranche III Give-Back Space unless such Give-Back Spaces include necessary Give-Back Building Components required for the operation of the Tranche I Give-Back Space); provided, however, in no event shall this Section 12 affect the Give-Back Building Components located in the south lobby of the Premises until such time as same are surrendered or accessed through the Early Access Date by Tenant to Landlord pursuant to the terms set forth herein. In furtherance of the transition of Give-Back Building Components described herein, Landlord shall have the right to access (a) the Tranche II Give-Back Space commencing on the Early Access Date for the Tranche I Give-Back Space, and (b) floors 11 and 12 of the South Tower (subject to the reasonable consent of any subtenant thereof) commencing on the Early Access Date for the Tranche III Give-Back Space, in each case, in order to allow Landlord to perform certain shaft work that is required in connection with the transition of applicable Give-Back Space (the “</w:t>
      </w:r>
      <w:r>
        <w:rPr>
          <w:rFonts w:ascii="Times New Roman;sans-serif" w:hAnsi="Times New Roman;sans-serif"/>
          <w:b/>
          <w:color w:val="000000"/>
          <w:sz w:val="24"/>
        </w:rPr>
        <w:t>Early Access Work</w:t>
      </w:r>
      <w:r>
        <w:rPr>
          <w:color w:val="000000"/>
        </w:rPr>
        <w:t>”</w:t>
      </w:r>
      <w:r>
        <w:rPr>
          <w:rFonts w:ascii="Times New Roman;sans-serif" w:hAnsi="Times New Roman;sans-serif"/>
          <w:b w:val="false"/>
          <w:color w:val="000000"/>
          <w:sz w:val="24"/>
        </w:rPr>
        <w:t>). Landlord and Tenant shall enter into an Access Agreement prior to performing any Early Access Work.</w:t>
      </w:r>
    </w:p>
    <w:p>
      <w:pPr>
        <w:pStyle w:val="TextBody"/>
        <w:bidi w:val="0"/>
        <w:spacing w:lineRule="auto" w:line="240" w:before="241" w:after="283"/>
        <w:ind w:left="0" w:right="0" w:firstLine="720"/>
        <w:jc w:val="both"/>
        <w:rPr/>
      </w:pPr>
      <w:r>
        <w:rPr>
          <w:rFonts w:ascii="Times New Roman;sans-serif" w:hAnsi="Times New Roman;sans-serif"/>
          <w:b/>
          <w:color w:val="000000"/>
          <w:sz w:val="24"/>
        </w:rPr>
        <w:t>13.</w:t>
      </w:r>
      <w:r>
        <w:rPr>
          <w:rFonts w:ascii="Times New Roman;sans-serif" w:hAnsi="Times New Roman;sans-serif"/>
          <w:b/>
          <w:color w:val="000000"/>
          <w:sz w:val="24"/>
          <w:u w:val="single"/>
        </w:rPr>
        <w:t>L</w:t>
      </w:r>
      <w:r>
        <w:rPr>
          <w:rFonts w:ascii="Times New Roman;sans-serif" w:hAnsi="Times New Roman;sans-serif"/>
          <w:b/>
          <w:color w:val="000000"/>
          <w:sz w:val="19"/>
          <w:u w:val="single"/>
        </w:rPr>
        <w:t xml:space="preserve">ABORATORY </w:t>
      </w:r>
      <w:r>
        <w:rPr>
          <w:rFonts w:ascii="Times New Roman;sans-serif" w:hAnsi="Times New Roman;sans-serif"/>
          <w:b/>
          <w:color w:val="000000"/>
          <w:sz w:val="24"/>
          <w:u w:val="single"/>
        </w:rPr>
        <w:t>U</w:t>
      </w:r>
      <w:r>
        <w:rPr>
          <w:rFonts w:ascii="Times New Roman;sans-serif" w:hAnsi="Times New Roman;sans-serif"/>
          <w:b/>
          <w:color w:val="000000"/>
          <w:sz w:val="19"/>
          <w:u w:val="single"/>
        </w:rPr>
        <w:t>SE</w:t>
      </w:r>
      <w:r>
        <w:rPr>
          <w:rFonts w:ascii="Times New Roman;sans-serif" w:hAnsi="Times New Roman;sans-serif"/>
          <w:b w:val="false"/>
          <w:color w:val="000000"/>
          <w:sz w:val="24"/>
        </w:rPr>
        <w:t>. Tenant acknowledges that Landlord intends to lease portions of the Complex (including portions of the Give-Back Space) to tenants that may use such space for Premises for laboratory research and development purposes (“</w:t>
      </w:r>
      <w:r>
        <w:rPr>
          <w:rFonts w:ascii="Times New Roman;sans-serif" w:hAnsi="Times New Roman;sans-serif"/>
          <w:b/>
          <w:color w:val="000000"/>
          <w:sz w:val="24"/>
        </w:rPr>
        <w:t>Laboratory Use</w:t>
      </w:r>
      <w:r>
        <w:rPr>
          <w:color w:val="000000"/>
        </w:rPr>
        <w:t>”</w:t>
      </w:r>
      <w:r>
        <w:rPr>
          <w:rFonts w:ascii="Times New Roman;sans-serif" w:hAnsi="Times New Roman;sans-serif"/>
          <w:b w:val="false"/>
          <w:color w:val="000000"/>
          <w:sz w:val="24"/>
        </w:rPr>
        <w:t>). Landlord hereby agrees that Operating Expenses shall expressly exclude (i) costs incurred in renovating or making any other improvement to any portion of the Project in connection with modifications caused by, related to, or to accommodate, Laboratory Use (as opposed to general office use), and</w:t>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 additional costs of electricity, gas, water or other additional utility services attributable to such Laboratory Use.</w:t>
      </w:r>
    </w:p>
    <w:p>
      <w:pPr>
        <w:pStyle w:val="TextBody"/>
        <w:bidi w:val="0"/>
        <w:spacing w:before="57" w:after="283"/>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ind w:left="0" w:right="0" w:firstLine="720"/>
        <w:jc w:val="both"/>
        <w:rPr/>
      </w:pPr>
      <w:r>
        <w:rPr>
          <w:rFonts w:ascii="Times New Roman;sans-serif" w:hAnsi="Times New Roman;sans-serif"/>
          <w:b/>
          <w:color w:val="000000"/>
          <w:sz w:val="24"/>
        </w:rPr>
        <w:t>14.</w:t>
      </w:r>
      <w:r>
        <w:rPr>
          <w:rFonts w:ascii="Times New Roman;sans-serif" w:hAnsi="Times New Roman;sans-serif"/>
          <w:b/>
          <w:color w:val="000000"/>
          <w:sz w:val="24"/>
          <w:u w:val="single"/>
        </w:rPr>
        <w:t>R</w:t>
      </w:r>
      <w:r>
        <w:rPr>
          <w:rFonts w:ascii="Times New Roman;sans-serif" w:hAnsi="Times New Roman;sans-serif"/>
          <w:b/>
          <w:color w:val="000000"/>
          <w:sz w:val="19"/>
          <w:u w:val="single"/>
        </w:rPr>
        <w:t xml:space="preserve">EDUCED </w:t>
      </w:r>
      <w:r>
        <w:rPr>
          <w:rFonts w:ascii="Times New Roman;sans-serif" w:hAnsi="Times New Roman;sans-serif"/>
          <w:b/>
          <w:color w:val="000000"/>
          <w:sz w:val="24"/>
          <w:u w:val="single"/>
        </w:rPr>
        <w:t>L</w:t>
      </w:r>
      <w:r>
        <w:rPr>
          <w:rFonts w:ascii="Times New Roman;sans-serif" w:hAnsi="Times New Roman;sans-serif"/>
          <w:b/>
          <w:color w:val="000000"/>
          <w:sz w:val="19"/>
          <w:u w:val="single"/>
        </w:rPr>
        <w:t xml:space="preserve">ETTER OF </w:t>
      </w:r>
      <w:r>
        <w:rPr>
          <w:rFonts w:ascii="Times New Roman;sans-serif" w:hAnsi="Times New Roman;sans-serif"/>
          <w:b/>
          <w:color w:val="000000"/>
          <w:sz w:val="24"/>
          <w:u w:val="single"/>
        </w:rPr>
        <w:t>C</w:t>
      </w:r>
      <w:r>
        <w:rPr>
          <w:rFonts w:ascii="Times New Roman;sans-serif" w:hAnsi="Times New Roman;sans-serif"/>
          <w:b/>
          <w:color w:val="000000"/>
          <w:sz w:val="19"/>
          <w:u w:val="single"/>
        </w:rPr>
        <w:t xml:space="preserve">REDIT </w:t>
      </w:r>
      <w:r>
        <w:rPr>
          <w:rFonts w:ascii="Times New Roman;sans-serif" w:hAnsi="Times New Roman;sans-serif"/>
          <w:b/>
          <w:color w:val="000000"/>
          <w:sz w:val="24"/>
          <w:u w:val="single"/>
        </w:rPr>
        <w:t>A</w:t>
      </w:r>
      <w:r>
        <w:rPr>
          <w:rFonts w:ascii="Times New Roman;sans-serif" w:hAnsi="Times New Roman;sans-serif"/>
          <w:b/>
          <w:color w:val="000000"/>
          <w:sz w:val="19"/>
          <w:u w:val="single"/>
        </w:rPr>
        <w:t>MOUNT</w:t>
      </w:r>
      <w:r>
        <w:rPr>
          <w:rFonts w:ascii="Times New Roman;sans-serif" w:hAnsi="Times New Roman;sans-serif"/>
          <w:b w:val="false"/>
          <w:color w:val="000000"/>
          <w:sz w:val="24"/>
        </w:rPr>
        <w:t>. Landlord and Tenant acknowledge that Landlord is currently holding a letter of credit, initially dated August 5, 2021, issued by Goldman Sachs Bank USA (“</w:t>
      </w:r>
      <w:r>
        <w:rPr>
          <w:rFonts w:ascii="Times New Roman;sans-serif" w:hAnsi="Times New Roman;sans-serif"/>
          <w:b/>
          <w:color w:val="000000"/>
          <w:sz w:val="24"/>
        </w:rPr>
        <w:t>Issuing Bank</w:t>
      </w:r>
      <w:r>
        <w:rPr>
          <w:color w:val="000000"/>
        </w:rPr>
        <w:t>”</w:t>
      </w:r>
      <w:r>
        <w:rPr>
          <w:rFonts w:ascii="Times New Roman;sans-serif" w:hAnsi="Times New Roman;sans-serif"/>
          <w:b w:val="false"/>
          <w:color w:val="000000"/>
          <w:sz w:val="24"/>
        </w:rPr>
        <w:t>), and last amended by Amendment No. 4, dated February 10, 2023, which is in the current amount of Twenty-Four Million Ninety-Six Thousand Five Hundred Forty-Seven and 00/100 Dollars ($24,096,547.00) (the "</w:t>
      </w:r>
      <w:r>
        <w:rPr>
          <w:rFonts w:ascii="Times New Roman;sans-serif" w:hAnsi="Times New Roman;sans-serif"/>
          <w:b/>
          <w:color w:val="000000"/>
          <w:sz w:val="24"/>
        </w:rPr>
        <w:t>Current L-C Amount</w:t>
      </w:r>
      <w:r>
        <w:rPr>
          <w:rFonts w:ascii="Times New Roman;sans-serif" w:hAnsi="Times New Roman;sans-serif"/>
          <w:b w:val="false"/>
          <w:color w:val="000000"/>
          <w:sz w:val="24"/>
        </w:rPr>
        <w:t>"). Landlord hereby agrees, upon written request by Tenant, the L-C Amount may be reduced as follows: (i) from and after the Tranche I Give Back Date, the L-C Amount shall be reduced to Seventeen Million Five Hundred and Six Thousand One Hundred Sixty-Five and 00/100 Dollars ($17,506,165.00). The reduction in the L-C Amount shall be accomplished by Tenant providing Landlord with a replacement L-C or an amendment to the then-current L-C in the reduced amount which conform in all respects to the requirements of Section 21 of the Original Lease. Landlord and Tenant acknowledge and agree that any reduction of the L-C Amount described in this Section 14 shall be subject to (i) the Five Million Dollars ($5,0000,000) minimum L-C Amount limit set forth in Section 21.7 of the Original Lease; and (ii) the L-C Reduction Conditions set forth in Section 21 of the Original Lease (as amended by Section 2 of the Ninth Amendment).</w:t>
      </w:r>
    </w:p>
    <w:p>
      <w:pPr>
        <w:pStyle w:val="TextBody"/>
        <w:bidi w:val="0"/>
        <w:spacing w:lineRule="auto" w:line="240" w:before="242" w:after="283"/>
        <w:ind w:left="0" w:right="0" w:firstLine="720"/>
        <w:jc w:val="both"/>
        <w:rPr/>
      </w:pPr>
      <w:r>
        <w:rPr>
          <w:rFonts w:ascii="Times New Roman;sans-serif" w:hAnsi="Times New Roman;sans-serif"/>
          <w:b/>
          <w:color w:val="000000"/>
          <w:sz w:val="24"/>
        </w:rPr>
        <w:t>15.</w:t>
      </w:r>
      <w:r>
        <w:rPr>
          <w:rFonts w:ascii="Times New Roman;sans-serif" w:hAnsi="Times New Roman;sans-serif"/>
          <w:b/>
          <w:color w:val="000000"/>
          <w:sz w:val="24"/>
          <w:u w:val="single"/>
        </w:rPr>
        <w:t>C</w:t>
      </w:r>
      <w:r>
        <w:rPr>
          <w:rFonts w:ascii="Times New Roman;sans-serif" w:hAnsi="Times New Roman;sans-serif"/>
          <w:b/>
          <w:color w:val="000000"/>
          <w:sz w:val="19"/>
          <w:u w:val="single"/>
        </w:rPr>
        <w:t xml:space="preserve">IVIL </w:t>
      </w:r>
      <w:r>
        <w:rPr>
          <w:rFonts w:ascii="Times New Roman;sans-serif" w:hAnsi="Times New Roman;sans-serif"/>
          <w:b/>
          <w:color w:val="000000"/>
          <w:sz w:val="24"/>
          <w:u w:val="single"/>
        </w:rPr>
        <w:t>C</w:t>
      </w:r>
      <w:r>
        <w:rPr>
          <w:rFonts w:ascii="Times New Roman;sans-serif" w:hAnsi="Times New Roman;sans-serif"/>
          <w:b/>
          <w:color w:val="000000"/>
          <w:sz w:val="19"/>
          <w:u w:val="single"/>
        </w:rPr>
        <w:t xml:space="preserve">ODE </w:t>
      </w:r>
      <w:r>
        <w:rPr>
          <w:rFonts w:ascii="Times New Roman;sans-serif" w:hAnsi="Times New Roman;sans-serif"/>
          <w:b/>
          <w:color w:val="000000"/>
          <w:sz w:val="24"/>
          <w:u w:val="single"/>
        </w:rPr>
        <w:t>S</w:t>
      </w:r>
      <w:r>
        <w:rPr>
          <w:rFonts w:ascii="Times New Roman;sans-serif" w:hAnsi="Times New Roman;sans-serif"/>
          <w:b/>
          <w:color w:val="000000"/>
          <w:sz w:val="19"/>
          <w:u w:val="single"/>
        </w:rPr>
        <w:t xml:space="preserve">ECTION </w:t>
      </w:r>
      <w:r>
        <w:rPr>
          <w:rFonts w:ascii="Times New Roman;sans-serif" w:hAnsi="Times New Roman;sans-serif"/>
          <w:b/>
          <w:color w:val="000000"/>
          <w:sz w:val="24"/>
          <w:u w:val="single"/>
        </w:rPr>
        <w:t>1938 D</w:t>
      </w:r>
      <w:r>
        <w:rPr>
          <w:rFonts w:ascii="Times New Roman;sans-serif" w:hAnsi="Times New Roman;sans-serif"/>
          <w:b/>
          <w:color w:val="000000"/>
          <w:sz w:val="19"/>
          <w:u w:val="single"/>
        </w:rPr>
        <w:t>ISCLOSURE</w:t>
      </w:r>
      <w:r>
        <w:rPr>
          <w:rFonts w:ascii="Times New Roman;sans-serif" w:hAnsi="Times New Roman;sans-serif"/>
          <w:b w:val="false"/>
          <w:color w:val="000000"/>
          <w:sz w:val="24"/>
        </w:rPr>
        <w:t>. For purposes of Section 1938(a) of the California Civil Code, Landlord hereby discloses to Tenant, and Tenant hereby acknowledges, that neither the Building, the Complex nor the Premises has undergone inspection by a Certified Access Specialist (CASp) (defined by California Civil Code Section 55.52) retained by Landlord or Tenant. Pursuant to California Civil Code Section 1938, Tenant is hereby notified as follows: “</w:t>
      </w:r>
      <w:r>
        <w:rPr>
          <w:rFonts w:ascii="Times New Roman;sans-serif" w:hAnsi="Times New Roman;sans-serif"/>
          <w:b/>
          <w:color w:val="000000"/>
          <w:sz w:val="24"/>
        </w:rPr>
        <w:t>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of the lessee or tenant, if requested by lessee or tenant. The parties shall mutually agree on the arrangements for the time and manner of any CASp inspection, the payment of the fee for the CASp inspection and the cost of making any repairs necessary to correct violations of construction-related accessibility standards within the premises.”</w:t>
      </w:r>
    </w:p>
    <w:p>
      <w:pPr>
        <w:pStyle w:val="TextBody"/>
        <w:bidi w:val="0"/>
        <w:spacing w:lineRule="auto" w:line="276" w:before="242" w:after="283"/>
        <w:ind w:left="0" w:right="0" w:hanging="720"/>
        <w:jc w:val="left"/>
        <w:rPr/>
      </w:pPr>
      <w:r>
        <w:rPr>
          <w:rFonts w:ascii="Times New Roman;sans-serif" w:hAnsi="Times New Roman;sans-serif"/>
          <w:b/>
          <w:color w:val="000000"/>
          <w:sz w:val="24"/>
        </w:rPr>
        <w:t>16.</w:t>
      </w:r>
      <w:r>
        <w:rPr>
          <w:rFonts w:ascii="Times New Roman;sans-serif" w:hAnsi="Times New Roman;sans-serif"/>
          <w:b/>
          <w:color w:val="000000"/>
          <w:sz w:val="24"/>
          <w:u w:val="single"/>
        </w:rPr>
        <w:t>Prohibited Persons; Foreign Corrupt Practices Act and Anti-Money</w:t>
      </w:r>
    </w:p>
    <w:p>
      <w:pPr>
        <w:pStyle w:val="TextBody"/>
        <w:bidi w:val="0"/>
        <w:spacing w:lineRule="auto" w:line="240" w:before="0" w:after="0"/>
        <w:jc w:val="both"/>
        <w:rPr/>
      </w:pPr>
      <w:r>
        <w:rPr>
          <w:rFonts w:ascii="Times New Roman;sans-serif" w:hAnsi="Times New Roman;sans-serif"/>
          <w:b/>
          <w:color w:val="000000"/>
          <w:sz w:val="24"/>
          <w:u w:val="single"/>
        </w:rPr>
        <w:t>L</w:t>
      </w:r>
      <w:r>
        <w:rPr>
          <w:rFonts w:ascii="Times New Roman;sans-serif" w:hAnsi="Times New Roman;sans-serif"/>
          <w:b/>
          <w:color w:val="000000"/>
          <w:sz w:val="19"/>
          <w:u w:val="single"/>
        </w:rPr>
        <w:t>AUNDERING</w:t>
      </w:r>
      <w:r>
        <w:rPr>
          <w:rFonts w:ascii="Times New Roman;sans-serif" w:hAnsi="Times New Roman;sans-serif"/>
          <w:b w:val="false"/>
          <w:color w:val="000000"/>
          <w:sz w:val="24"/>
        </w:rPr>
        <w:t>. Neither (i) Tenant nor any of its officers, directors or managers, or (ii) to Tenant’s knowledge, any of Tenant’s affiliates, nor any of their respective members, partners, other equity holders (excluding any holders of any publicly traded stock or other equity interests of Tenant, if any), officers, directors or managers is, nor during the Lease Term will they become, a person or entity with whom U.S. persons or entities are restricted from doing business under (a) the Patriot Act (as defined below), (b) any other requirements contained in the rules and regulations of the Office of Foreign Assets Control, Department of the Treasury (“</w:t>
      </w:r>
      <w:r>
        <w:rPr>
          <w:rFonts w:ascii="Times New Roman;sans-serif" w:hAnsi="Times New Roman;sans-serif"/>
          <w:b/>
          <w:color w:val="000000"/>
          <w:sz w:val="24"/>
        </w:rPr>
        <w:t>OFAC</w:t>
      </w:r>
      <w:r>
        <w:rPr>
          <w:color w:val="000000"/>
        </w:rPr>
        <w:t>”</w:t>
      </w:r>
      <w:r>
        <w:rPr>
          <w:rFonts w:ascii="Times New Roman;sans-serif" w:hAnsi="Times New Roman;sans-serif"/>
          <w:b w:val="false"/>
          <w:color w:val="000000"/>
          <w:sz w:val="24"/>
        </w:rPr>
        <w:t>) (including any “blocked” person or entity listed in the Annex to Executive Order Nos. 12947, 13099 and 13224 and any modifications thereto or thereof or any other person or entity named on OFAC’s Specially Designated Blocked Persons List) or (c) any other U.S. statute, Executive Order (including the September 24, 2001, Executive Order Blocking Property and Prohibiting Transactions with Persons Who Commit, Threaten to Commit or Support Terrorism) or other governmental action (collectively, “</w:t>
      </w:r>
      <w:r>
        <w:rPr>
          <w:rFonts w:ascii="Times New Roman;sans-serif" w:hAnsi="Times New Roman;sans-serif"/>
          <w:b/>
          <w:color w:val="000000"/>
          <w:sz w:val="24"/>
        </w:rPr>
        <w:t>Prohibited Persons</w:t>
      </w:r>
      <w:r>
        <w:rPr>
          <w:color w:val="000000"/>
        </w:rPr>
        <w:t>”</w:t>
      </w:r>
      <w:r>
        <w:rPr>
          <w:rFonts w:ascii="Times New Roman;sans-serif" w:hAnsi="Times New Roman;sans-serif"/>
          <w:b w:val="false"/>
          <w:color w:val="000000"/>
          <w:sz w:val="24"/>
        </w:rPr>
        <w:t>). Tenant is not entering into this Eleventh Amendment, directly or indirectly, in violation of any laws relating to drug trafficking, money laundering or predicate crimes to money laundering. As used herein, “</w:t>
      </w:r>
      <w:r>
        <w:rPr>
          <w:rFonts w:ascii="Times New Roman;sans-serif" w:hAnsi="Times New Roman;sans-serif"/>
          <w:b/>
          <w:color w:val="000000"/>
          <w:sz w:val="24"/>
        </w:rPr>
        <w:t>Patriot Act</w:t>
      </w:r>
      <w:r>
        <w:rPr>
          <w:color w:val="000000"/>
        </w:rPr>
        <w:t xml:space="preserve">” </w:t>
      </w:r>
      <w:r>
        <w:rPr>
          <w:rFonts w:ascii="Times New Roman;sans-serif" w:hAnsi="Times New Roman;sans-serif"/>
          <w:b w:val="false"/>
          <w:color w:val="000000"/>
          <w:sz w:val="24"/>
        </w:rPr>
        <w:t>shall mean the USA Patriot</w:t>
      </w:r>
    </w:p>
    <w:p>
      <w:pPr>
        <w:pStyle w:val="TextBody"/>
        <w:bidi w:val="0"/>
        <w:spacing w:before="56"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61" w:after="283"/>
        <w:jc w:val="both"/>
        <w:rPr>
          <w:rFonts w:ascii="Times New Roman;sans-serif" w:hAnsi="Times New Roman;sans-serif"/>
          <w:b w:val="false"/>
          <w:color w:val="000000"/>
          <w:sz w:val="24"/>
        </w:rPr>
      </w:pPr>
      <w:r>
        <w:rPr>
          <w:rFonts w:ascii="Times New Roman;sans-serif" w:hAnsi="Times New Roman;sans-serif"/>
          <w:b w:val="false"/>
          <w:color w:val="000000"/>
          <w:sz w:val="24"/>
        </w:rPr>
        <w:t>Act of 2001, 107 Public Law 56 (October 26, 2001) and all other statutes, orders, rules and regulations of the U.S. government and its various executive departments, agencies and offices interpreting and implementing the Patriot Act.</w:t>
      </w:r>
    </w:p>
    <w:p>
      <w:pPr>
        <w:pStyle w:val="TextBody"/>
        <w:bidi w:val="0"/>
        <w:spacing w:lineRule="auto" w:line="240" w:before="243" w:after="283"/>
        <w:ind w:left="0" w:right="0" w:firstLine="720"/>
        <w:jc w:val="both"/>
        <w:rPr/>
      </w:pPr>
      <w:r>
        <w:rPr>
          <w:rFonts w:ascii="Times New Roman;sans-serif" w:hAnsi="Times New Roman;sans-serif"/>
          <w:b/>
          <w:color w:val="000000"/>
          <w:sz w:val="24"/>
        </w:rPr>
        <w:t>17.</w:t>
      </w:r>
      <w:r>
        <w:rPr>
          <w:rFonts w:ascii="Times New Roman;sans-serif" w:hAnsi="Times New Roman;sans-serif"/>
          <w:b/>
          <w:color w:val="000000"/>
          <w:sz w:val="24"/>
          <w:u w:val="single"/>
        </w:rPr>
        <w:t>Required Approvals</w:t>
      </w:r>
      <w:r>
        <w:rPr>
          <w:rFonts w:ascii="Times New Roman;sans-serif" w:hAnsi="Times New Roman;sans-serif"/>
          <w:b w:val="false"/>
          <w:color w:val="000000"/>
          <w:sz w:val="24"/>
        </w:rPr>
        <w:t>. Notwithstanding anything contained herein, the parties hereto acknowledge and agree that the effectiveness of this Eleventh Amendment is contingent upon the approval of this Eleventh Amendment by the current mortgagee of the Project.</w:t>
      </w:r>
    </w:p>
    <w:p>
      <w:pPr>
        <w:pStyle w:val="TextBody"/>
        <w:bidi w:val="0"/>
        <w:spacing w:lineRule="auto" w:line="240" w:before="237" w:after="283"/>
        <w:ind w:left="0" w:right="0" w:firstLine="720"/>
        <w:jc w:val="both"/>
        <w:rPr/>
      </w:pPr>
      <w:r>
        <w:rPr>
          <w:rFonts w:ascii="Times New Roman;sans-serif" w:hAnsi="Times New Roman;sans-serif"/>
          <w:b/>
          <w:color w:val="000000"/>
          <w:sz w:val="24"/>
        </w:rPr>
        <w:t>18.</w:t>
      </w:r>
      <w:r>
        <w:rPr>
          <w:rFonts w:ascii="Times New Roman;sans-serif" w:hAnsi="Times New Roman;sans-serif"/>
          <w:b/>
          <w:color w:val="000000"/>
          <w:sz w:val="24"/>
          <w:u w:val="single"/>
        </w:rPr>
        <w:t>B</w:t>
      </w:r>
      <w:r>
        <w:rPr>
          <w:rFonts w:ascii="Times New Roman;sans-serif" w:hAnsi="Times New Roman;sans-serif"/>
          <w:b/>
          <w:color w:val="000000"/>
          <w:sz w:val="19"/>
          <w:u w:val="single"/>
        </w:rPr>
        <w:t>ROKERS</w:t>
      </w:r>
      <w:r>
        <w:rPr>
          <w:rFonts w:ascii="Times New Roman;sans-serif" w:hAnsi="Times New Roman;sans-serif"/>
          <w:b w:val="false"/>
          <w:color w:val="000000"/>
          <w:sz w:val="24"/>
        </w:rPr>
        <w:t>. Tenant represents and warrants to Landlord that with the exception of CBRE, Inc. (“</w:t>
      </w:r>
      <w:r>
        <w:rPr>
          <w:rFonts w:ascii="Times New Roman;sans-serif" w:hAnsi="Times New Roman;sans-serif"/>
          <w:b/>
          <w:color w:val="000000"/>
          <w:sz w:val="24"/>
        </w:rPr>
        <w:t>Broker</w:t>
      </w:r>
      <w:r>
        <w:rPr>
          <w:color w:val="000000"/>
        </w:rPr>
        <w:t>”</w:t>
      </w:r>
      <w:r>
        <w:rPr>
          <w:rFonts w:ascii="Times New Roman;sans-serif" w:hAnsi="Times New Roman;sans-serif"/>
          <w:b w:val="false"/>
          <w:color w:val="000000"/>
          <w:sz w:val="24"/>
        </w:rPr>
        <w:t>) it has not engaged any other broker, finder or other person who would be entitled to any commission or fees in respect of the negotiation, execution or delivery of this Eleventh Amendment, and shall indemnify, defend and hold harmless Landlord against any loss, cost, liability or expense incurred by Landlord as a result of any claim asserted by any such broker, finder or other person on the basis of any arrangements or agreements made or alleged to have been made by or on behalf of Tenant. The Broker shall be compensated pursuant to the terms of separate express written agreements specifying the commission amounts and the terms of payment.</w:t>
      </w:r>
    </w:p>
    <w:p>
      <w:pPr>
        <w:pStyle w:val="TextBody"/>
        <w:bidi w:val="0"/>
        <w:spacing w:lineRule="auto" w:line="240" w:before="243" w:after="283"/>
        <w:ind w:left="0" w:right="0" w:firstLine="720"/>
        <w:jc w:val="both"/>
        <w:rPr/>
      </w:pPr>
      <w:r>
        <w:rPr>
          <w:rFonts w:ascii="Times New Roman;sans-serif" w:hAnsi="Times New Roman;sans-serif"/>
          <w:b/>
          <w:color w:val="000000"/>
          <w:sz w:val="24"/>
        </w:rPr>
        <w:t>19.</w:t>
      </w:r>
      <w:r>
        <w:rPr>
          <w:rFonts w:ascii="Times New Roman;sans-serif" w:hAnsi="Times New Roman;sans-serif"/>
          <w:b/>
          <w:color w:val="000000"/>
          <w:sz w:val="24"/>
          <w:u w:val="single"/>
        </w:rPr>
        <w:t>No Further Modification</w:t>
      </w:r>
      <w:r>
        <w:rPr>
          <w:rFonts w:ascii="Times New Roman;sans-serif" w:hAnsi="Times New Roman;sans-serif"/>
          <w:b w:val="false"/>
          <w:color w:val="000000"/>
          <w:sz w:val="24"/>
        </w:rPr>
        <w:t>. Except as set forth in this Eleventh Amendment, all of the terms and provisions of the Existing Lease shall remain unmodified and in full force and effect. In the event of any conflict between the terms and conditions of the Existing Lease and the terms and conditions of this Eleventh Amendment, the terms and conditions of this Eleventh Amendment shall prevail.</w:t>
      </w:r>
    </w:p>
    <w:p>
      <w:pPr>
        <w:pStyle w:val="TextBody"/>
        <w:bidi w:val="0"/>
        <w:spacing w:lineRule="auto" w:line="240" w:before="240" w:after="283"/>
        <w:ind w:left="0" w:right="0" w:firstLine="720"/>
        <w:jc w:val="both"/>
        <w:rPr/>
      </w:pPr>
      <w:r>
        <w:rPr>
          <w:rFonts w:ascii="Times New Roman;sans-serif" w:hAnsi="Times New Roman;sans-serif"/>
          <w:b/>
          <w:color w:val="000000"/>
          <w:sz w:val="24"/>
        </w:rPr>
        <w:t>20.</w:t>
      </w:r>
      <w:r>
        <w:rPr>
          <w:rFonts w:ascii="Times New Roman;sans-serif" w:hAnsi="Times New Roman;sans-serif"/>
          <w:b/>
          <w:color w:val="000000"/>
          <w:sz w:val="24"/>
          <w:u w:val="single"/>
        </w:rPr>
        <w:t>Counterparts</w:t>
      </w:r>
      <w:r>
        <w:rPr>
          <w:rFonts w:ascii="Times New Roman;sans-serif" w:hAnsi="Times New Roman;sans-serif"/>
          <w:b w:val="false"/>
          <w:color w:val="000000"/>
          <w:sz w:val="24"/>
        </w:rPr>
        <w:t>. This Eleventh Amendment may be executed in counterparts, each of which shall constitute an original, and all of which, together, shall constitute one document.</w:t>
      </w:r>
    </w:p>
    <w:p>
      <w:pPr>
        <w:pStyle w:val="TextBody"/>
        <w:bidi w:val="0"/>
        <w:spacing w:lineRule="auto" w:line="240" w:before="239" w:after="283"/>
        <w:ind w:left="0" w:right="0" w:firstLine="720"/>
        <w:jc w:val="both"/>
        <w:rPr/>
      </w:pPr>
      <w:r>
        <w:rPr>
          <w:rFonts w:ascii="Times New Roman;sans-serif" w:hAnsi="Times New Roman;sans-serif"/>
          <w:b/>
          <w:color w:val="000000"/>
          <w:sz w:val="24"/>
        </w:rPr>
        <w:t>21.</w:t>
      </w:r>
      <w:r>
        <w:rPr>
          <w:rFonts w:ascii="Times New Roman;sans-serif" w:hAnsi="Times New Roman;sans-serif"/>
          <w:b/>
          <w:color w:val="000000"/>
          <w:sz w:val="24"/>
          <w:u w:val="single"/>
        </w:rPr>
        <w:t>S</w:t>
      </w:r>
      <w:r>
        <w:rPr>
          <w:rFonts w:ascii="Times New Roman;sans-serif" w:hAnsi="Times New Roman;sans-serif"/>
          <w:b/>
          <w:color w:val="000000"/>
          <w:sz w:val="19"/>
          <w:u w:val="single"/>
        </w:rPr>
        <w:t>IGNATURES</w:t>
      </w:r>
      <w:r>
        <w:rPr>
          <w:rFonts w:ascii="Times New Roman;sans-serif" w:hAnsi="Times New Roman;sans-serif"/>
          <w:b w:val="false"/>
          <w:color w:val="000000"/>
          <w:sz w:val="24"/>
        </w:rPr>
        <w:t>. The parties hereto consent and agree that this Eleventh Amendment may be signed and/or transmitted by facsimile,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Eleventh Amendment using electronic signature technology, by clicking “SIGN”, such party is signing this Eleventh Amendment electronically, and (2) the electronic signatures appearing on this Eleventh Amendment shall be treated, for purposes of validity, enforceability and admissibility, the same as handwritten signatures.</w:t>
      </w:r>
    </w:p>
    <w:p>
      <w:pPr>
        <w:pStyle w:val="TextBody"/>
        <w:bidi w:val="0"/>
        <w:spacing w:lineRule="auto" w:line="240" w:before="242" w:after="283"/>
        <w:ind w:left="0" w:right="0" w:firstLine="720"/>
        <w:jc w:val="both"/>
        <w:rPr/>
      </w:pPr>
      <w:r>
        <w:rPr>
          <w:rFonts w:ascii="Times New Roman;sans-serif" w:hAnsi="Times New Roman;sans-serif"/>
          <w:b/>
          <w:color w:val="000000"/>
          <w:sz w:val="24"/>
        </w:rPr>
        <w:t>22.</w:t>
      </w:r>
      <w:r>
        <w:rPr>
          <w:rFonts w:ascii="Times New Roman;sans-serif" w:hAnsi="Times New Roman;sans-serif"/>
          <w:b/>
          <w:color w:val="000000"/>
          <w:sz w:val="24"/>
          <w:u w:val="single"/>
        </w:rPr>
        <w:t>Authorization</w:t>
      </w:r>
      <w:r>
        <w:rPr>
          <w:rFonts w:ascii="Times New Roman;sans-serif" w:hAnsi="Times New Roman;sans-serif"/>
          <w:b w:val="false"/>
          <w:color w:val="000000"/>
          <w:sz w:val="24"/>
        </w:rPr>
        <w:t>. The individuals signing on behalf of each party hereby represents and warrants that such individual has the capacity set forth on the signature pages hereof and has full power and authority to bind such party to the terms hereof.</w:t>
      </w:r>
    </w:p>
    <w:p>
      <w:pPr>
        <w:pStyle w:val="TextBody"/>
        <w:bidi w:val="0"/>
        <w:spacing w:lineRule="auto" w:line="240" w:before="237" w:after="283"/>
        <w:jc w:val="center"/>
        <w:rPr>
          <w:rFonts w:ascii="Times New Roman;sans-serif" w:hAnsi="Times New Roman;sans-serif"/>
          <w:b/>
          <w:color w:val="000000"/>
          <w:sz w:val="24"/>
        </w:rPr>
      </w:pPr>
      <w:r>
        <w:rPr>
          <w:rFonts w:ascii="Times New Roman;sans-serif" w:hAnsi="Times New Roman;sans-serif"/>
          <w:b/>
          <w:color w:val="000000"/>
          <w:sz w:val="24"/>
        </w:rPr>
        <w:t>(SIGNATURES ON NEXT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39"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ind w:left="0" w:right="0" w:firstLine="720"/>
        <w:jc w:val="left"/>
        <w:rPr/>
      </w:pPr>
      <w:r>
        <w:rPr>
          <w:rFonts w:ascii="Times New Roman;sans-serif" w:hAnsi="Times New Roman;sans-serif"/>
          <w:b/>
          <w:color w:val="000000"/>
          <w:sz w:val="24"/>
        </w:rPr>
        <w:t xml:space="preserve">IN WITNESS WHEREOF, </w:t>
      </w:r>
      <w:r>
        <w:rPr>
          <w:rFonts w:ascii="Times New Roman;sans-serif" w:hAnsi="Times New Roman;sans-serif"/>
          <w:b w:val="false"/>
          <w:color w:val="000000"/>
          <w:sz w:val="24"/>
        </w:rPr>
        <w:t>the parties hereto have executed this Eleventh Amendment as of the date first above written.</w:t>
      </w:r>
    </w:p>
    <w:p>
      <w:pPr>
        <w:pStyle w:val="TextBody"/>
        <w:bidi w:val="0"/>
        <w:spacing w:before="11"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90" w:after="283"/>
        <w:jc w:val="left"/>
        <w:rPr>
          <w:color w:val="000000"/>
        </w:rPr>
      </w:pPr>
      <w:r>
        <w:rPr>
          <w:color w:val="000000"/>
        </w:rPr>
        <w:t>“</w:t>
      </w:r>
      <w:r>
        <w:rPr>
          <w:rFonts w:ascii="Times New Roman;sans-serif" w:hAnsi="Times New Roman;sans-serif"/>
          <w:b/>
          <w:color w:val="000000"/>
          <w:sz w:val="24"/>
        </w:rPr>
        <w:t>LANDLORD”</w:t>
      </w:r>
    </w:p>
    <w:p>
      <w:pPr>
        <w:pStyle w:val="TextBody"/>
        <w:bidi w:val="0"/>
        <w:spacing w:before="3" w:after="283"/>
        <w:jc w:val="left"/>
        <w:rPr/>
      </w:pPr>
      <w:r>
        <w:rPr/>
      </w:r>
    </w:p>
    <w:p>
      <w:pPr>
        <w:pStyle w:val="TextBody"/>
        <w:bidi w:val="0"/>
        <w:spacing w:lineRule="auto" w:line="276" w:before="0" w:after="0"/>
        <w:jc w:val="left"/>
        <w:rPr>
          <w:rFonts w:ascii="Times New Roman;sans-serif" w:hAnsi="Times New Roman;sans-serif"/>
          <w:b/>
          <w:color w:val="000000"/>
          <w:sz w:val="24"/>
        </w:rPr>
      </w:pPr>
      <w:r>
        <w:rPr>
          <w:rFonts w:ascii="Times New Roman;sans-serif" w:hAnsi="Times New Roman;sans-serif"/>
          <w:b/>
          <w:color w:val="000000"/>
          <w:sz w:val="24"/>
        </w:rPr>
        <w:t>KRE EXCHANGE OWNER LLC,</w:t>
      </w:r>
    </w:p>
    <w:p>
      <w:pPr>
        <w:pStyle w:val="TextBody"/>
        <w:bidi w:val="0"/>
        <w:spacing w:lineRule="auto" w:line="276" w:before="0" w:after="0"/>
        <w:jc w:val="left"/>
        <w:rPr/>
      </w:pPr>
      <w:r>
        <w:rPr/>
        <w:drawing>
          <wp:inline distT="0" distB="0" distL="0" distR="0">
            <wp:extent cx="1857375" cy="628650"/>
            <wp:effectExtent l="0" t="0" r="0" b="0"/>
            <wp:docPr id="14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 descr=""/>
                    <pic:cNvPicPr>
                      <a:picLocks noChangeAspect="1" noChangeArrowheads="1"/>
                    </pic:cNvPicPr>
                  </pic:nvPicPr>
                  <pic:blipFill>
                    <a:blip r:embed="rId39"/>
                    <a:stretch>
                      <a:fillRect/>
                    </a:stretch>
                  </pic:blipFill>
                  <pic:spPr bwMode="auto">
                    <a:xfrm>
                      <a:off x="0" y="0"/>
                      <a:ext cx="1857375" cy="628650"/>
                    </a:xfrm>
                    <a:prstGeom prst="rect">
                      <a:avLst/>
                    </a:prstGeom>
                  </pic:spPr>
                </pic:pic>
              </a:graphicData>
            </a:graphic>
          </wp:inline>
        </w:drawing>
      </w:r>
      <w:r>
        <w:rPr>
          <w:rFonts w:ascii="Times New Roman;sans-serif" w:hAnsi="Times New Roman;sans-serif"/>
          <w:b w:val="false"/>
          <w:color w:val="000000"/>
          <w:sz w:val="24"/>
        </w:rPr>
        <w:t>a Delaware limited liability company</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528" w:before="0" w:after="0"/>
        <w:ind w:left="0" w:right="0" w:hanging="1"/>
        <w:jc w:val="left"/>
        <w:rPr/>
      </w:pPr>
      <w:r>
        <w:rPr>
          <w:rFonts w:ascii="Times New Roman;sans-serif" w:hAnsi="Times New Roman;sans-serif"/>
          <w:b w:val="false"/>
          <w:color w:val="000000"/>
          <w:sz w:val="24"/>
        </w:rPr>
        <w:t xml:space="preserve">By: Print Name: </w:t>
      </w:r>
      <w:r>
        <w:rPr>
          <w:rFonts w:ascii="Arial;sans-serif" w:hAnsi="Arial;sans-serif"/>
          <w:b w:val="false"/>
          <w:color w:val="000000"/>
          <w:sz w:val="22"/>
          <w:u w:val="single"/>
        </w:rPr>
        <w:t>Daniel Rudin</w:t>
      </w:r>
      <w:r>
        <w:rPr>
          <w:color w:val="000000"/>
        </w:rPr>
        <w:t xml:space="preserve"> </w:t>
      </w:r>
    </w:p>
    <w:p>
      <w:pPr>
        <w:pStyle w:val="TextBody"/>
        <w:bidi w:val="0"/>
        <w:spacing w:lineRule="auto" w:line="240" w:before="0" w:after="0"/>
        <w:jc w:val="left"/>
        <w:rPr/>
      </w:pPr>
      <w:r>
        <w:rPr>
          <w:rFonts w:ascii="Times New Roman;sans-serif" w:hAnsi="Times New Roman;sans-serif"/>
          <w:b w:val="false"/>
          <w:color w:val="000000"/>
          <w:sz w:val="24"/>
        </w:rPr>
        <w:t xml:space="preserve">Title: </w:t>
      </w:r>
      <w:r>
        <w:rPr>
          <w:rFonts w:ascii="Arial;sans-serif" w:hAnsi="Arial;sans-serif"/>
          <w:b w:val="false"/>
          <w:color w:val="000000"/>
          <w:sz w:val="22"/>
        </w:rPr>
        <w:t>Authorized Signatory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color w:val="000000"/>
          <w:sz w:val="24"/>
        </w:rPr>
        <w:t>TENANT”</w:t>
      </w:r>
    </w:p>
    <w:p>
      <w:pPr>
        <w:pStyle w:val="TextBody"/>
        <w:bidi w:val="0"/>
        <w:spacing w:before="3" w:after="283"/>
        <w:jc w:val="left"/>
        <w:rPr/>
      </w:pPr>
      <w:r>
        <w:rPr/>
      </w:r>
    </w:p>
    <w:p>
      <w:pPr>
        <w:pStyle w:val="TextBody"/>
        <w:bidi w:val="0"/>
        <w:spacing w:lineRule="auto" w:line="276" w:before="0" w:after="0"/>
        <w:jc w:val="left"/>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Delaware corporation</w:t>
      </w:r>
    </w:p>
    <w:p>
      <w:pPr>
        <w:pStyle w:val="TextBody"/>
        <w:bidi w:val="0"/>
        <w:spacing w:before="250" w:after="283"/>
        <w:jc w:val="left"/>
        <w:rPr/>
      </w:pPr>
      <w:r>
        <w:rPr/>
        <w:drawing>
          <wp:inline distT="0" distB="0" distL="0" distR="0">
            <wp:extent cx="1076325" cy="304800"/>
            <wp:effectExtent l="0" t="0" r="0" b="0"/>
            <wp:docPr id="14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3" descr=""/>
                    <pic:cNvPicPr>
                      <a:picLocks noChangeAspect="1" noChangeArrowheads="1"/>
                    </pic:cNvPicPr>
                  </pic:nvPicPr>
                  <pic:blipFill>
                    <a:blip r:embed="rId40"/>
                    <a:stretch>
                      <a:fillRect/>
                    </a:stretch>
                  </pic:blipFill>
                  <pic:spPr bwMode="auto">
                    <a:xfrm>
                      <a:off x="0" y="0"/>
                      <a:ext cx="1076325" cy="304800"/>
                    </a:xfrm>
                    <a:prstGeom prst="rect">
                      <a:avLst/>
                    </a:prstGeom>
                  </pic:spPr>
                </pic:pic>
              </a:graphicData>
            </a:graphic>
          </wp:inline>
        </w:drawing>
      </w:r>
    </w:p>
    <w:p>
      <w:pPr>
        <w:pStyle w:val="TextBody"/>
        <w:bidi w:val="0"/>
        <w:spacing w:lineRule="auto" w:line="703" w:before="250" w:after="283"/>
        <w:jc w:val="left"/>
        <w:rPr/>
      </w:pPr>
      <w:r>
        <w:rPr>
          <w:rFonts w:ascii="Times New Roman;sans-serif" w:hAnsi="Times New Roman;sans-serif"/>
          <w:b w:val="false"/>
          <w:color w:val="000000"/>
          <w:sz w:val="24"/>
        </w:rPr>
        <w:t>By: Print Name:</w:t>
      </w:r>
      <w:r>
        <w:rPr>
          <w:color w:val="000000"/>
          <w:u w:val="single"/>
        </w:rPr>
        <w:t xml:space="preserve"> </w:t>
      </w:r>
      <w:r>
        <w:rPr>
          <w:rFonts w:ascii="Lucida Sans Unicode;sans-serif" w:hAnsi="Lucida Sans Unicode;sans-serif"/>
          <w:b w:val="false"/>
          <w:color w:val="000000"/>
          <w:sz w:val="22"/>
          <w:u w:val="single"/>
        </w:rPr>
        <w:t>Tim Regan</w:t>
      </w:r>
    </w:p>
    <w:p>
      <w:pPr>
        <w:pStyle w:val="TextBody"/>
        <w:bidi w:val="0"/>
        <w:spacing w:lineRule="auto" w:line="240" w:before="0" w:after="0"/>
        <w:jc w:val="left"/>
        <w:rPr/>
      </w:pPr>
      <w:r>
        <w:rPr>
          <w:rFonts w:ascii="Times New Roman;sans-serif" w:hAnsi="Times New Roman;sans-serif"/>
          <w:b w:val="false"/>
          <w:color w:val="000000"/>
          <w:sz w:val="24"/>
        </w:rPr>
        <w:t xml:space="preserve">Title: </w:t>
      </w:r>
      <w:r>
        <w:rPr>
          <w:rFonts w:ascii="Lucida Sans Unicode;sans-serif" w:hAnsi="Lucida Sans Unicode;sans-serif"/>
          <w:b w:val="false"/>
          <w:color w:val="000000"/>
          <w:sz w:val="22"/>
        </w:rPr>
        <w:t>CFO</w:t>
      </w:r>
    </w:p>
    <w:p>
      <w:pPr>
        <w:pStyle w:val="TextBody"/>
        <w:bidi w:val="0"/>
        <w:spacing w:before="0" w:after="0"/>
        <w:jc w:val="left"/>
        <w:rPr/>
      </w:pPr>
      <w:r>
        <w:rPr/>
        <w:drawing>
          <wp:inline distT="0" distB="0" distL="0" distR="0">
            <wp:extent cx="819150" cy="819150"/>
            <wp:effectExtent l="0" t="0" r="0" b="0"/>
            <wp:docPr id="14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 descr=""/>
                    <pic:cNvPicPr>
                      <a:picLocks noChangeAspect="1" noChangeArrowheads="1"/>
                    </pic:cNvPicPr>
                  </pic:nvPicPr>
                  <pic:blipFill>
                    <a:blip r:embed="rId41"/>
                    <a:stretch>
                      <a:fillRect/>
                    </a:stretch>
                  </pic:blipFill>
                  <pic:spPr bwMode="auto">
                    <a:xfrm>
                      <a:off x="0" y="0"/>
                      <a:ext cx="819150" cy="8191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7"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w:t>
      </w:r>
    </w:p>
    <w:p>
      <w:pPr>
        <w:pStyle w:val="TextBody"/>
        <w:bidi w:val="0"/>
        <w:spacing w:lineRule="auto" w:line="240" w:before="275"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GIVE-BACK SPACE</w:t>
      </w:r>
    </w:p>
    <w:p>
      <w:pPr>
        <w:pStyle w:val="TextBody"/>
        <w:bidi w:val="0"/>
        <w:spacing w:before="3" w:after="283"/>
        <w:jc w:val="left"/>
        <w:rPr/>
      </w:pPr>
      <w:r>
        <w:rPr/>
      </w:r>
    </w:p>
    <w:p>
      <w:pPr>
        <w:pStyle w:val="TextBody"/>
        <w:bidi w:val="0"/>
        <w:spacing w:lineRule="auto" w:line="240" w:before="0" w:after="0"/>
        <w:ind w:left="0" w:right="0" w:hanging="359"/>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Tranche I Give-Back Space</w:t>
      </w:r>
      <w:r>
        <w:rPr>
          <w:rFonts w:ascii="Times New Roman;sans-serif" w:hAnsi="Times New Roman;sans-serif"/>
          <w:b w:val="false"/>
          <w:color w:val="000000"/>
          <w:sz w:val="24"/>
        </w:rPr>
        <w:t>:</w:t>
      </w:r>
    </w:p>
    <w:p>
      <w:pPr>
        <w:pStyle w:val="TextBody"/>
        <w:bidi w:val="0"/>
        <w:spacing w:before="238" w:after="283"/>
        <w:jc w:val="left"/>
        <w:rPr/>
      </w:pPr>
      <w:r>
        <w:rPr/>
      </w:r>
    </w:p>
    <w:p>
      <w:pPr>
        <w:pStyle w:val="TextBody"/>
        <w:bidi w:val="0"/>
        <w:spacing w:lineRule="auto" w:line="240" w:before="0" w:after="0"/>
        <w:ind w:left="0" w:right="0" w:hanging="358"/>
        <w:jc w:val="left"/>
        <w:rPr>
          <w:rFonts w:ascii="Times New Roman;sans-serif" w:hAnsi="Times New Roman;sans-serif"/>
          <w:b w:val="false"/>
          <w:color w:val="000000"/>
          <w:sz w:val="24"/>
        </w:rPr>
      </w:pPr>
      <w:r>
        <w:rPr>
          <w:rFonts w:ascii="Times New Roman;sans-serif" w:hAnsi="Times New Roman;sans-serif"/>
          <w:b w:val="false"/>
          <w:color w:val="000000"/>
          <w:sz w:val="24"/>
        </w:rPr>
        <w:t>a.Floors 4 and 5, in their entirety, of the North Tower.</w:t>
      </w:r>
    </w:p>
    <w:p>
      <w:pPr>
        <w:pStyle w:val="TextBody"/>
        <w:bidi w:val="0"/>
        <w:spacing w:before="243" w:after="283"/>
        <w:jc w:val="left"/>
        <w:rPr/>
      </w:pPr>
      <w:r>
        <w:rPr/>
      </w:r>
    </w:p>
    <w:p>
      <w:pPr>
        <w:pStyle w:val="TextBody"/>
        <w:bidi w:val="0"/>
        <w:spacing w:lineRule="auto" w:line="240" w:before="0" w:after="0"/>
        <w:ind w:left="0" w:right="0" w:hanging="359"/>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Tranche II Give-Back Space</w:t>
      </w:r>
      <w:r>
        <w:rPr>
          <w:rFonts w:ascii="Times New Roman;sans-serif" w:hAnsi="Times New Roman;sans-serif"/>
          <w:b w:val="false"/>
          <w:color w:val="000000"/>
          <w:sz w:val="24"/>
        </w:rPr>
        <w:t>:</w:t>
      </w:r>
    </w:p>
    <w:p>
      <w:pPr>
        <w:pStyle w:val="TextBody"/>
        <w:bidi w:val="0"/>
        <w:spacing w:before="239" w:after="283"/>
        <w:jc w:val="left"/>
        <w:rPr/>
      </w:pPr>
      <w:r>
        <w:rPr/>
      </w:r>
    </w:p>
    <w:p>
      <w:pPr>
        <w:pStyle w:val="TextBody"/>
        <w:bidi w:val="0"/>
        <w:spacing w:lineRule="auto" w:line="240" w:before="0" w:after="0"/>
        <w:ind w:left="0" w:right="0" w:hanging="358"/>
        <w:jc w:val="left"/>
        <w:rPr>
          <w:rFonts w:ascii="Times New Roman;sans-serif" w:hAnsi="Times New Roman;sans-serif"/>
          <w:b w:val="false"/>
          <w:color w:val="000000"/>
          <w:sz w:val="24"/>
        </w:rPr>
      </w:pPr>
      <w:r>
        <w:rPr>
          <w:rFonts w:ascii="Times New Roman;sans-serif" w:hAnsi="Times New Roman;sans-serif"/>
          <w:b w:val="false"/>
          <w:color w:val="000000"/>
          <w:sz w:val="24"/>
        </w:rPr>
        <w:t>a.Floors 6 and 7, in their entirety, of the North Tower.</w:t>
      </w:r>
    </w:p>
    <w:p>
      <w:pPr>
        <w:pStyle w:val="TextBody"/>
        <w:bidi w:val="0"/>
        <w:spacing w:before="238" w:after="283"/>
        <w:jc w:val="left"/>
        <w:rPr/>
      </w:pPr>
      <w:r>
        <w:rPr/>
      </w:r>
    </w:p>
    <w:p>
      <w:pPr>
        <w:pStyle w:val="TextBody"/>
        <w:bidi w:val="0"/>
        <w:spacing w:lineRule="auto" w:line="240" w:before="0" w:after="0"/>
        <w:ind w:left="0" w:right="0" w:hanging="359"/>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Tranche III Give-Back Space</w:t>
      </w:r>
      <w:r>
        <w:rPr>
          <w:rFonts w:ascii="Times New Roman;sans-serif" w:hAnsi="Times New Roman;sans-serif"/>
          <w:b w:val="false"/>
          <w:color w:val="000000"/>
          <w:sz w:val="24"/>
        </w:rPr>
        <w:t>:</w:t>
      </w:r>
    </w:p>
    <w:p>
      <w:pPr>
        <w:pStyle w:val="TextBody"/>
        <w:bidi w:val="0"/>
        <w:spacing w:before="243" w:after="283"/>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a.Floor 10, in its entirety, of the South Tower and Floor 6, in its entirety, of the North Building.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1"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A-1</w:t>
      </w:r>
    </w:p>
    <w:p>
      <w:pPr>
        <w:pStyle w:val="TextBody"/>
        <w:bidi w:val="0"/>
        <w:spacing w:lineRule="auto" w:line="240" w:before="275"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TRANCHE I:</w:t>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RENTABLE SQUARE FOOTAGE OF EACH FLOOR OF THE PREMISES</w:t>
      </w:r>
    </w:p>
    <w:p>
      <w:pPr>
        <w:pStyle w:val="TextBody"/>
        <w:bidi w:val="0"/>
        <w:spacing w:before="43" w:after="283"/>
        <w:jc w:val="left"/>
        <w:rPr/>
      </w:pPr>
      <w:r>
        <w:rPr/>
      </w:r>
    </w:p>
    <w:tbl>
      <w:tblPr>
        <w:tblW w:w="9879" w:type="dxa"/>
        <w:jc w:val="left"/>
        <w:tblInd w:w="0" w:type="dxa"/>
        <w:tblLayout w:type="fixed"/>
        <w:tblCellMar>
          <w:top w:w="28" w:type="dxa"/>
          <w:left w:w="28" w:type="dxa"/>
          <w:bottom w:w="28" w:type="dxa"/>
          <w:right w:w="28" w:type="dxa"/>
        </w:tblCellMar>
      </w:tblPr>
      <w:tblGrid>
        <w:gridCol w:w="891"/>
        <w:gridCol w:w="783"/>
        <w:gridCol w:w="786"/>
        <w:gridCol w:w="240"/>
        <w:gridCol w:w="240"/>
        <w:gridCol w:w="241"/>
        <w:gridCol w:w="953"/>
        <w:gridCol w:w="953"/>
        <w:gridCol w:w="953"/>
        <w:gridCol w:w="564"/>
        <w:gridCol w:w="564"/>
        <w:gridCol w:w="566"/>
        <w:gridCol w:w="628"/>
        <w:gridCol w:w="628"/>
        <w:gridCol w:w="889"/>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228" w:after="283"/>
              <w:jc w:val="left"/>
              <w:rPr/>
            </w:pPr>
            <w:r>
              <w:rPr/>
            </w:r>
          </w:p>
          <w:p>
            <w:pPr>
              <w:pStyle w:val="TableContents"/>
              <w:bidi w:val="0"/>
              <w:spacing w:lineRule="auto" w:line="254"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228" w:after="283"/>
              <w:jc w:val="left"/>
              <w:rPr/>
            </w:pPr>
            <w:r>
              <w:rPr/>
            </w:r>
          </w:p>
          <w:p>
            <w:pPr>
              <w:pStyle w:val="TableContents"/>
              <w:bidi w:val="0"/>
              <w:spacing w:lineRule="auto" w:line="254"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ind w:left="0" w:right="0" w:firstLine="8"/>
              <w:jc w:val="center"/>
              <w:rPr>
                <w:rFonts w:ascii="Times New Roman;sans-serif" w:hAnsi="Times New Roman;sans-serif"/>
                <w:b w:val="false"/>
                <w:color w:val="000000"/>
                <w:sz w:val="20"/>
              </w:rPr>
            </w:pPr>
            <w:r>
              <w:rPr>
                <w:rFonts w:ascii="Times New Roman;sans-serif" w:hAnsi="Times New Roman;sans-serif"/>
                <w:b w:val="false"/>
                <w:color w:val="000000"/>
                <w:sz w:val="20"/>
              </w:rPr>
              <w:t>RENTABLE SQUARE FEET PER</w:t>
            </w:r>
          </w:p>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FLOOR</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ind w:left="0" w:right="0" w:hanging="3"/>
              <w:jc w:val="center"/>
              <w:rPr>
                <w:rFonts w:ascii="Times New Roman;sans-serif" w:hAnsi="Times New Roman;sans-serif"/>
                <w:b w:val="false"/>
                <w:color w:val="000000"/>
                <w:sz w:val="20"/>
              </w:rPr>
            </w:pPr>
            <w:r>
              <w:rPr>
                <w:rFonts w:ascii="Times New Roman;sans-serif" w:hAnsi="Times New Roman;sans-serif"/>
                <w:b w:val="false"/>
                <w:color w:val="000000"/>
                <w:sz w:val="20"/>
              </w:rPr>
              <w:t>BLDG RENTABLE</w:t>
            </w:r>
          </w:p>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SQUARE FEET</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ind w:left="0" w:right="0" w:hanging="3"/>
              <w:jc w:val="center"/>
              <w:rPr>
                <w:rFonts w:ascii="Times New Roman;sans-serif" w:hAnsi="Times New Roman;sans-serif"/>
                <w:b w:val="false"/>
                <w:color w:val="000000"/>
                <w:sz w:val="20"/>
              </w:rPr>
            </w:pPr>
            <w:r>
              <w:rPr>
                <w:rFonts w:ascii="Times New Roman;sans-serif" w:hAnsi="Times New Roman;sans-serif"/>
                <w:b w:val="false"/>
                <w:color w:val="000000"/>
                <w:sz w:val="20"/>
              </w:rPr>
              <w:t>COMPLEX RENTABLE</w:t>
            </w:r>
          </w:p>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SQUARE FEET</w:t>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BLDG1 NORTH TOWER</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12,289.09*</w:t>
            </w:r>
          </w:p>
        </w:tc>
        <w:tc>
          <w:tcPr>
            <w:tcW w:w="169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8" w:after="283"/>
              <w:jc w:val="left"/>
              <w:rPr/>
            </w:pPr>
            <w:r>
              <w:rPr/>
            </w:r>
          </w:p>
          <w:p>
            <w:pPr>
              <w:pStyle w:val="TableContents"/>
              <w:bidi w:val="0"/>
              <w:spacing w:lineRule="auto" w:line="254"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299 255.17</w:t>
            </w:r>
          </w:p>
        </w:tc>
        <w:tc>
          <w:tcPr>
            <w:tcW w:w="214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69"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424 454.69</w:t>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23,421.33</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23,439.15</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27,338.28**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24,618.21**</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27,596.04</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L7</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26,657.33</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L8</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26,577.07**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L9</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26,577.07**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L10</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26,913.87**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L11</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26,913.87**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26,913.87**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 2 NORTH BUILDING</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2,381.03</w:t>
            </w:r>
          </w:p>
        </w:tc>
        <w:tc>
          <w:tcPr>
            <w:tcW w:w="169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48"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125,199.52</w:t>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11,816.12</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11,788.80</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33,664.07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32,816.33</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32,733.18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BLDG3 SOUTH TOWER</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807.73</w:t>
            </w:r>
          </w:p>
        </w:tc>
        <w:tc>
          <w:tcPr>
            <w:tcW w:w="169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9"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259,551.05</w:t>
            </w:r>
          </w:p>
        </w:tc>
        <w:tc>
          <w:tcPr>
            <w:tcW w:w="2145"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0"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325 915.63</w:t>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464.45</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1,591.71</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30,104.76</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29,549.59</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29,550.77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L7</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29,486.99</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L8</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29,543.96</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L9</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29,543.96</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L10</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26,302.38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L11</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26,302.38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26,302.38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BLDG4 SOUTH BUILDING</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12,564.47</w:t>
            </w:r>
          </w:p>
        </w:tc>
        <w:tc>
          <w:tcPr>
            <w:tcW w:w="1694"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48" w:after="283"/>
              <w:jc w:val="left"/>
              <w:rPr/>
            </w:pPr>
            <w:r>
              <w:rPr/>
            </w:r>
          </w:p>
          <w:p>
            <w:pPr>
              <w:pStyle w:val="TableContents"/>
              <w:bidi w:val="0"/>
              <w:spacing w:lineRule="auto" w:line="254"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66,364.58</w:t>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13,986.84</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13,313.33</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13,337.09</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13,162.86</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9879"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2" w:before="0" w:after="0"/>
              <w:jc w:val="left"/>
              <w:rPr>
                <w:rFonts w:ascii="Times New Roman;sans-serif" w:hAnsi="Times New Roman;sans-serif"/>
                <w:b/>
                <w:color w:val="000000"/>
                <w:sz w:val="20"/>
              </w:rPr>
            </w:pPr>
            <w:r>
              <w:rPr>
                <w:rFonts w:ascii="Times New Roman;sans-serif" w:hAnsi="Times New Roman;sans-serif"/>
                <w:b/>
                <w:color w:val="000000"/>
                <w:sz w:val="20"/>
              </w:rPr>
              <w:t>TOTAL OVERALL BUILDING FLOOR AREA    750 370.32</w:t>
            </w:r>
          </w:p>
        </w:tc>
      </w:tr>
      <w:tr>
        <w:trPr/>
        <w:tc>
          <w:tcPr>
            <w:tcW w:w="9879"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*Retail Space, not part of the Premises.</w:t>
            </w:r>
          </w:p>
        </w:tc>
      </w:tr>
      <w:tr>
        <w:trPr/>
        <w:tc>
          <w:tcPr>
            <w:tcW w:w="9879"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**Give-Back Space, not part of the Premises.</w:t>
            </w:r>
          </w:p>
        </w:tc>
      </w:tr>
    </w:tbl>
    <w:p>
      <w:pPr>
        <w:pStyle w:val="TextBody"/>
        <w:bidi w:val="0"/>
        <w:spacing w:before="0" w:after="0"/>
        <w:jc w:val="left"/>
        <w:rPr/>
      </w:pPr>
      <w:r>
        <w:rPr/>
      </w:r>
    </w:p>
    <w:p>
      <w:pPr>
        <w:pStyle w:val="TextBody"/>
        <w:bidi w:val="0"/>
        <w:spacing w:lineRule="auto" w:line="271"/>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A-2</w:t>
      </w:r>
    </w:p>
    <w:p>
      <w:pPr>
        <w:pStyle w:val="TextBody"/>
        <w:bidi w:val="0"/>
        <w:spacing w:lineRule="auto" w:line="240" w:before="275"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TRANCHE II:</w:t>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RENTABLE SQUARE FOOTAGE OF EACH FLOOR OF THE PREMISES</w:t>
      </w:r>
    </w:p>
    <w:p>
      <w:pPr>
        <w:pStyle w:val="TextBody"/>
        <w:bidi w:val="0"/>
        <w:spacing w:before="43" w:after="283"/>
        <w:jc w:val="left"/>
        <w:rPr/>
      </w:pPr>
      <w:r>
        <w:rPr/>
      </w:r>
    </w:p>
    <w:tbl>
      <w:tblPr>
        <w:tblW w:w="9879" w:type="dxa"/>
        <w:jc w:val="left"/>
        <w:tblInd w:w="0" w:type="dxa"/>
        <w:tblLayout w:type="fixed"/>
        <w:tblCellMar>
          <w:top w:w="28" w:type="dxa"/>
          <w:left w:w="28" w:type="dxa"/>
          <w:bottom w:w="28" w:type="dxa"/>
          <w:right w:w="28" w:type="dxa"/>
        </w:tblCellMar>
      </w:tblPr>
      <w:tblGrid>
        <w:gridCol w:w="891"/>
        <w:gridCol w:w="783"/>
        <w:gridCol w:w="786"/>
        <w:gridCol w:w="240"/>
        <w:gridCol w:w="240"/>
        <w:gridCol w:w="241"/>
        <w:gridCol w:w="953"/>
        <w:gridCol w:w="953"/>
        <w:gridCol w:w="953"/>
        <w:gridCol w:w="564"/>
        <w:gridCol w:w="564"/>
        <w:gridCol w:w="566"/>
        <w:gridCol w:w="628"/>
        <w:gridCol w:w="628"/>
        <w:gridCol w:w="889"/>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228" w:after="283"/>
              <w:jc w:val="left"/>
              <w:rPr/>
            </w:pPr>
            <w:r>
              <w:rPr/>
            </w:r>
          </w:p>
          <w:p>
            <w:pPr>
              <w:pStyle w:val="TableContents"/>
              <w:bidi w:val="0"/>
              <w:spacing w:lineRule="auto" w:line="254"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228" w:after="283"/>
              <w:jc w:val="left"/>
              <w:rPr/>
            </w:pPr>
            <w:r>
              <w:rPr/>
            </w:r>
          </w:p>
          <w:p>
            <w:pPr>
              <w:pStyle w:val="TableContents"/>
              <w:bidi w:val="0"/>
              <w:spacing w:lineRule="auto" w:line="254"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ind w:left="0" w:right="0" w:firstLine="8"/>
              <w:jc w:val="center"/>
              <w:rPr>
                <w:rFonts w:ascii="Times New Roman;sans-serif" w:hAnsi="Times New Roman;sans-serif"/>
                <w:b w:val="false"/>
                <w:color w:val="000000"/>
                <w:sz w:val="20"/>
              </w:rPr>
            </w:pPr>
            <w:r>
              <w:rPr>
                <w:rFonts w:ascii="Times New Roman;sans-serif" w:hAnsi="Times New Roman;sans-serif"/>
                <w:b w:val="false"/>
                <w:color w:val="000000"/>
                <w:sz w:val="20"/>
              </w:rPr>
              <w:t>RENTABLE SQUARE FEET PER</w:t>
            </w:r>
          </w:p>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FLOOR</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ind w:left="0" w:right="0" w:hanging="3"/>
              <w:jc w:val="center"/>
              <w:rPr>
                <w:rFonts w:ascii="Times New Roman;sans-serif" w:hAnsi="Times New Roman;sans-serif"/>
                <w:b w:val="false"/>
                <w:color w:val="000000"/>
                <w:sz w:val="20"/>
              </w:rPr>
            </w:pPr>
            <w:r>
              <w:rPr>
                <w:rFonts w:ascii="Times New Roman;sans-serif" w:hAnsi="Times New Roman;sans-serif"/>
                <w:b w:val="false"/>
                <w:color w:val="000000"/>
                <w:sz w:val="20"/>
              </w:rPr>
              <w:t>BLDG RENTABLE</w:t>
            </w:r>
          </w:p>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SQUARE FEET</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ind w:left="0" w:right="0" w:hanging="3"/>
              <w:jc w:val="center"/>
              <w:rPr>
                <w:rFonts w:ascii="Times New Roman;sans-serif" w:hAnsi="Times New Roman;sans-serif"/>
                <w:b w:val="false"/>
                <w:color w:val="000000"/>
                <w:sz w:val="20"/>
              </w:rPr>
            </w:pPr>
            <w:r>
              <w:rPr>
                <w:rFonts w:ascii="Times New Roman;sans-serif" w:hAnsi="Times New Roman;sans-serif"/>
                <w:b w:val="false"/>
                <w:color w:val="000000"/>
                <w:sz w:val="20"/>
              </w:rPr>
              <w:t>COMPLEX RENTABLE</w:t>
            </w:r>
          </w:p>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SQUARE FEET</w:t>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BLDG1 NORTH TOWER</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12,289.09*</w:t>
            </w:r>
          </w:p>
        </w:tc>
        <w:tc>
          <w:tcPr>
            <w:tcW w:w="169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8" w:after="283"/>
              <w:jc w:val="left"/>
              <w:rPr/>
            </w:pPr>
            <w:r>
              <w:rPr/>
            </w:r>
          </w:p>
          <w:p>
            <w:pPr>
              <w:pStyle w:val="TableContents"/>
              <w:bidi w:val="0"/>
              <w:spacing w:lineRule="auto" w:line="254"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299 255.17</w:t>
            </w:r>
          </w:p>
        </w:tc>
        <w:tc>
          <w:tcPr>
            <w:tcW w:w="214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69"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424 454.69</w:t>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23,421.33</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23,439.15</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27,338.28**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24,618.21**</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27,596.04**</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L7</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26,657.33**</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L8</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26,577.07**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L9</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26,577.07**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L10</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26,913.87**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L11</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26,913.87**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26,913.87**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 2 NORTH BUILDING</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2,381.03</w:t>
            </w:r>
          </w:p>
        </w:tc>
        <w:tc>
          <w:tcPr>
            <w:tcW w:w="169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48"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125,199.52</w:t>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11,816.12</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11,788.80</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33,664.07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32,816.33</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32,733.18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BLDG3 SOUTH TOWER</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807.73</w:t>
            </w:r>
          </w:p>
        </w:tc>
        <w:tc>
          <w:tcPr>
            <w:tcW w:w="169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9"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259,551.05</w:t>
            </w:r>
          </w:p>
        </w:tc>
        <w:tc>
          <w:tcPr>
            <w:tcW w:w="2145"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0"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325,915.63</w:t>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464.45</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1,591.71</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30,104.76</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29,549.59</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29,550.77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L7</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29,486.99</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L8</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29,543.96</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L9</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29,543.96</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L10</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26,302.38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L11</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26,302.38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26,302.38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BLDG4 SOUTH BUILDING</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12,564.47</w:t>
            </w:r>
          </w:p>
        </w:tc>
        <w:tc>
          <w:tcPr>
            <w:tcW w:w="1694"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48" w:after="283"/>
              <w:jc w:val="left"/>
              <w:rPr/>
            </w:pPr>
            <w:r>
              <w:rPr/>
            </w:r>
          </w:p>
          <w:p>
            <w:pPr>
              <w:pStyle w:val="TableContents"/>
              <w:bidi w:val="0"/>
              <w:spacing w:lineRule="auto" w:line="254"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66,364.58</w:t>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13,986.84</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13,313.33</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13,337.09</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13,162.86</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9879"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2" w:before="0" w:after="0"/>
              <w:jc w:val="left"/>
              <w:rPr>
                <w:rFonts w:ascii="Times New Roman;sans-serif" w:hAnsi="Times New Roman;sans-serif"/>
                <w:b/>
                <w:color w:val="000000"/>
                <w:sz w:val="20"/>
              </w:rPr>
            </w:pPr>
            <w:r>
              <w:rPr>
                <w:rFonts w:ascii="Times New Roman;sans-serif" w:hAnsi="Times New Roman;sans-serif"/>
                <w:b/>
                <w:color w:val="000000"/>
                <w:sz w:val="20"/>
              </w:rPr>
              <w:t>TOTAL OVERALL BUILDING FLOOR AREA    750 370.32</w:t>
            </w:r>
          </w:p>
        </w:tc>
      </w:tr>
      <w:tr>
        <w:trPr/>
        <w:tc>
          <w:tcPr>
            <w:tcW w:w="9879"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*Retail Space, not part of the Premises.</w:t>
            </w:r>
          </w:p>
        </w:tc>
      </w:tr>
      <w:tr>
        <w:trPr/>
        <w:tc>
          <w:tcPr>
            <w:tcW w:w="9879"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**Give-Back Space, not part of the Premises.</w:t>
            </w:r>
          </w:p>
        </w:tc>
      </w:tr>
    </w:tbl>
    <w:p>
      <w:pPr>
        <w:pStyle w:val="TextBody"/>
        <w:bidi w:val="0"/>
        <w:spacing w:before="0" w:after="0"/>
        <w:jc w:val="left"/>
        <w:rPr/>
      </w:pPr>
      <w:r>
        <w:rPr/>
      </w:r>
    </w:p>
    <w:p>
      <w:pPr>
        <w:pStyle w:val="TextBody"/>
        <w:bidi w:val="0"/>
        <w:spacing w:lineRule="auto" w:line="271"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A-2</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A-3</w:t>
      </w:r>
    </w:p>
    <w:p>
      <w:pPr>
        <w:pStyle w:val="TextBody"/>
        <w:bidi w:val="0"/>
        <w:spacing w:lineRule="auto" w:line="240" w:before="275"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TRANCHE III:</w:t>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RENTABLE SQUARE FOOTAGE OF EACH FLOOR OF THE PREMISES</w:t>
      </w:r>
    </w:p>
    <w:p>
      <w:pPr>
        <w:pStyle w:val="TextBody"/>
        <w:bidi w:val="0"/>
        <w:spacing w:before="43" w:after="283"/>
        <w:jc w:val="left"/>
        <w:rPr/>
      </w:pPr>
      <w:r>
        <w:rPr/>
      </w:r>
    </w:p>
    <w:tbl>
      <w:tblPr>
        <w:tblW w:w="9879" w:type="dxa"/>
        <w:jc w:val="left"/>
        <w:tblInd w:w="0" w:type="dxa"/>
        <w:tblLayout w:type="fixed"/>
        <w:tblCellMar>
          <w:top w:w="28" w:type="dxa"/>
          <w:left w:w="28" w:type="dxa"/>
          <w:bottom w:w="28" w:type="dxa"/>
          <w:right w:w="28" w:type="dxa"/>
        </w:tblCellMar>
      </w:tblPr>
      <w:tblGrid>
        <w:gridCol w:w="891"/>
        <w:gridCol w:w="783"/>
        <w:gridCol w:w="786"/>
        <w:gridCol w:w="240"/>
        <w:gridCol w:w="240"/>
        <w:gridCol w:w="241"/>
        <w:gridCol w:w="953"/>
        <w:gridCol w:w="953"/>
        <w:gridCol w:w="953"/>
        <w:gridCol w:w="564"/>
        <w:gridCol w:w="564"/>
        <w:gridCol w:w="566"/>
        <w:gridCol w:w="628"/>
        <w:gridCol w:w="628"/>
        <w:gridCol w:w="889"/>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228" w:after="283"/>
              <w:jc w:val="left"/>
              <w:rPr/>
            </w:pPr>
            <w:r>
              <w:rPr/>
            </w:r>
          </w:p>
          <w:p>
            <w:pPr>
              <w:pStyle w:val="TableContents"/>
              <w:bidi w:val="0"/>
              <w:spacing w:lineRule="auto" w:line="254"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BUILDING</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228" w:after="283"/>
              <w:jc w:val="left"/>
              <w:rPr/>
            </w:pPr>
            <w:r>
              <w:rPr/>
            </w:r>
          </w:p>
          <w:p>
            <w:pPr>
              <w:pStyle w:val="TableContents"/>
              <w:bidi w:val="0"/>
              <w:spacing w:lineRule="auto" w:line="254"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ind w:left="0" w:right="0" w:firstLine="8"/>
              <w:jc w:val="center"/>
              <w:rPr>
                <w:rFonts w:ascii="Times New Roman;sans-serif" w:hAnsi="Times New Roman;sans-serif"/>
                <w:b w:val="false"/>
                <w:color w:val="000000"/>
                <w:sz w:val="20"/>
              </w:rPr>
            </w:pPr>
            <w:r>
              <w:rPr>
                <w:rFonts w:ascii="Times New Roman;sans-serif" w:hAnsi="Times New Roman;sans-serif"/>
                <w:b w:val="false"/>
                <w:color w:val="000000"/>
                <w:sz w:val="20"/>
              </w:rPr>
              <w:t>RENTABLE SQUARE FEET PER</w:t>
            </w:r>
          </w:p>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FLOOR</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ind w:left="0" w:right="0" w:hanging="3"/>
              <w:jc w:val="center"/>
              <w:rPr>
                <w:rFonts w:ascii="Times New Roman;sans-serif" w:hAnsi="Times New Roman;sans-serif"/>
                <w:b w:val="false"/>
                <w:color w:val="000000"/>
                <w:sz w:val="20"/>
              </w:rPr>
            </w:pPr>
            <w:r>
              <w:rPr>
                <w:rFonts w:ascii="Times New Roman;sans-serif" w:hAnsi="Times New Roman;sans-serif"/>
                <w:b w:val="false"/>
                <w:color w:val="000000"/>
                <w:sz w:val="20"/>
              </w:rPr>
              <w:t>BLDG RENTABLE</w:t>
            </w:r>
          </w:p>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SQUARE FEET</w:t>
            </w:r>
          </w:p>
        </w:tc>
        <w:tc>
          <w:tcPr>
            <w:tcW w:w="214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ind w:left="0" w:right="0" w:hanging="3"/>
              <w:jc w:val="center"/>
              <w:rPr>
                <w:rFonts w:ascii="Times New Roman;sans-serif" w:hAnsi="Times New Roman;sans-serif"/>
                <w:b w:val="false"/>
                <w:color w:val="000000"/>
                <w:sz w:val="20"/>
              </w:rPr>
            </w:pPr>
            <w:r>
              <w:rPr>
                <w:rFonts w:ascii="Times New Roman;sans-serif" w:hAnsi="Times New Roman;sans-serif"/>
                <w:b w:val="false"/>
                <w:color w:val="000000"/>
                <w:sz w:val="20"/>
              </w:rPr>
              <w:t>COMPLEX RENTABLE</w:t>
            </w:r>
          </w:p>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SQUARE FEET</w:t>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BLDG1 NORTH TOWER</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12,289.09*</w:t>
            </w:r>
          </w:p>
        </w:tc>
        <w:tc>
          <w:tcPr>
            <w:tcW w:w="169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8" w:after="283"/>
              <w:jc w:val="left"/>
              <w:rPr/>
            </w:pPr>
            <w:r>
              <w:rPr/>
            </w:r>
          </w:p>
          <w:p>
            <w:pPr>
              <w:pStyle w:val="TableContents"/>
              <w:bidi w:val="0"/>
              <w:spacing w:lineRule="auto" w:line="254"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299 255.17</w:t>
            </w:r>
          </w:p>
        </w:tc>
        <w:tc>
          <w:tcPr>
            <w:tcW w:w="214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69"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424 454.69</w:t>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23,421.33</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23,439.15</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27,338.28**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24,618.21**</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27,596.04**</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L7</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26,657.33**</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L8</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26,577.07**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L9</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26,577.07**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L10</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26,913.87**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L11</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26,913.87**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26,913.87**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 2 NORTH BUILDING</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2,381.03</w:t>
            </w:r>
          </w:p>
        </w:tc>
        <w:tc>
          <w:tcPr>
            <w:tcW w:w="169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48"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125,199.52</w:t>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11,816.12</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11,788.80</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33,664.07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32,816.33</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32,733.18**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BLDG3 SOUTH TOWER</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807.73</w:t>
            </w:r>
          </w:p>
        </w:tc>
        <w:tc>
          <w:tcPr>
            <w:tcW w:w="1694"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09"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259,551.05</w:t>
            </w:r>
          </w:p>
        </w:tc>
        <w:tc>
          <w:tcPr>
            <w:tcW w:w="2145"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70" w:after="283"/>
              <w:jc w:val="left"/>
              <w:rPr/>
            </w:pPr>
            <w:r>
              <w:rPr/>
            </w:r>
          </w:p>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325,915.63</w:t>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464.45</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1,591.71</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30,104.76</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29,549.59</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29,550.77</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L7</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29,486.99</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L8</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29,543.96</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L9</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29,543.96</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L10</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26,302.38**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L11</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26,302.38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26,302.38</w:t>
            </w:r>
          </w:p>
        </w:tc>
        <w:tc>
          <w:tcPr>
            <w:tcW w:w="1694"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BLDG4 SOUTH BUILDING</w:t>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L1</w:t>
            </w:r>
          </w:p>
        </w:tc>
        <w:tc>
          <w:tcPr>
            <w:tcW w:w="2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12,564.47</w:t>
            </w:r>
          </w:p>
        </w:tc>
        <w:tc>
          <w:tcPr>
            <w:tcW w:w="1694"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48" w:after="283"/>
              <w:jc w:val="left"/>
              <w:rPr/>
            </w:pPr>
            <w:r>
              <w:rPr/>
            </w:r>
          </w:p>
          <w:p>
            <w:pPr>
              <w:pStyle w:val="TableContents"/>
              <w:bidi w:val="0"/>
              <w:spacing w:lineRule="auto" w:line="254"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66,364.58</w:t>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L2</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L3</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13,986.84</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L4</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13,313.33</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L5</w:t>
            </w:r>
          </w:p>
        </w:tc>
        <w:tc>
          <w:tcPr>
            <w:tcW w:w="28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13,337.09</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246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L6</w:t>
            </w:r>
          </w:p>
        </w:tc>
        <w:tc>
          <w:tcPr>
            <w:tcW w:w="28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13,162.86</w:t>
            </w:r>
          </w:p>
        </w:tc>
        <w:tc>
          <w:tcPr>
            <w:tcW w:w="169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c>
          <w:tcPr>
            <w:tcW w:w="2145"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r>
        <w:trPr/>
        <w:tc>
          <w:tcPr>
            <w:tcW w:w="9879"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2" w:before="0" w:after="0"/>
              <w:jc w:val="left"/>
              <w:rPr>
                <w:rFonts w:ascii="Times New Roman;sans-serif" w:hAnsi="Times New Roman;sans-serif"/>
                <w:b/>
                <w:color w:val="000000"/>
                <w:sz w:val="20"/>
              </w:rPr>
            </w:pPr>
            <w:r>
              <w:rPr>
                <w:rFonts w:ascii="Times New Roman;sans-serif" w:hAnsi="Times New Roman;sans-serif"/>
                <w:b/>
                <w:color w:val="000000"/>
                <w:sz w:val="20"/>
              </w:rPr>
              <w:t>TOTAL OVERALL BUILDING FLOOR AREA    750 370.32</w:t>
            </w:r>
          </w:p>
        </w:tc>
      </w:tr>
      <w:tr>
        <w:trPr/>
        <w:tc>
          <w:tcPr>
            <w:tcW w:w="9879"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*Retail Space, not part of the Premises.</w:t>
            </w:r>
          </w:p>
        </w:tc>
      </w:tr>
      <w:tr>
        <w:trPr/>
        <w:tc>
          <w:tcPr>
            <w:tcW w:w="9879" w:type="dxa"/>
            <w:gridSpan w:val="15"/>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**Give-Back Space, not part of the Premises.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46" w:after="283"/>
        <w:jc w:val="left"/>
        <w:rPr/>
      </w:pPr>
      <w:r>
        <w:rPr/>
      </w:r>
    </w:p>
    <w:p>
      <w:pPr>
        <w:pStyle w:val="TextBody"/>
        <w:bidi w:val="0"/>
        <w:spacing w:lineRule="auto" w:line="271"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Form of Access Agreement</w:t>
      </w:r>
    </w:p>
    <w:p>
      <w:pPr>
        <w:pStyle w:val="TextBody"/>
        <w:bidi w:val="0"/>
        <w:spacing w:before="0" w:after="0"/>
        <w:jc w:val="left"/>
        <w:rPr/>
      </w:pPr>
      <w:r>
        <w:rPr/>
      </w:r>
    </w:p>
    <w:p>
      <w:pPr>
        <w:pStyle w:val="TextBody"/>
        <w:bidi w:val="0"/>
        <w:spacing w:before="272" w:after="283"/>
        <w:jc w:val="left"/>
        <w:rPr/>
      </w:pPr>
      <w:r>
        <w:rPr/>
      </w:r>
    </w:p>
    <w:p>
      <w:pPr>
        <w:pStyle w:val="TextBody"/>
        <w:bidi w:val="0"/>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(attached hereto)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1" w:after="283"/>
        <w:jc w:val="left"/>
        <w:rPr/>
      </w:pPr>
      <w:r>
        <w:rPr/>
      </w:r>
    </w:p>
    <w:p>
      <w:pPr>
        <w:pStyle w:val="TextBody"/>
        <w:bidi w:val="0"/>
        <w:spacing w:lineRule="auto" w:line="271"/>
        <w:jc w:val="center"/>
        <w:rPr>
          <w:rFonts w:ascii="Times New Roman;sans-serif" w:hAnsi="Times New Roman;sans-serif"/>
          <w:b w:val="false"/>
          <w:color w:val="000000"/>
          <w:sz w:val="24"/>
        </w:rPr>
      </w:pPr>
      <w:r>
        <w:rPr>
          <w:rFonts w:ascii="Times New Roman;sans-serif" w:hAnsi="Times New Roman;sans-serif"/>
          <w:b w:val="false"/>
          <w:color w:val="000000"/>
          <w:sz w:val="24"/>
        </w:rPr>
        <w:t>Exhibit B</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
        <w:ind w:left="0" w:right="0" w:hanging="1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10.25</w:t>
      </w:r>
    </w:p>
    <w:p>
      <w:pPr>
        <w:pStyle w:val="TextBody"/>
        <w:bidi w:val="0"/>
        <w:spacing w:before="0" w:after="230"/>
        <w:ind w:left="0" w:right="0" w:hanging="10"/>
        <w:jc w:val="both"/>
        <w:rPr/>
      </w:pPr>
      <w:r>
        <w:rPr/>
      </w:r>
    </w:p>
    <w:p>
      <w:pPr>
        <w:pStyle w:val="TextBody"/>
        <w:bidi w:val="0"/>
        <w:spacing w:lineRule="auto" w:line="288" w:before="0" w:after="230"/>
        <w:ind w:left="0" w:right="0" w:hanging="1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October 4, 2023 </w:t>
      </w:r>
    </w:p>
    <w:p>
      <w:pPr>
        <w:pStyle w:val="TextBody"/>
        <w:bidi w:val="0"/>
        <w:spacing w:lineRule="auto" w:line="288" w:before="0" w:after="230"/>
        <w:ind w:left="0" w:right="0" w:hanging="10"/>
        <w:jc w:val="both"/>
        <w:rPr>
          <w:rFonts w:ascii="Times New Roman;sans-serif" w:hAnsi="Times New Roman;sans-serif"/>
          <w:b w:val="false"/>
          <w:color w:val="000000"/>
          <w:sz w:val="24"/>
        </w:rPr>
      </w:pPr>
      <w:r>
        <w:rPr>
          <w:rFonts w:ascii="Times New Roman;sans-serif" w:hAnsi="Times New Roman;sans-serif"/>
          <w:b w:val="false"/>
          <w:color w:val="000000"/>
          <w:sz w:val="24"/>
        </w:rPr>
        <w:t>Eric Cox</w:t>
      </w:r>
    </w:p>
    <w:p>
      <w:pPr>
        <w:pStyle w:val="TextBody"/>
        <w:bidi w:val="0"/>
        <w:spacing w:lineRule="auto" w:line="300" w:before="0" w:after="211"/>
        <w:jc w:val="center"/>
        <w:rPr/>
      </w:pPr>
      <w:r>
        <w:rPr>
          <w:rFonts w:ascii="Times New Roman;sans-serif" w:hAnsi="Times New Roman;sans-serif"/>
          <w:b/>
          <w:color w:val="000000"/>
          <w:sz w:val="24"/>
          <w:u w:val="single"/>
        </w:rPr>
        <w:t>Offer of Employment by Dropbox, Inc.</w:t>
      </w:r>
      <w:r>
        <w:rPr>
          <w:color w:val="000000"/>
        </w:rPr>
        <w:t xml:space="preserve"> </w:t>
      </w:r>
    </w:p>
    <w:p>
      <w:pPr>
        <w:pStyle w:val="TextBody"/>
        <w:bidi w:val="0"/>
        <w:spacing w:lineRule="auto" w:line="288" w:before="0" w:after="264"/>
        <w:ind w:left="0" w:right="0" w:hanging="1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Dear Eric: </w:t>
      </w:r>
    </w:p>
    <w:p>
      <w:pPr>
        <w:pStyle w:val="TextBody"/>
        <w:bidi w:val="0"/>
        <w:spacing w:lineRule="auto" w:line="288" w:before="0" w:after="230"/>
        <w:ind w:left="0" w:right="0" w:firstLine="720"/>
        <w:jc w:val="both"/>
        <w:rPr/>
      </w:pPr>
      <w:r>
        <w:rPr>
          <w:rFonts w:ascii="Times New Roman;sans-serif" w:hAnsi="Times New Roman;sans-serif"/>
          <w:b w:val="false"/>
          <w:color w:val="000000"/>
          <w:sz w:val="24"/>
        </w:rPr>
        <w:t>On behalf of Dropbox, Inc. (“Dropbox”), we are pleased to offer you full-time employment in US - California - San Francisco Metro, USA commencing on December 5, 2023, unless otherwise agreed to by you and Dropbox.</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 xml:space="preserve">Dropbox is a Virtual First company which means that your primary work experience will be remote. You will initially have the position of Chief Customer Officer, Level MGR9 and will initially report to the Chief Executive Officer. The terms of this Agreement are as follows: </w:t>
      </w:r>
    </w:p>
    <w:p>
      <w:pPr>
        <w:pStyle w:val="TextBody"/>
        <w:bidi w:val="0"/>
        <w:spacing w:lineRule="auto" w:line="300" w:before="0" w:after="222"/>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Compensation.</w:t>
      </w:r>
      <w:r>
        <w:rPr>
          <w:color w:val="000000"/>
        </w:rPr>
        <w:t xml:space="preserve"> </w:t>
      </w:r>
    </w:p>
    <w:p>
      <w:pPr>
        <w:pStyle w:val="TextBody"/>
        <w:bidi w:val="0"/>
        <w:spacing w:lineRule="auto" w:line="288" w:before="0" w:after="7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Salary. Your starting annualized salary will be $500,000.00 per year, paid in accordance with Dropbox’s normal payroll procedures. This is a non-exempt position. Dropbox provides compensation for all overtime hours worked by non-exempt employees in accordance with state and federal law.</w:t>
      </w:r>
    </w:p>
    <w:p>
      <w:pPr>
        <w:pStyle w:val="TextBody"/>
        <w:bidi w:val="0"/>
        <w:spacing w:lineRule="auto" w:line="280" w:before="0" w:after="273"/>
        <w:ind w:left="0" w:right="0" w:firstLine="7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Bonus. You will be eligible to receive an annual bonus of 100% of your base salary, contingent upon Dropbox’s annual performance and your annual performance rating. No bonus will be earned or received unless you’re still employed on the payment date. If you have been employed by Dropbox for less than a year, any bonus earned will be prorated. If you start on or after November 1 of your starting year, you will not be eligible for the bonus for that year but will be eligible in future years, subject to the bonus policy. </w:t>
      </w:r>
    </w:p>
    <w:p>
      <w:pPr>
        <w:pStyle w:val="TextBody"/>
        <w:bidi w:val="0"/>
        <w:spacing w:lineRule="auto" w:line="280" w:before="0" w:after="250"/>
        <w:ind w:left="0" w:right="0" w:firstLine="710"/>
        <w:jc w:val="left"/>
        <w:rPr/>
      </w:pPr>
      <w:r>
        <w:rPr>
          <w:rFonts w:ascii="Times New Roman;sans-serif" w:hAnsi="Times New Roman;sans-serif"/>
          <w:b w:val="false"/>
          <w:color w:val="000000"/>
          <w:sz w:val="24"/>
        </w:rPr>
        <w:t>Equity. We will recommend to the Dropbox Board of Directors (or its delegate) that you be granted restricted stock units (“</w:t>
      </w:r>
      <w:r>
        <w:rPr>
          <w:rFonts w:ascii="Times New Roman;sans-serif" w:hAnsi="Times New Roman;sans-serif"/>
          <w:b w:val="false"/>
          <w:i/>
          <w:color w:val="000000"/>
          <w:sz w:val="24"/>
        </w:rPr>
        <w:t>RSUs</w:t>
      </w:r>
      <w:r>
        <w:rPr>
          <w:color w:val="000000"/>
        </w:rPr>
        <w:t>”</w:t>
      </w:r>
      <w:r>
        <w:rPr>
          <w:rFonts w:ascii="Times New Roman;sans-serif" w:hAnsi="Times New Roman;sans-serif"/>
          <w:b w:val="false"/>
          <w:color w:val="000000"/>
          <w:sz w:val="24"/>
        </w:rPr>
        <w:t xml:space="preserve">) with an approximate current value of $11,000,000.00 under Dropbox’s equity incentive plan, with the number of shares granted to be determined by the average closing price of Dropbox common stock for the prior month (the “Grant”). The Grant will be subject to the terms of Dropbox’s Equity Award Grant Policy, equity incentive plan, and the Restricted Stock Unit Agreement between you and Dropbox. This Grant is further subject to the Board’s approval and the promise to recommend the approval does not create an obligation for Dropbox to issue any equity grant. Further details on the equity plan and will be provided upon the Board’s (or its delegate’s) approval of the Grant. </w:t>
      </w:r>
    </w:p>
    <w:p>
      <w:pPr>
        <w:pStyle w:val="TextBody"/>
        <w:bidi w:val="0"/>
        <w:spacing w:lineRule="auto" w:line="307"/>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Nothing in this Agreement, including Section 9, requires that a change to your start date be in a writing signed by both parties. An electronic agreement to your new start date by both parties will be sufficient. </w:t>
      </w:r>
    </w:p>
    <w:p>
      <w:pPr>
        <w:pStyle w:val="TextBody"/>
        <w:bidi w:val="0"/>
        <w:spacing w:before="0" w:after="16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6"/>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Benefits.</w:t>
      </w:r>
      <w:r>
        <w:rPr>
          <w:color w:val="000000"/>
        </w:rPr>
        <w:t xml:space="preserve"> </w:t>
      </w:r>
      <w:r>
        <w:rPr>
          <w:rFonts w:ascii="Times New Roman;sans-serif" w:hAnsi="Times New Roman;sans-serif"/>
          <w:b w:val="false"/>
          <w:color w:val="000000"/>
          <w:sz w:val="24"/>
        </w:rPr>
        <w:t xml:space="preserve">You and your family members will be eligible to participate in Dropbox’s standard employee benefits plans as they are provided to US - California - San </w:t>
      </w:r>
    </w:p>
    <w:p>
      <w:pPr>
        <w:pStyle w:val="TextBody"/>
        <w:bidi w:val="0"/>
        <w:spacing w:lineRule="auto" w:line="280" w:before="0" w:after="236"/>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Francisco Metro, USA employees to the extent that you meet their eligibility criteria. This Section 2 does not create any obligation on the part of Dropbox to adopt or maintain any employee benefit plan or program at any time. Dropbox may amend or terminate, any employee benefit plan or program at any time. </w:t>
      </w:r>
    </w:p>
    <w:p>
      <w:pPr>
        <w:pStyle w:val="TextBody"/>
        <w:bidi w:val="0"/>
        <w:spacing w:lineRule="auto" w:line="288" w:before="0" w:after="23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Confidentiality.</w:t>
      </w:r>
      <w:r>
        <w:rPr>
          <w:color w:val="000000"/>
        </w:rPr>
        <w:t xml:space="preserve"> </w:t>
      </w:r>
      <w:r>
        <w:rPr>
          <w:rFonts w:ascii="Times New Roman;sans-serif" w:hAnsi="Times New Roman;sans-serif"/>
          <w:b w:val="false"/>
          <w:color w:val="000000"/>
          <w:sz w:val="24"/>
        </w:rPr>
        <w:t xml:space="preserve">As an employee of Dropbox, you will have access to certain confidential information of Dropbox and you may, during the course of your employment, develop certain information or inventions that will be Dropbox property. To protect Dropbox’s interests, you will need to sign Dropbox’s standard “Employee Invention Assignment and Confidentiality Agreement” (“EIACA”) as a condition of your employment. We do not want you to, and we direct you not to, bring with you any confidential or proprietary material of any former employer or other party or to violate any other obligations you may have to any former employer or other party. You represent that your signing of this offer letter, agreement(s) concerning equity incentives granted to you, if any, and Dropbox’s EIACA and your commencement of employment with Dropbox will not violate or conflict with the terms of any agreement currently in place between you and current or past employers or other parties. </w:t>
      </w:r>
    </w:p>
    <w:p>
      <w:pPr>
        <w:pStyle w:val="TextBody"/>
        <w:bidi w:val="0"/>
        <w:spacing w:lineRule="auto" w:line="288" w:before="0" w:after="23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Duty Not to Compete.</w:t>
      </w:r>
      <w:r>
        <w:rPr>
          <w:color w:val="000000"/>
        </w:rPr>
        <w:t xml:space="preserve"> </w:t>
      </w:r>
      <w:r>
        <w:rPr>
          <w:rFonts w:ascii="Times New Roman;sans-serif" w:hAnsi="Times New Roman;sans-serif"/>
          <w:b w:val="false"/>
          <w:color w:val="000000"/>
          <w:sz w:val="24"/>
        </w:rPr>
        <w:t xml:space="preserve">During the period that you render services to Dropbox, you agree to not engage in any employment, business or activity that is in any way competitive with the business or proposed business of Dropbox. You will disclose to Dropbox in writing any other employment, business or activity that you are currently associated with or participate in that competes or may compete with Dropbox. During the period that you render services to Dropbox, you will not assist any other person or organization in competing with Dropbox or in preparing to engage in competition with the business or proposed business of Dropbox. </w:t>
      </w:r>
    </w:p>
    <w:p>
      <w:pPr>
        <w:pStyle w:val="TextBody"/>
        <w:bidi w:val="0"/>
        <w:spacing w:lineRule="auto" w:line="288" w:before="0" w:after="23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At-Will Employment.</w:t>
      </w:r>
      <w:r>
        <w:rPr>
          <w:color w:val="000000"/>
        </w:rPr>
        <w:t xml:space="preserve"> </w:t>
      </w:r>
      <w:r>
        <w:rPr>
          <w:rFonts w:ascii="Times New Roman;sans-serif" w:hAnsi="Times New Roman;sans-serif"/>
          <w:b w:val="false"/>
          <w:color w:val="000000"/>
          <w:sz w:val="24"/>
        </w:rPr>
        <w:t xml:space="preserve">If you decide to accept our offer, and we hope that you will, you will be an at-will employee of Dropbox, which means the employment relationship can be terminated by either you or Dropbox for any reason, at any time, with or without prior notice or cause. Any statements or representations to the contrary (and, indeed, any statements contradicting any provision in this letter) should be regarded by you as ineffective. Further, your participation in any equity or benefit program should not be regarded as assuring you of continuing employment for any period of time. Any modification or change in your at-will employment status may only occur by a written employment agreement signed by you and Dropbox’s Chief Executive Officer or his delegate. Dropbox reserves the right to modify the terms of your employment, as well as any of the terms set forth in this letter or in any other policy, letter or agreement.. </w:t>
      </w:r>
    </w:p>
    <w:p>
      <w:pPr>
        <w:pStyle w:val="TextBody"/>
        <w:bidi w:val="0"/>
        <w:spacing w:lineRule="auto" w:line="288" w:before="0" w:after="23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Authorization to Work.</w:t>
      </w:r>
      <w:r>
        <w:rPr>
          <w:color w:val="000000"/>
        </w:rPr>
        <w:t xml:space="preserve"> </w:t>
      </w:r>
      <w:r>
        <w:rPr>
          <w:rFonts w:ascii="Times New Roman;sans-serif" w:hAnsi="Times New Roman;sans-serif"/>
          <w:b w:val="false"/>
          <w:color w:val="000000"/>
          <w:sz w:val="24"/>
        </w:rPr>
        <w:t xml:space="preserve">Within three business days after starting your new position you will need to present documentation demonstrating that you have authorization to work in the United States. This offer of employment will be void if you fail to timely provide such authorization. If you have questions about this requirement, which applies to U.S. citizens and non-U.S. citizens alike, you may contact your supervisor. </w:t>
      </w:r>
    </w:p>
    <w:p>
      <w:pPr>
        <w:pStyle w:val="TextBody"/>
        <w:bidi w:val="0"/>
        <w:spacing w:before="0" w:after="16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Arbitration (Not applicable to Sexual Harassment or Discrimination Claims)</w:t>
      </w:r>
      <w:r>
        <w:rPr>
          <w:rFonts w:ascii="Times New Roman;sans-serif" w:hAnsi="Times New Roman;sans-serif"/>
          <w:b w:val="false"/>
          <w:color w:val="000000"/>
          <w:sz w:val="24"/>
        </w:rPr>
        <w:t xml:space="preserve">. Except as explained in this paragraph, you and Dropbox shall submit to mandatory and exclusive binding arbitration of any and all controversies or claims arising from, or relating to, your employment with Dropbox and/or the termination of your employment that are based upon any federal, state or local ordinance, statute, regulation or constitutional provision. The sole exceptions are claims for workplace sexual harassment and/or discrimination; claims under applicable workers’ compensation law; unemployment insurance claims; actions seeking provisional remedies pursuant to California Code of Civil Procedure Section 1281.8 or equivalent laws in other jurisdictions; and/or claims expressly prohibited by law from being subject to binding arbitration (the “Excluded Claims”). While you’re not required to arbitrate any of the Excluded Claims, you may choose to do so if you’d like once a dispute arises. It’s entirely up to you. </w:t>
      </w:r>
    </w:p>
    <w:p>
      <w:pPr>
        <w:pStyle w:val="TextBody"/>
        <w:bidi w:val="0"/>
        <w:spacing w:lineRule="auto" w:line="288" w:before="0" w:after="23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Also, you agree to submit any of the Excluded Claims to pre-suit mediation before filing any civil action alleging such claim(s). This way, the parties will have an early opportunity to try and reach an amicable resolution of their dispute. The mediation will be with a mutually selected neutral mediator from JAMS and Dropbox will pay all reasonable mediation fees. If either Dropbox or you brings both arbitrable and non-arbitrable claims in the same or related action, both agree that the non-arbitrable claims shall be stayed until the conclusion of arbitration, to the extent allowed by law. </w:t>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THE PARTIES HEREBY WAIVE ANY RIGHTS THEY MAY HAVE TO TRIAL BY JURY IN REGARD TO CLAIMS SUBJECT TO ARBITRATION UNDER THIS AGREEMENT. You and Dropbox agree that the arbitrator shall have the sole authority to determine the arbitrability of all claims. You also agree that any arbitrable claims shall be resolved on an individual basis, and you agree to waive your right, to the extent allowed by applicable law, to consolidate any arbitrable claims with the claims of any other person in a class or collective action. This Agreement does not restrict your right to file administrative claims you may bring before any government agency where, as a matter of law, the parties may not restrict your ability to file such claims (including, but not limited to, the National Labor Relations Board, the Equal Employment Opportunity Commission, and the Department of Labor). However the parties agree that, to the fullest extent permitted by law and consistent with this Agreement, arbitration shall be the exclusive remedy for the subject matter of such administrative claims. Such arbitration shall be governed by the Federal Arbitration Act and conducted through JAMS in San Francisco, California, before a single neutral arbitrator, in accordance with the employment arbitration rules in effect at that time; alternatively, the parties may mutually agree on a location for arbitration through JAMS. The JAMS Employment Arbitration Rules may be found and reviewed at </w:t>
      </w:r>
      <w:r>
        <w:rPr>
          <w:rFonts w:ascii="Times New Roman;sans-serif" w:hAnsi="Times New Roman;sans-serif"/>
          <w:b w:val="false"/>
          <w:color w:val="0000FF"/>
          <w:sz w:val="24"/>
          <w:u w:val="single"/>
        </w:rPr>
        <w:t>https://www.jamsadr.com/rules-employment-arbitration/</w:t>
      </w:r>
      <w:r>
        <w:rPr>
          <w:rFonts w:ascii="Times New Roman;sans-serif" w:hAnsi="Times New Roman;sans-serif"/>
          <w:b w:val="false"/>
          <w:color w:val="000000"/>
          <w:sz w:val="24"/>
        </w:rPr>
        <w:t xml:space="preserve">. If you are unable to access these rules, please let your Recruiter know and they will provide you a hardcopy. The arbitrator shall issue a written decision that contains the essential findings and conclusions on which the decision is based. You shall bear only those costs of arbitration you would otherwise bear had you brought a claim covered by this Agreement in court. Judgment upon the determination or award rendered by the arbitrator may be entered in any court having jurisdiction thereof. </w:t>
      </w:r>
    </w:p>
    <w:p>
      <w:pPr>
        <w:pStyle w:val="TextBody"/>
        <w:bidi w:val="0"/>
        <w:ind w:left="0" w:right="0" w:firstLine="72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3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Background Check.</w:t>
      </w:r>
      <w:r>
        <w:rPr>
          <w:color w:val="000000"/>
        </w:rPr>
        <w:t xml:space="preserve"> </w:t>
      </w:r>
      <w:r>
        <w:rPr>
          <w:rFonts w:ascii="Times New Roman;sans-serif" w:hAnsi="Times New Roman;sans-serif"/>
          <w:b w:val="false"/>
          <w:color w:val="000000"/>
          <w:sz w:val="24"/>
        </w:rPr>
        <w:t xml:space="preserve">This offer and your employment are contingent upon satisfactory verification of criminal, education, and employment background. You will not be able to begin your employment until the verification has been completed, and this offer may be rescinded based upon information obtained from your background check, consistent with the applicable law. </w:t>
      </w:r>
    </w:p>
    <w:p>
      <w:pPr>
        <w:pStyle w:val="TextBody"/>
        <w:bidi w:val="0"/>
        <w:spacing w:lineRule="auto" w:line="288" w:before="0" w:after="23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Complete Agreement</w:t>
      </w:r>
      <w:r>
        <w:rPr>
          <w:rFonts w:ascii="Times New Roman;sans-serif" w:hAnsi="Times New Roman;sans-serif"/>
          <w:b w:val="false"/>
          <w:color w:val="000000"/>
          <w:sz w:val="24"/>
        </w:rPr>
        <w:t xml:space="preserve">. This Agreement and the EIACA constitute the entire agreement relating to your employment and supersedes all prior offers, written or oral, with respect to your employment by Dropbox. Except as otherwise stated above, this Agreement may only be modified by an agreement in writing signed by both parties. </w:t>
      </w:r>
    </w:p>
    <w:p>
      <w:pPr>
        <w:pStyle w:val="TextBody"/>
        <w:bidi w:val="0"/>
        <w:spacing w:lineRule="auto" w:line="288" w:before="0" w:after="23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Governing Law.</w:t>
      </w:r>
      <w:r>
        <w:rPr>
          <w:color w:val="000000"/>
        </w:rPr>
        <w:t xml:space="preserve"> </w:t>
      </w:r>
      <w:r>
        <w:rPr>
          <w:rFonts w:ascii="Times New Roman;sans-serif" w:hAnsi="Times New Roman;sans-serif"/>
          <w:b w:val="false"/>
          <w:color w:val="000000"/>
          <w:sz w:val="24"/>
        </w:rPr>
        <w:t xml:space="preserve">This Agreement, except to the extent governed by the Federal Arbitration Act, will be governed by California law. </w:t>
      </w:r>
    </w:p>
    <w:p>
      <w:pPr>
        <w:pStyle w:val="TextBody"/>
        <w:bidi w:val="0"/>
        <w:spacing w:lineRule="auto" w:line="288" w:before="0" w:after="23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Acceptance.</w:t>
      </w:r>
      <w:r>
        <w:rPr>
          <w:color w:val="000000"/>
        </w:rPr>
        <w:t xml:space="preserve"> </w:t>
      </w:r>
      <w:r>
        <w:rPr>
          <w:rFonts w:ascii="Times New Roman;sans-serif" w:hAnsi="Times New Roman;sans-serif"/>
          <w:b w:val="false"/>
          <w:color w:val="000000"/>
          <w:sz w:val="24"/>
        </w:rPr>
        <w:t xml:space="preserve">This offer will remain open until October 9th, 2023 and is contingent upon you beginning continuous full-time employment by the commencement date above and in the location identified above. This offer, except to the extent governed by the Federal Arbitration Act, will be governed by US - California - San Francisco Metro, USA law. Your signature will acknowledge that you have read and understood and agree to the terms of this offer and any attachments. </w:t>
      </w:r>
    </w:p>
    <w:p>
      <w:pPr>
        <w:pStyle w:val="TextBody"/>
        <w:bidi w:val="0"/>
        <w:spacing w:lineRule="auto" w:line="288" w:before="0" w:after="230"/>
        <w:ind w:left="0" w:right="0" w:hanging="1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look forward to welcoming you to Dropbox. </w:t>
      </w:r>
    </w:p>
    <w:p>
      <w:pPr>
        <w:pStyle w:val="TextBody"/>
        <w:bidi w:val="0"/>
        <w:spacing w:lineRule="auto" w:line="300" w:before="0" w:after="0"/>
        <w:ind w:left="0" w:right="0" w:hanging="1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Very truly yours, </w:t>
      </w:r>
    </w:p>
    <w:p>
      <w:pPr>
        <w:pStyle w:val="TextBody"/>
        <w:bidi w:val="0"/>
        <w:spacing w:before="0" w:after="10"/>
        <w:jc w:val="right"/>
        <w:rPr/>
      </w:pPr>
      <w:r>
        <w:rPr/>
      </w:r>
    </w:p>
    <w:p>
      <w:pPr>
        <w:pStyle w:val="TextBody"/>
        <w:bidi w:val="0"/>
        <w:spacing w:lineRule="auto" w:line="300" w:before="0" w:after="1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/s/ Drew Houston </w:t>
      </w:r>
    </w:p>
    <w:p>
      <w:pPr>
        <w:pStyle w:val="TextBody"/>
        <w:bidi w:val="0"/>
        <w:spacing w:lineRule="auto" w:line="300" w:before="0" w:after="10"/>
        <w:jc w:val="right"/>
        <w:rPr>
          <w:rFonts w:ascii="Times New Roman;sans-serif" w:hAnsi="Times New Roman;sans-serif"/>
          <w:b w:val="false"/>
          <w:color w:val="000000"/>
          <w:sz w:val="24"/>
        </w:rPr>
      </w:pPr>
      <w:r>
        <w:rPr>
          <w:rFonts w:ascii="Times New Roman;sans-serif" w:hAnsi="Times New Roman;sans-serif"/>
          <w:b w:val="false"/>
          <w:color w:val="000000"/>
          <w:sz w:val="24"/>
        </w:rPr>
        <w:t>Drew Houston</w:t>
      </w:r>
    </w:p>
    <w:p>
      <w:pPr>
        <w:pStyle w:val="TextBody"/>
        <w:bidi w:val="0"/>
        <w:spacing w:lineRule="auto" w:line="300" w:before="0" w:after="0"/>
        <w:ind w:left="0" w:right="0" w:hanging="1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Chief Executive Officer </w:t>
      </w:r>
    </w:p>
    <w:p>
      <w:pPr>
        <w:pStyle w:val="TextBody"/>
        <w:bidi w:val="0"/>
        <w:spacing w:lineRule="auto" w:line="288" w:before="0" w:after="230"/>
        <w:ind w:left="0" w:right="0" w:hanging="1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have read and understood this offer letter and hereby acknowledge, accept and agree to the terms as set forth above and further acknowledge that no other commitments were made to me as part of my employment offer except as specifically set forth herein. </w:t>
      </w:r>
    </w:p>
    <w:p>
      <w:pPr>
        <w:pStyle w:val="TextBody"/>
        <w:bidi w:val="0"/>
        <w:spacing w:before="0" w:after="0"/>
        <w:jc w:val="right"/>
        <w:rPr/>
      </w:pPr>
      <w:r>
        <w:rPr/>
      </w:r>
    </w:p>
    <w:p>
      <w:pPr>
        <w:pStyle w:val="TextBody"/>
        <w:bidi w:val="0"/>
        <w:spacing w:lineRule="auto" w:line="288" w:before="0" w:after="10"/>
        <w:jc w:val="left"/>
        <w:rPr/>
      </w:pPr>
      <w:r>
        <w:rPr>
          <w:rFonts w:ascii="Times New Roman;sans-serif" w:hAnsi="Times New Roman;sans-serif"/>
          <w:b w:val="false"/>
          <w:color w:val="000000"/>
          <w:sz w:val="24"/>
          <w:u w:val="single"/>
        </w:rPr>
        <w:t>/s/ Eric Cox</w:t>
      </w:r>
      <w:r>
        <w:rPr>
          <w:color w:val="000000"/>
        </w:rPr>
        <w:t xml:space="preserve">     </w:t>
      </w:r>
      <w:r>
        <w:rPr>
          <w:rFonts w:ascii="Times New Roman;sans-serif" w:hAnsi="Times New Roman;sans-serif"/>
          <w:b w:val="false"/>
          <w:color w:val="000000"/>
          <w:sz w:val="24"/>
          <w:u w:val="single"/>
        </w:rPr>
        <w:t>10/05/2023</w:t>
      </w:r>
      <w:r>
        <w:rPr>
          <w:color w:val="000000"/>
        </w:rPr>
        <w:t xml:space="preserve"> </w:t>
      </w:r>
    </w:p>
    <w:p>
      <w:pPr>
        <w:pStyle w:val="TextBody"/>
        <w:bidi w:val="0"/>
        <w:spacing w:lineRule="auto" w:line="288" w:before="0" w:after="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Eric Cox      Date Signed </w:t>
      </w:r>
    </w:p>
    <w:p>
      <w:pPr>
        <w:pStyle w:val="TextBody"/>
        <w:bidi w:val="0"/>
        <w:spacing w:lineRule="auto" w:line="300"/>
        <w:jc w:val="left"/>
        <w:rPr/>
      </w:pPr>
      <w:r>
        <w:rPr>
          <w:color w:val="000000"/>
        </w:rPr>
        <w:t>    </w:t>
      </w:r>
      <w:r>
        <w:rPr>
          <w:color w:val="222222"/>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21.1</w:t>
      </w:r>
    </w:p>
    <w:p>
      <w:pPr>
        <w:pStyle w:val="TextBody"/>
        <w:bidi w:val="0"/>
        <w:spacing w:before="0" w:after="160"/>
        <w:jc w:val="right"/>
        <w:rPr/>
      </w:pPr>
      <w:r>
        <w:rPr/>
      </w:r>
    </w:p>
    <w:p>
      <w:pPr>
        <w:pStyle w:val="TextBody"/>
        <w:bidi w:val="0"/>
        <w:spacing w:lineRule="auto" w:line="312" w:before="0" w:after="16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Subsidiaries of Registrant</w:t>
      </w:r>
    </w:p>
    <w:p>
      <w:pPr>
        <w:pStyle w:val="TextBody"/>
        <w:bidi w:val="0"/>
        <w:spacing w:before="0" w:after="160"/>
        <w:jc w:val="center"/>
        <w:rPr/>
      </w:pPr>
      <w:r>
        <w:rPr/>
      </w:r>
    </w:p>
    <w:tbl>
      <w:tblPr>
        <w:tblW w:w="7319" w:type="dxa"/>
        <w:jc w:val="center"/>
        <w:tblInd w:w="0" w:type="dxa"/>
        <w:tblLayout w:type="fixed"/>
        <w:tblCellMar>
          <w:top w:w="28" w:type="dxa"/>
          <w:left w:w="28" w:type="dxa"/>
          <w:bottom w:w="28" w:type="dxa"/>
          <w:right w:w="28" w:type="dxa"/>
        </w:tblCellMar>
      </w:tblPr>
      <w:tblGrid>
        <w:gridCol w:w="1700"/>
        <w:gridCol w:w="1492"/>
        <w:gridCol w:w="1502"/>
        <w:gridCol w:w="769"/>
        <w:gridCol w:w="769"/>
        <w:gridCol w:w="1087"/>
      </w:tblGrid>
      <w:tr>
        <w:trPr/>
        <w:tc>
          <w:tcPr>
            <w:tcW w:w="1700"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 of Subsidiary</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u w:val="single"/>
              </w:rPr>
            </w:pPr>
            <w:r>
              <w:rPr>
                <w:rFonts w:ascii="Times New Roman;sans-serif" w:hAnsi="Times New Roman;sans-serif"/>
                <w:b/>
                <w:color w:val="000000"/>
                <w:sz w:val="20"/>
                <w:u w:val="single"/>
              </w:rPr>
              <w:t>Jurisdiction of Incorporation</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Canada Limited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British Columbia</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Holding, LLC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Hypertools, Inc.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Orcinus Holdings, LLC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CloudOn, Inc.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DocSend, Inc.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Australia Pty Ltd.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France S.A.S</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France S.A.S, Paris, Zweigniederlassung Zurich</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Switzerland </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Germany GmbH</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Dropbox International Unlimited Company</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Dropbox Israel Online Ltd.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Japan KK</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Mexico S. de R.L. de C.V</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Netherlands B.V.</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Poland sp. z.o.o.</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Singapore Pte. Ltd.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Sweden AB</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Taiwan Co. Ltd.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Dropbox UK Online Ltd.</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King Street Labs, LLC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Oregon </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Valt Inc.</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16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333333"/>
          <w:sz w:val="21"/>
        </w:rPr>
      </w:pPr>
      <w:r>
        <w:rPr>
          <w:rFonts w:ascii="Times New Roman;sans-serif" w:hAnsi="Times New Roman;sans-serif"/>
          <w:b/>
          <w:color w:val="333333"/>
          <w:sz w:val="21"/>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(1) Registration Statements (Form S-8 Nos. 333-269924, 333-262866, 333-253304, 333-236570, 333-229842) pertaining to the 2018 Equity Incentive Plan of Dropbox, Inc.,</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(2) Registration Statement (Form S-8 No. 333-255665) pertaining to the 2013 Stock Plan and 2015 Stock Option and Grant Plan of DocSend, Inc.,</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 xml:space="preserve">(3) Registration Statement (Form S-8 No. 333-229924) pertaining to the 2011 Equity Incentive Plan of JN Projects, Inc., and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(4) Registration Statement (Form S-8 No. 333-223863) pertaining to the 2008 Equity Incentive Plan of Dropbox, Inc., 2017 Equity Incentive Plan of Dropbox, Inc., 2018 Equity Incentive Plan of Dropbox, Inc., and 2018 Employee Stock Purchase Plan of Dropbox,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333333"/>
          <w:sz w:val="20"/>
        </w:rPr>
        <w:t xml:space="preserve">of our reports dated </w:t>
      </w:r>
      <w:r>
        <w:rPr>
          <w:rFonts w:ascii="Times New Roman;sans-serif" w:hAnsi="Times New Roman;sans-serif"/>
          <w:b w:val="false"/>
          <w:color w:val="000000"/>
          <w:sz w:val="20"/>
        </w:rPr>
        <w:t>February 16, 2024</w:t>
      </w:r>
      <w:r>
        <w:rPr>
          <w:rFonts w:ascii="Times New Roman;sans-serif" w:hAnsi="Times New Roman;sans-serif"/>
          <w:b w:val="false"/>
          <w:color w:val="333333"/>
          <w:sz w:val="20"/>
        </w:rPr>
        <w:t>, with respect to the consolidated financial statements of Dropbox, Inc. and the effectiveness of internal control over financial reporting of Dropbox, Inc. included in this Annual Report (Form 10-K) of Dropbox, Inc. for the year ended December 31,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33333"/>
          <w:sz w:val="20"/>
        </w:rPr>
      </w:pPr>
      <w:r>
        <w:rPr>
          <w:rFonts w:ascii="Times New Roman;sans-serif" w:hAnsi="Times New Roman;sans-serif"/>
          <w:b w:val="false"/>
          <w:color w:val="333333"/>
          <w:sz w:val="20"/>
        </w:rPr>
        <w:t>San Francisco, California</w:t>
      </w:r>
    </w:p>
    <w:p>
      <w:pPr>
        <w:pStyle w:val="TextBody"/>
        <w:bidi w:val="0"/>
        <w:spacing w:lineRule="auto" w:line="288" w:before="0" w:after="0"/>
        <w:jc w:val="left"/>
        <w:rPr/>
      </w:pPr>
      <w:r>
        <w:rPr>
          <w:rFonts w:ascii="Times New Roman;sans-serif" w:hAnsi="Times New Roman;sans-serif"/>
          <w:b w:val="false"/>
          <w:color w:val="000000"/>
          <w:sz w:val="20"/>
        </w:rPr>
        <w:t>February 16, 2024</w:t>
      </w:r>
      <w:r>
        <w:rPr>
          <w:color w:val="333333"/>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Andrew W. Houston, certify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Dropbox,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16, 2024</w:t>
      </w:r>
    </w:p>
    <w:tbl>
      <w:tblPr>
        <w:tblW w:w="3531" w:type="dxa"/>
        <w:jc w:val="right"/>
        <w:tblInd w:w="0" w:type="dxa"/>
        <w:tblLayout w:type="fixed"/>
        <w:tblCellMar>
          <w:top w:w="28" w:type="dxa"/>
          <w:left w:w="28" w:type="dxa"/>
          <w:bottom w:w="28" w:type="dxa"/>
          <w:right w:w="28" w:type="dxa"/>
        </w:tblCellMar>
      </w:tblPr>
      <w:tblGrid>
        <w:gridCol w:w="124"/>
        <w:gridCol w:w="109"/>
        <w:gridCol w:w="109"/>
        <w:gridCol w:w="238"/>
        <w:gridCol w:w="238"/>
        <w:gridCol w:w="238"/>
        <w:gridCol w:w="721"/>
        <w:gridCol w:w="721"/>
        <w:gridCol w:w="10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Timothy J. Regan, certify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Dropbox,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16, 2024</w:t>
      </w:r>
    </w:p>
    <w:tbl>
      <w:tblPr>
        <w:tblW w:w="4820" w:type="dxa"/>
        <w:jc w:val="left"/>
        <w:tblInd w:w="0" w:type="dxa"/>
        <w:tblLayout w:type="fixed"/>
        <w:tblCellMar>
          <w:top w:w="28" w:type="dxa"/>
          <w:left w:w="28" w:type="dxa"/>
          <w:bottom w:w="28" w:type="dxa"/>
          <w:right w:w="28" w:type="dxa"/>
        </w:tblCellMar>
      </w:tblPr>
      <w:tblGrid>
        <w:gridCol w:w="124"/>
        <w:gridCol w:w="109"/>
        <w:gridCol w:w="109"/>
        <w:gridCol w:w="238"/>
        <w:gridCol w:w="238"/>
        <w:gridCol w:w="238"/>
        <w:gridCol w:w="1100"/>
        <w:gridCol w:w="1100"/>
        <w:gridCol w:w="15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240"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Andrew W. Houston, Chief Executive Officer of Dropbox, Inc.. (the “Company”), and Timothy J. Regan, Chief Financial Officer of the Company, each hereby certifies that, to the best of his knowledge:</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Annual Report on Form 10-K for the year ended December 31, 2023, to which this Certification is attached as Exhibit 32.1 (the “Periodic Report”), fully complies with the requirements of Section 13(a) or Section 15(d) of the Exchange Act;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16, 2024 </w:t>
      </w:r>
    </w:p>
    <w:p>
      <w:pPr>
        <w:pStyle w:val="TextBody"/>
        <w:bidi w:val="0"/>
        <w:spacing w:before="0" w:after="0"/>
        <w:jc w:val="left"/>
        <w:rPr/>
      </w:pPr>
      <w:r>
        <w:rPr/>
      </w:r>
    </w:p>
    <w:tbl>
      <w:tblPr>
        <w:tblW w:w="4211" w:type="dxa"/>
        <w:jc w:val="left"/>
        <w:tblInd w:w="0" w:type="dxa"/>
        <w:tblLayout w:type="fixed"/>
        <w:tblCellMar>
          <w:top w:w="28" w:type="dxa"/>
          <w:left w:w="28" w:type="dxa"/>
          <w:bottom w:w="28" w:type="dxa"/>
          <w:right w:w="28" w:type="dxa"/>
        </w:tblCellMar>
      </w:tblPr>
      <w:tblGrid>
        <w:gridCol w:w="1393"/>
        <w:gridCol w:w="1219"/>
        <w:gridCol w:w="1227"/>
        <w:gridCol w:w="109"/>
        <w:gridCol w:w="109"/>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Andrew W. Houston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W. Houston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and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97.1</w:t>
      </w:r>
    </w:p>
    <w:p>
      <w:pPr>
        <w:pStyle w:val="TextBody"/>
        <w:bidi w:val="0"/>
        <w:spacing w:before="0" w:after="160"/>
        <w:jc w:val="right"/>
        <w:rPr/>
      </w:pPr>
      <w:r>
        <w:rPr/>
      </w:r>
    </w:p>
    <w:p>
      <w:pPr>
        <w:pStyle w:val="TextBody"/>
        <w:bidi w:val="0"/>
        <w:spacing w:lineRule="auto" w:line="480"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480" w:before="0" w:after="0"/>
        <w:jc w:val="center"/>
        <w:rPr>
          <w:rFonts w:ascii="Times New Roman;sans-serif" w:hAnsi="Times New Roman;sans-serif"/>
          <w:b/>
          <w:color w:val="000000"/>
          <w:sz w:val="24"/>
        </w:rPr>
      </w:pPr>
      <w:r>
        <w:rPr>
          <w:rFonts w:ascii="Times New Roman;sans-serif" w:hAnsi="Times New Roman;sans-serif"/>
          <w:b/>
          <w:color w:val="000000"/>
          <w:sz w:val="24"/>
        </w:rPr>
        <w:t>Incentive-BASED Compensation Recovery Policy</w:t>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val="false"/>
          <w:color w:val="000000"/>
          <w:sz w:val="24"/>
          <w:u w:val="single"/>
        </w:rPr>
        <w:t>Policy Purpose</w:t>
      </w:r>
      <w:r>
        <w:rPr>
          <w:rFonts w:ascii="Times New Roman;sans-serif" w:hAnsi="Times New Roman;sans-serif"/>
          <w:b w:val="false"/>
          <w:color w:val="000000"/>
          <w:sz w:val="24"/>
        </w:rPr>
        <w:t>. The purpose of this Dropbox,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Incentive-Based Compensation Recovery Policy (this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is to enable the Company to recover Erroneously Awarded Compensation in the event that the Company is required to prepare an Accounting Restatement. This Policy is intended to comply with the requirements set forth in Listing Rule 5608 of the corporate governance rules of The Nasdaq Stock Market (the “</w:t>
      </w:r>
      <w:r>
        <w:rPr>
          <w:rFonts w:ascii="Times New Roman;sans-serif" w:hAnsi="Times New Roman;sans-serif"/>
          <w:b w:val="false"/>
          <w:color w:val="000000"/>
          <w:sz w:val="24"/>
          <w:u w:val="single"/>
        </w:rPr>
        <w:t>Listing Rule</w:t>
      </w:r>
      <w:r>
        <w:rPr>
          <w:color w:val="000000"/>
        </w:rPr>
        <w:t>”</w:t>
      </w:r>
      <w:r>
        <w:rPr>
          <w:rFonts w:ascii="Times New Roman;sans-serif" w:hAnsi="Times New Roman;sans-serif"/>
          <w:b w:val="false"/>
          <w:color w:val="000000"/>
          <w:sz w:val="24"/>
        </w:rPr>
        <w:t xml:space="preserve">) and shall be construed and interpreted in accordance with such intent. Unless otherwise defined in this Policy, capitalized terms shall have the meaning ascribed to such terms in </w:t>
      </w:r>
      <w:r>
        <w:rPr>
          <w:rFonts w:ascii="Times New Roman;sans-serif" w:hAnsi="Times New Roman;sans-serif"/>
          <w:b w:val="false"/>
          <w:color w:val="000000"/>
          <w:sz w:val="24"/>
          <w:u w:val="single"/>
        </w:rPr>
        <w:t>Section 7</w:t>
      </w:r>
      <w:r>
        <w:rPr>
          <w:rFonts w:ascii="Times New Roman;sans-serif" w:hAnsi="Times New Roman;sans-serif"/>
          <w:b w:val="false"/>
          <w:color w:val="000000"/>
          <w:sz w:val="24"/>
        </w:rPr>
        <w:t>. This Policy shall become effective on December 1, 2023.</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Policy Administration</w:t>
      </w:r>
      <w:r>
        <w:rPr>
          <w:rFonts w:ascii="Times New Roman;sans-serif" w:hAnsi="Times New Roman;sans-serif"/>
          <w:b w:val="false"/>
          <w:color w:val="000000"/>
          <w:sz w:val="24"/>
        </w:rPr>
        <w:t>. This Policy shall be administered by the Talent and Compensation Committee of the Board (the “</w:t>
      </w:r>
      <w:r>
        <w:rPr>
          <w:rFonts w:ascii="Times New Roman;sans-serif" w:hAnsi="Times New Roman;sans-serif"/>
          <w:b w:val="false"/>
          <w:color w:val="000000"/>
          <w:sz w:val="24"/>
          <w:u w:val="single"/>
        </w:rPr>
        <w:t>Committee</w:t>
      </w:r>
      <w:r>
        <w:rPr>
          <w:color w:val="000000"/>
        </w:rPr>
        <w:t>”</w:t>
      </w:r>
      <w:r>
        <w:rPr>
          <w:rFonts w:ascii="Times New Roman;sans-serif" w:hAnsi="Times New Roman;sans-serif"/>
          <w:b w:val="false"/>
          <w:color w:val="000000"/>
          <w:sz w:val="24"/>
        </w:rPr>
        <w:t>) unless the Board determines to administer this Policy itself. The Committee has full and final authority to make all determinations under this Policy. All determinations and decisions made by the Committee pursuant to the provisions of this Policy shall be final, conclusive and binding on all persons, including the Company, its affiliates, its stockholders and Executive Officers. Any action or inaction by the Committee with respect to an Executive Officer under this Policy in no way limits the Committee’s actions or decisions not to act with respect to any other Executive Officer under this Policy or under any similar policy, agreement or arrangement, nor shall any such action or inaction serve as a waiver of any rights the Company may have against any Executive Officer other than as set forth in this Policy.</w: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Policy Application</w:t>
      </w:r>
      <w:r>
        <w:rPr>
          <w:rFonts w:ascii="Times New Roman;sans-serif" w:hAnsi="Times New Roman;sans-serif"/>
          <w:b w:val="false"/>
          <w:color w:val="000000"/>
          <w:sz w:val="24"/>
        </w:rPr>
        <w:t xml:space="preserve">. This Policy applies to all Incentive-Based Compensation received by a person: (a) after beginning service as an Executive Officer; (b) who served as an Executive Officer at any time during the performance period for such Incentive-Based Compensation; (c) while the Company had a class of securities listed on a national securities exchange or a national securities association; and (d) during the three completed fiscal years immediately preceding the Accounting Restatement Date. In addition to such last three completed fiscal years, the immediately preceding clause (d) includes any transition period that results from a change in the Company’s fiscal year within or immediately following such three completed fiscal years;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transition period between the last day of the Company’s previous fiscal year end and the first day of its new fiscal year that comprises a period of nine to twelve months shall be deemed a completed fiscal year. For purposes of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Policy Recovery Requirement</w:t>
      </w:r>
      <w:r>
        <w:rPr>
          <w:rFonts w:ascii="Times New Roman;sans-serif" w:hAnsi="Times New Roman;sans-serif"/>
          <w:b w:val="false"/>
          <w:color w:val="000000"/>
          <w:sz w:val="24"/>
        </w:rPr>
        <w:t xml:space="preserve">. In the event of an Accounting Restatement, the Company must recover, reasonably promptly, Erroneously Awarded Compensation, in amounts determined pursuant to this Policy. The Company’s obligation to recover Erroneously Awarded Compensation is not dependent on if or when the Company files restated financial statements. Recovery under this Policy with respect to an Executive Officer shall not require the finding of any misconduct by such Executive Officer or such Executive Officer being found responsible for the accounting error leading to an Accounting Restatement. In the event of an Accounting Restatement, the Company shall satisfy the Company’s obligations under this Policy to recover any amount owed from any applicable Executive Officer by exercising its sole and absolute discretion in how to accomplish such recovery. The Company’s recovery obligation pursuant to this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shall not apply to the extent that the Committee, or in the absence of the Committee, a majority of the independent directors serving on the Board, determines that such recovery would be impracticable and: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4"/>
        </w:rPr>
        <w:t>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the Stock Exchange; or</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b.Recovery would likely cause an otherwise tax-qualified retirement plan, under which benefits are broadly available to employees of the registrant, to fail to meet the requirements of Section 401(a)(13) or Section 411(a) of the Code.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u w:val="single"/>
        </w:rPr>
        <w:t>5.Policy Prohibition on Indemnification and Insurance Reimbursement</w:t>
      </w:r>
      <w:r>
        <w:rPr>
          <w:rFonts w:ascii="Times New Roman;sans-serif" w:hAnsi="Times New Roman;sans-serif"/>
          <w:b w:val="false"/>
          <w:color w:val="000000"/>
          <w:sz w:val="24"/>
        </w:rPr>
        <w:t xml:space="preserve">. The Company is prohibited from indemnifying any Executive Officer or former Executive Officer against the loss of Erroneously Awarded Compensation. Further, the Company is prohibited from paying or reimbursing an Executive Officer for purchasing insurance to cover any such loss.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Required Policy-Related Filings</w:t>
      </w:r>
      <w:r>
        <w:rPr>
          <w:rFonts w:ascii="Times New Roman;sans-serif" w:hAnsi="Times New Roman;sans-serif"/>
          <w:b w:val="false"/>
          <w:color w:val="000000"/>
          <w:sz w:val="24"/>
        </w:rPr>
        <w:t>. The Company shall file all disclosures with respect to this Policy in accordance with the requirements of the Federal securities laws, including disclosures required by U.S. Securities and Exchange Commission filings.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a.</w:t>
      </w:r>
      <w:r>
        <w:rPr>
          <w:color w:val="000000"/>
        </w:rPr>
        <w:t>“</w:t>
      </w:r>
      <w:r>
        <w:rPr>
          <w:rFonts w:ascii="Times New Roman;sans-serif" w:hAnsi="Times New Roman;sans-serif"/>
          <w:b w:val="false"/>
          <w:color w:val="000000"/>
          <w:sz w:val="24"/>
          <w:u w:val="single"/>
        </w:rPr>
        <w:t>Accounting Restatement</w:t>
      </w:r>
      <w:r>
        <w:rPr>
          <w:color w:val="000000"/>
        </w:rPr>
        <w:t xml:space="preserve">” </w:t>
      </w:r>
      <w:r>
        <w:rPr>
          <w:rFonts w:ascii="Times New Roman;sans-serif" w:hAnsi="Times New Roman;sans-serif"/>
          <w:b w:val="false"/>
          <w:color w:val="000000"/>
          <w:sz w:val="24"/>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jc w:val="both"/>
        <w:rPr/>
      </w:pPr>
      <w:r>
        <w:rPr/>
      </w:r>
    </w:p>
    <w:p>
      <w:pPr>
        <w:pStyle w:val="TextBody"/>
        <w:bidi w:val="0"/>
        <w:spacing w:lineRule="auto" w:line="268"/>
        <w:ind w:left="0" w:right="0" w:hanging="360"/>
        <w:jc w:val="both"/>
        <w:rPr/>
      </w:pPr>
      <w:r>
        <w:rPr>
          <w:rFonts w:ascii="Times New Roman;sans-serif" w:hAnsi="Times New Roman;sans-serif"/>
          <w:b w:val="false"/>
          <w:color w:val="000000"/>
          <w:sz w:val="24"/>
        </w:rPr>
        <w:t>b.</w:t>
      </w:r>
      <w:r>
        <w:rPr>
          <w:color w:val="000000"/>
        </w:rPr>
        <w:t>“</w:t>
      </w:r>
      <w:r>
        <w:rPr>
          <w:rFonts w:ascii="Times New Roman;sans-serif" w:hAnsi="Times New Roman;sans-serif"/>
          <w:b w:val="false"/>
          <w:color w:val="000000"/>
          <w:sz w:val="24"/>
          <w:u w:val="single"/>
        </w:rPr>
        <w:t>Accounting Restatement Date</w:t>
      </w:r>
      <w:r>
        <w:rPr>
          <w:color w:val="000000"/>
        </w:rPr>
        <w:t xml:space="preserve">” </w:t>
      </w:r>
      <w:r>
        <w:rPr>
          <w:rFonts w:ascii="Times New Roman;sans-serif" w:hAnsi="Times New Roman;sans-serif"/>
          <w:b w:val="false"/>
          <w:color w:val="000000"/>
          <w:sz w:val="24"/>
        </w:rPr>
        <w:t xml:space="preserve">means the earlier to occur of: (i) the date the Board, a committee of the Board, or the officer or officers of the Company authorized to take such action if the Board action is not required, concludes, or reasonably should have concluded, that the Company is required to prepare an Accounting Restatement; and (ii)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date a court, regulator, or other legally authorized body directs the Company to prepare an Accounting Restatement.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c.</w:t>
      </w:r>
      <w:r>
        <w:rPr>
          <w:color w:val="000000"/>
        </w:rPr>
        <w:t>“</w:t>
      </w:r>
      <w:r>
        <w:rPr>
          <w:rFonts w:ascii="Times New Roman;sans-serif" w:hAnsi="Times New Roman;sans-serif"/>
          <w:b w:val="false"/>
          <w:color w:val="000000"/>
          <w:sz w:val="24"/>
          <w:u w:val="single"/>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d.</w:t>
      </w: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e.</w:t>
      </w:r>
      <w:r>
        <w:rPr>
          <w:color w:val="000000"/>
        </w:rPr>
        <w:t>“</w:t>
      </w:r>
      <w:r>
        <w:rPr>
          <w:rFonts w:ascii="Times New Roman;sans-serif" w:hAnsi="Times New Roman;sans-serif"/>
          <w:b w:val="false"/>
          <w:color w:val="000000"/>
          <w:sz w:val="24"/>
          <w:u w:val="single"/>
        </w:rPr>
        <w:t>Erroneously Awarded Compensation</w:t>
      </w:r>
      <w:r>
        <w:rPr>
          <w:color w:val="000000"/>
        </w:rPr>
        <w:t xml:space="preserve">” </w:t>
      </w:r>
      <w:r>
        <w:rPr>
          <w:rFonts w:ascii="Times New Roman;sans-serif" w:hAnsi="Times New Roman;sans-serif"/>
          <w:b w:val="false"/>
          <w:color w:val="000000"/>
          <w:sz w:val="24"/>
        </w:rPr>
        <w:t xml:space="preserve">means, in the event of an Accounting Restatement, the amount of Incentive-Based Compensation previously received that exceeds the amount of Incentive-Based Compensation that otherwise would have been received had it been determined based on the restated amounts in such Accounting Restatement, and must be computed without regard to any taxes incurred or paid by the relevant Executive Officer;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the Stock Exchange.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f.</w:t>
      </w:r>
      <w:r>
        <w:rPr>
          <w:color w:val="000000"/>
        </w:rPr>
        <w:t>“</w:t>
      </w:r>
      <w:r>
        <w:rPr>
          <w:rFonts w:ascii="Times New Roman;sans-serif" w:hAnsi="Times New Roman;sans-serif"/>
          <w:b w:val="false"/>
          <w:color w:val="000000"/>
          <w:sz w:val="24"/>
          <w:u w:val="single"/>
        </w:rPr>
        <w:t>Executive Officer</w:t>
      </w:r>
      <w:r>
        <w:rPr>
          <w:color w:val="000000"/>
        </w:rPr>
        <w:t xml:space="preserve">” </w:t>
      </w:r>
      <w:r>
        <w:rPr>
          <w:rFonts w:ascii="Times New Roman;sans-serif" w:hAnsi="Times New Roman;sans-serif"/>
          <w:b w:val="false"/>
          <w:color w:val="000000"/>
          <w:sz w:val="24"/>
        </w:rPr>
        <w:t xml:space="preserve">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 making functions for the Company. For the avoidance of doubt, “Executive Officer” includes, but is not limited to, any person identified as an executive officer pursuant to Item 401(b) of Regulation S-K under the U.S. Securities Act of 1933, as amended.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g.</w:t>
      </w:r>
      <w:r>
        <w:rPr>
          <w:color w:val="000000"/>
        </w:rPr>
        <w:t>“</w:t>
      </w:r>
      <w:r>
        <w:rPr>
          <w:rFonts w:ascii="Times New Roman;sans-serif" w:hAnsi="Times New Roman;sans-serif"/>
          <w:b w:val="false"/>
          <w:color w:val="000000"/>
          <w:sz w:val="24"/>
          <w:u w:val="single"/>
        </w:rPr>
        <w:t>Financial Reporting Measure</w:t>
      </w:r>
      <w:r>
        <w:rPr>
          <w:color w:val="000000"/>
        </w:rPr>
        <w:t xml:space="preserve">” </w:t>
      </w:r>
      <w:r>
        <w:rPr>
          <w:rFonts w:ascii="Times New Roman;sans-serif" w:hAnsi="Times New Roman;sans-serif"/>
          <w:b w:val="false"/>
          <w:color w:val="000000"/>
          <w:sz w:val="24"/>
        </w:rPr>
        <w:t xml:space="preserve">means any measure that is determined and presented in accordance with the accounting principles used in preparing the Company’s financial statements, and any measure that is derived wholly or in part from such measure;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Financial Reporting Measure is not required to be presented within the Company’s financial statements or included in a filing with the U.S. Securities and Exchange Commission to qualify as a “Financial Reporting Measure.” For purposes of this Policy, “Financial Reporting Measure” includes, but is not limited to, stock price and total stockholder return. </w:t>
      </w:r>
    </w:p>
    <w:p>
      <w:pPr>
        <w:pStyle w:val="TextBody"/>
        <w:bidi w:val="0"/>
        <w:spacing w:before="0" w:after="0"/>
        <w:jc w:val="both"/>
        <w:rPr/>
      </w:pPr>
      <w:r>
        <w:rPr/>
      </w:r>
    </w:p>
    <w:p>
      <w:pPr>
        <w:pStyle w:val="TextBody"/>
        <w:bidi w:val="0"/>
        <w:spacing w:lineRule="auto" w:line="268"/>
        <w:ind w:left="0" w:right="0" w:hanging="360"/>
        <w:jc w:val="both"/>
        <w:rPr/>
      </w:pPr>
      <w:r>
        <w:rPr>
          <w:rFonts w:ascii="Times New Roman;sans-serif" w:hAnsi="Times New Roman;sans-serif"/>
          <w:b w:val="false"/>
          <w:color w:val="000000"/>
          <w:sz w:val="24"/>
        </w:rPr>
        <w:t>h.</w:t>
      </w:r>
      <w:r>
        <w:rPr>
          <w:color w:val="000000"/>
        </w:rPr>
        <w:t>“</w:t>
      </w:r>
      <w:r>
        <w:rPr>
          <w:rFonts w:ascii="Times New Roman;sans-serif" w:hAnsi="Times New Roman;sans-serif"/>
          <w:b w:val="false"/>
          <w:color w:val="000000"/>
          <w:sz w:val="24"/>
          <w:u w:val="single"/>
        </w:rPr>
        <w:t>Incentive-Based Compensation</w:t>
      </w:r>
      <w:r>
        <w:rPr>
          <w:color w:val="000000"/>
        </w:rPr>
        <w:t xml:space="preserve">” </w:t>
      </w:r>
      <w:r>
        <w:rPr>
          <w:rFonts w:ascii="Times New Roman;sans-serif" w:hAnsi="Times New Roman;sans-serif"/>
          <w:b w:val="false"/>
          <w:color w:val="000000"/>
          <w:sz w:val="24"/>
        </w:rPr>
        <w:t>means any compensation that is granted, earned, or vested based wholly or in part upon the attainment of a Financial Reporting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val="false"/>
          <w:color w:val="000000"/>
          <w:sz w:val="24"/>
          <w:u w:val="single"/>
        </w:rPr>
        <w:t>Stock Exchange</w:t>
      </w:r>
      <w:r>
        <w:rPr>
          <w:color w:val="000000"/>
        </w:rPr>
        <w:t xml:space="preserve">” </w:t>
      </w:r>
      <w:r>
        <w:rPr>
          <w:rFonts w:ascii="Times New Roman;sans-serif" w:hAnsi="Times New Roman;sans-serif"/>
          <w:b w:val="false"/>
          <w:color w:val="000000"/>
          <w:sz w:val="24"/>
        </w:rPr>
        <w:t>means the national stock exchange on which the Company’s common stock is listed.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Acknowledgement</w:t>
      </w:r>
      <w:r>
        <w:rPr>
          <w:rFonts w:ascii="Times New Roman;sans-serif" w:hAnsi="Times New Roman;sans-serif"/>
          <w:b w:val="false"/>
          <w:color w:val="000000"/>
          <w:sz w:val="24"/>
        </w:rPr>
        <w:t xml:space="preserve">. Each Executive Officer shall sign and return to the Company, within 30 calendar days following the later of (i) the effective date of this Policy first set forth above or (ii) the date the individual becomes an Executive Officer, the Acknowledgement Form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pursuant to which the Executive Officer agrees to be bound by, and to comply with, the terms and conditions of this Policy.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Committee Indemnification</w:t>
      </w:r>
      <w:r>
        <w:rPr>
          <w:rFonts w:ascii="Times New Roman;sans-serif" w:hAnsi="Times New Roman;sans-serif"/>
          <w:b w:val="false"/>
          <w:color w:val="000000"/>
          <w:sz w:val="24"/>
        </w:rPr>
        <w:t>.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Amendment; Termination</w:t>
      </w:r>
      <w:r>
        <w:rPr>
          <w:rFonts w:ascii="Times New Roman;sans-serif" w:hAnsi="Times New Roman;sans-serif"/>
          <w:b w:val="false"/>
          <w:color w:val="000000"/>
          <w:sz w:val="24"/>
        </w:rPr>
        <w:t>. The Board may amend this Policy from time to time in its sole and absolute discretion and shall amend this Policy as it deems necessary to reflect the Listing Rule. The Board may terminate this Policy at any time.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Other Recovery Obligations; General Rights</w:t>
      </w:r>
      <w:r>
        <w:rPr>
          <w:rFonts w:ascii="Times New Roman;sans-serif" w:hAnsi="Times New Roman;sans-serif"/>
          <w:b w:val="false"/>
          <w:color w:val="000000"/>
          <w:sz w:val="24"/>
        </w:rPr>
        <w:t>. To the extent that the application of this Policy would provide for recovery of Incentive-Based Compensation that the Company recovers pursuant to Section 304 of the Sarbanes-Oxley Act or other recovery obligations, the amount the relevant Executive Officer has already reimbursed the Company will be credited to the required recovery under this Policy.</w:t>
      </w:r>
      <w:r>
        <w:rPr>
          <w:color w:val="000000"/>
          <w:shd w:fill="FFFFFF" w:val="clear"/>
        </w:rPr>
        <w:t xml:space="preserve"> </w:t>
      </w:r>
      <w:r>
        <w:rPr>
          <w:rFonts w:ascii="Times New Roman;sans-serif" w:hAnsi="Times New Roman;sans-serif"/>
          <w:b w:val="false"/>
          <w:color w:val="000000"/>
          <w:sz w:val="24"/>
        </w:rPr>
        <w:t xml:space="preserve">This Policy shall not limit the rights of the Company to take any other actions or pursue other remedies that the Company may deem appropriate under the circumstances and under applicable law. To the maximum extent permitted under the Listing Rule, this Policy shall be administered in compliance with (or pursuant to an exemption from the application of) Section 409A of the Code.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 This Policy is binding and enforceable against all Executive Officers and their beneficiaries, heirs, executors, administrators or other legal representatives.</w:t>
      </w:r>
    </w:p>
    <w:p>
      <w:pPr>
        <w:pStyle w:val="TextBody"/>
        <w:bidi w:val="0"/>
        <w:spacing w:before="0" w:after="0"/>
        <w:jc w:val="both"/>
        <w:rPr/>
      </w:pPr>
      <w:r>
        <w:rPr/>
      </w:r>
    </w:p>
    <w:p>
      <w:pPr>
        <w:pStyle w:val="TextBody"/>
        <w:bidi w:val="0"/>
        <w:spacing w:lineRule="auto" w:line="268"/>
        <w:ind w:left="0" w:right="0" w:hanging="36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Governing Law; Venue</w:t>
      </w:r>
      <w:r>
        <w:rPr>
          <w:rFonts w:ascii="Times New Roman;sans-serif" w:hAnsi="Times New Roman;sans-serif"/>
          <w:b w:val="false"/>
          <w:color w:val="000000"/>
          <w:sz w:val="24"/>
        </w:rPr>
        <w:t>. This Policy and all rights and obligations hereunder are governed by and construed in accordance with the internal laws of the State of Delaware, excluding any choice of law rules or principles that may direct the application of the laws of another jurisdiction. All actions arising out of or relating to this Policy shall be heard and determined exclusively in the Court of Chancery of the State of Delaware or, if such court declines to exercise jurisdiction or if subject matter jurisdiction over the matter that is the subject of any such legal action or proceeding is vested exclusively in the U.S. Federal courts, the U.S. District Court for the District of Delaware.</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Lucida Sans Unicode">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67623/000146762318000007/exhibit32-q118.htm" TargetMode="External"/><Relationship Id="rId4" Type="http://schemas.openxmlformats.org/officeDocument/2006/relationships/hyperlink" Target="https://www.sec.gov/Archives/edgar/data/1467623/000146762323000055/december-exhibit31.htm" TargetMode="External"/><Relationship Id="rId5" Type="http://schemas.openxmlformats.org/officeDocument/2006/relationships/hyperlink" Target="http://www.sec.gov/Archives/edgar/data/1467623/000119312518078140/d451946dex41.htm" TargetMode="External"/><Relationship Id="rId6" Type="http://schemas.openxmlformats.org/officeDocument/2006/relationships/hyperlink" Target="http://www.sec.gov/Archives/edgar/data/1467623/000119312518055809/d451946dex42.htm" TargetMode="External"/><Relationship Id="rId7" Type="http://schemas.openxmlformats.org/officeDocument/2006/relationships/hyperlink" Target="http://www.sec.gov/Archives/edgar/data/1467623/000146762318000007/exhibit43-q118.htm" TargetMode="External"/><Relationship Id="rId8" Type="http://schemas.openxmlformats.org/officeDocument/2006/relationships/hyperlink" Target="https://www.sec.gov/Archives/edgar/data/0001467623/000119312521061031/d143086dex41.htm" TargetMode="External"/><Relationship Id="rId9" Type="http://schemas.openxmlformats.org/officeDocument/2006/relationships/hyperlink" Target="https://www.sec.gov/Archives/edgar/data/0001467623/000119312521061031/d143086dex42.htm" TargetMode="External"/><Relationship Id="rId10" Type="http://schemas.openxmlformats.org/officeDocument/2006/relationships/hyperlink" Target="https://www.sec.gov/Archives/edgar/data/0001467623/000119312521061031/d143086dex41.htm" TargetMode="External"/><Relationship Id="rId11" Type="http://schemas.openxmlformats.org/officeDocument/2006/relationships/hyperlink" Target="https://www.sec.gov/Archives/edgar/data/0001467623/000119312521061031/d143086dex42.htm" TargetMode="External"/><Relationship Id="rId12" Type="http://schemas.openxmlformats.org/officeDocument/2006/relationships/hyperlink" Target="https://www.sec.gov/Archives/edgar/data/1467623/000146762320000033/exhibit41.htm" TargetMode="External"/><Relationship Id="rId13" Type="http://schemas.openxmlformats.org/officeDocument/2006/relationships/hyperlink" Target="http://www.sec.gov/Archives/edgar/data/1467623/000119312518055809/d451946dex101.htm" TargetMode="External"/><Relationship Id="rId14" Type="http://schemas.openxmlformats.org/officeDocument/2006/relationships/hyperlink" Target="https://www.sec.gov/Archives/edgar/data/1467623/000146762321000012/dbx202010-kex102.htm" TargetMode="External"/><Relationship Id="rId15" Type="http://schemas.openxmlformats.org/officeDocument/2006/relationships/hyperlink" Target="http://www.sec.gov/Archives/edgar/data/1467623/000119312518089786/d553522dex103.htm" TargetMode="External"/><Relationship Id="rId16" Type="http://schemas.openxmlformats.org/officeDocument/2006/relationships/hyperlink" Target="http://www.sec.gov/Archives/edgar/data/1467623/000119312518089786/d553522dex104.htm" TargetMode="External"/><Relationship Id="rId17" Type="http://schemas.openxmlformats.org/officeDocument/2006/relationships/hyperlink" Target="http://www.sec.gov/Archives/edgar/data/1467623/000119312518089786/d553522dex105.htm" TargetMode="External"/><Relationship Id="rId18" Type="http://schemas.openxmlformats.org/officeDocument/2006/relationships/hyperlink" Target="http://www.sec.gov/Archives/edgar/data/1467623/000119312518089786/d553522dex106.htm" TargetMode="External"/><Relationship Id="rId19" Type="http://schemas.openxmlformats.org/officeDocument/2006/relationships/hyperlink" Target="http://www.sec.gov/Archives/edgar/data/1467623/000119312518089786/d553522dex107.htm" TargetMode="External"/><Relationship Id="rId20" Type="http://schemas.openxmlformats.org/officeDocument/2006/relationships/hyperlink" Target="https://www.sec.gov/Archives/edgar/data/1467623/000146762321000012/dbx202010-kex108.htm" TargetMode="External"/><Relationship Id="rId21" Type="http://schemas.openxmlformats.org/officeDocument/2006/relationships/hyperlink" Target="http://www.sec.gov/Archives/edgar/data/1467623/000119312518055809/d451946dex109.htm" TargetMode="External"/><Relationship Id="rId22" Type="http://schemas.openxmlformats.org/officeDocument/2006/relationships/hyperlink" Target="http://www.sec.gov/Archives/edgar/data/1467623/000119312518078140/d451946dex1012.htm" TargetMode="External"/><Relationship Id="rId23" Type="http://schemas.openxmlformats.org/officeDocument/2006/relationships/hyperlink" Target="https://www.sec.gov/Archives/edgar/data/1467623/000146762320000011/dbx201910-kex1014.htm" TargetMode="External"/><Relationship Id="rId24" Type="http://schemas.openxmlformats.org/officeDocument/2006/relationships/hyperlink" Target="https://www.sec.gov/Archives/edgar/data/1467623/000146762320000033/exhibit101.htm" TargetMode="External"/><Relationship Id="rId25" Type="http://schemas.openxmlformats.org/officeDocument/2006/relationships/hyperlink" Target="http://www.sec.gov/Archives/edgar/data/1467623/000119312518055809/d451946dex1019.htm" TargetMode="External"/><Relationship Id="rId26" Type="http://schemas.openxmlformats.org/officeDocument/2006/relationships/hyperlink" Target="http://www.sec.gov/Archives/edgar/data/1467623/000146762318000014/exhibit102-q218.htm" TargetMode="External"/><Relationship Id="rId27" Type="http://schemas.openxmlformats.org/officeDocument/2006/relationships/hyperlink" Target="https://www.sec.gov/Archives/edgar/data/0001467623/000119312521061031/d143086dex106.htm" TargetMode="External"/><Relationship Id="rId28" Type="http://schemas.openxmlformats.org/officeDocument/2006/relationships/hyperlink" Target="https://www.sec.gov/ix?doc=/Archives/edgar/data/0001467623/000119312521061031/d143086d8k.htm" TargetMode="External"/><Relationship Id="rId29" Type="http://schemas.openxmlformats.org/officeDocument/2006/relationships/hyperlink" Target="https://www.sec.gov/Archives/edgar/data/0001467623/000119312521061031/d143086dex102.htm" TargetMode="External"/><Relationship Id="rId30" Type="http://schemas.openxmlformats.org/officeDocument/2006/relationships/hyperlink" Target="https://www.sec.gov/Archives/edgar/data/0001467623/000119312521061031/d143086dex103.htm" TargetMode="External"/><Relationship Id="rId31" Type="http://schemas.openxmlformats.org/officeDocument/2006/relationships/hyperlink" Target="https://www.sec.gov/Archives/edgar/data/0001467623/000119312521061031/d143086dex104.htm" TargetMode="External"/><Relationship Id="rId32" Type="http://schemas.openxmlformats.org/officeDocument/2006/relationships/hyperlink" Target="https://www.sec.gov/Archives/edgar/data/0001467623/000119312521061031/d143086dex105.htm" TargetMode="External"/><Relationship Id="rId33" Type="http://schemas.openxmlformats.org/officeDocument/2006/relationships/hyperlink" Target="https://www.sec.gov/Archives/edgar/data/1467623/000146762320000011/dbx201910-kex1022.htm" TargetMode="External"/><Relationship Id="rId34" Type="http://schemas.openxmlformats.org/officeDocument/2006/relationships/hyperlink" Target="https://www.sec.gov/Archives/edgar/data/1467623/000146762322000015/exhibit1026-q421.htm" TargetMode="External"/><Relationship Id="rId35" Type="http://schemas.openxmlformats.org/officeDocument/2006/relationships/hyperlink" Target="https://www.sec.gov/Archives/edgar/data/1467623/000146762322000015/exhibit1026-q421.htm" TargetMode="External"/><Relationship Id="rId36" Type="http://schemas.openxmlformats.org/officeDocument/2006/relationships/hyperlink" Target="https://www.sec.gov/Archives/edgar/data/1467623/000146762322000015/exhibit1026-q421.htm" TargetMode="External"/><Relationship Id="rId37" Type="http://schemas.openxmlformats.org/officeDocument/2006/relationships/hyperlink" Target="https://www.sec.gov/Archives/edgar/data/1467623/000146762322000015/exhibit1026-q421.htm" TargetMode="External"/><Relationship Id="rId38" Type="http://schemas.openxmlformats.org/officeDocument/2006/relationships/hyperlink" Target="https://www.sec.gov/Archives/edgar/data/1467623/000146762322000015/exhibit1026-q421.htm" TargetMode="External"/><Relationship Id="rId39" Type="http://schemas.openxmlformats.org/officeDocument/2006/relationships/image" Target="media/image2.png"/><Relationship Id="rId40" Type="http://schemas.openxmlformats.org/officeDocument/2006/relationships/image" Target="media/image3.png"/><Relationship Id="rId41" Type="http://schemas.openxmlformats.org/officeDocument/2006/relationships/image" Target="media/image4.pn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83986</Words>
  <Characters>461325</Characters>
  <CharactersWithSpaces>542005</CharactersWithSpaces>
  <Paragraphs>5607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