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189865</wp:posOffset>
            </wp:positionH>
            <wp:positionV relativeFrom="page">
              <wp:posOffset>81280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127000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t>UNITED STATES</w:t>
      </w:r>
    </w:p>
    <w:p>
      <w:pPr>
        <w:spacing w:after="0" w:line="30" w:lineRule="exact"/>
        <w:rPr>
          <w:sz w:val="24"/>
          <w:szCs w:val="24"/>
          <w:color w:val="auto"/>
        </w:rPr>
      </w:pPr>
    </w:p>
    <w:p>
      <w:pPr>
        <w:jc w:val="center"/>
        <w:ind w:right="-60"/>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6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314325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60"/>
        <w:spacing w:after="0"/>
        <w:rPr>
          <w:sz w:val="20"/>
          <w:szCs w:val="20"/>
          <w:color w:val="auto"/>
        </w:rPr>
      </w:pPr>
      <w:r>
        <w:rPr>
          <w:rFonts w:ascii="Arial" w:cs="Arial" w:eastAsia="Arial" w:hAnsi="Arial"/>
          <w:sz w:val="34"/>
          <w:szCs w:val="34"/>
          <w:b w:val="1"/>
          <w:bCs w:val="1"/>
          <w:color w:val="auto"/>
        </w:rPr>
        <w:t>SCHEDULE 13G</w:t>
      </w:r>
    </w:p>
    <w:p>
      <w:pPr>
        <w:spacing w:after="0" w:line="238" w:lineRule="exact"/>
        <w:rPr>
          <w:sz w:val="24"/>
          <w:szCs w:val="24"/>
          <w:color w:val="auto"/>
        </w:rPr>
      </w:pPr>
    </w:p>
    <w:p>
      <w:pPr>
        <w:jc w:val="center"/>
        <w:ind w:right="-60"/>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8" w:lineRule="exact"/>
        <w:rPr>
          <w:sz w:val="24"/>
          <w:szCs w:val="24"/>
          <w:color w:val="auto"/>
        </w:rPr>
      </w:pPr>
    </w:p>
    <w:p>
      <w:pPr>
        <w:jc w:val="center"/>
        <w:ind w:right="-80"/>
        <w:spacing w:after="0"/>
        <w:tabs>
          <w:tab w:leader="none" w:pos="260" w:val="left"/>
        </w:tabs>
        <w:rPr>
          <w:sz w:val="20"/>
          <w:szCs w:val="20"/>
          <w:color w:val="auto"/>
        </w:rPr>
      </w:pPr>
      <w:r>
        <w:rPr>
          <w:rFonts w:ascii="Arial" w:cs="Arial" w:eastAsia="Arial" w:hAnsi="Arial"/>
          <w:sz w:val="23"/>
          <w:szCs w:val="23"/>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323215</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14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60"/>
        <w:spacing w:after="0"/>
        <w:rPr>
          <w:sz w:val="20"/>
          <w:szCs w:val="20"/>
          <w:color w:val="auto"/>
        </w:rPr>
      </w:pPr>
      <w:r>
        <w:rPr>
          <w:rFonts w:ascii="Arial" w:cs="Arial" w:eastAsia="Arial" w:hAnsi="Arial"/>
          <w:sz w:val="42"/>
          <w:szCs w:val="42"/>
          <w:b w:val="1"/>
          <w:bCs w:val="1"/>
          <w:color w:val="auto"/>
        </w:rPr>
        <w:t>Dropbox, Inc.</w:t>
      </w:r>
    </w:p>
    <w:p>
      <w:pPr>
        <w:spacing w:after="0" w:line="39"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(Name of Issuer)</w:t>
      </w:r>
    </w:p>
    <w:p>
      <w:pPr>
        <w:spacing w:after="0" w:line="200" w:lineRule="exact"/>
        <w:rPr>
          <w:sz w:val="24"/>
          <w:szCs w:val="24"/>
          <w:color w:val="auto"/>
        </w:rPr>
      </w:pPr>
    </w:p>
    <w:p>
      <w:pPr>
        <w:spacing w:after="0" w:line="244"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Class A Common Stock, par value $0.00001 per share</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5"/>
          <w:szCs w:val="15"/>
          <w:b w:val="1"/>
          <w:bCs w:val="1"/>
          <w:color w:val="auto"/>
        </w:rPr>
        <w:t>(Title of Class of Securities)</w:t>
      </w:r>
    </w:p>
    <w:p>
      <w:pPr>
        <w:spacing w:after="0" w:line="200" w:lineRule="exact"/>
        <w:rPr>
          <w:sz w:val="24"/>
          <w:szCs w:val="24"/>
          <w:color w:val="auto"/>
        </w:rPr>
      </w:pPr>
    </w:p>
    <w:p>
      <w:pPr>
        <w:spacing w:after="0" w:line="228"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26210C 104</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5"/>
          <w:szCs w:val="15"/>
          <w:b w:val="1"/>
          <w:bCs w:val="1"/>
          <w:color w:val="auto"/>
        </w:rPr>
        <w:t>(CUSIP Number)</w:t>
      </w:r>
    </w:p>
    <w:p>
      <w:pPr>
        <w:spacing w:after="0" w:line="200" w:lineRule="exact"/>
        <w:rPr>
          <w:sz w:val="24"/>
          <w:szCs w:val="24"/>
          <w:color w:val="auto"/>
        </w:rPr>
      </w:pPr>
    </w:p>
    <w:p>
      <w:pPr>
        <w:spacing w:after="0" w:line="228"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December 31, 2018</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5"/>
          <w:szCs w:val="15"/>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311785</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1"/>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66"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13d-1(b)</w:t>
      </w:r>
    </w:p>
    <w:p>
      <w:pPr>
        <w:spacing w:after="0" w:line="266"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13d-1(c)</w:t>
      </w:r>
    </w:p>
    <w:p>
      <w:pPr>
        <w:spacing w:after="0" w:line="266"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13d-1(d)</w:t>
      </w:r>
    </w:p>
    <w:p>
      <w:pPr>
        <w:spacing w:after="0" w:line="266" w:lineRule="exact"/>
        <w:rPr>
          <w:sz w:val="24"/>
          <w:szCs w:val="24"/>
          <w:color w:val="auto"/>
        </w:rPr>
      </w:pPr>
    </w:p>
    <w:p>
      <w:pPr>
        <w:ind w:left="461" w:hanging="461"/>
        <w:spacing w:after="0" w:line="304" w:lineRule="auto"/>
        <w:tabs>
          <w:tab w:leader="none" w:pos="4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0" w:lineRule="exact"/>
        <w:rPr>
          <w:sz w:val="24"/>
          <w:szCs w:val="24"/>
          <w:color w:val="auto"/>
        </w:rPr>
      </w:pPr>
    </w:p>
    <w:p>
      <w:pPr>
        <w:ind w:left="1" w:right="60"/>
        <w:spacing w:after="0" w:line="263"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389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205105</wp:posOffset>
            </wp:positionV>
            <wp:extent cx="7389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561"/>
          </w:cols>
          <w:pgMar w:left="299" w:top="396" w:right="380" w:bottom="1440" w:gutter="0" w:footer="0" w:header="0"/>
        </w:sectPr>
      </w:pPr>
    </w:p>
    <w:bookmarkStart w:id="1" w:name="page2"/>
    <w:bookmarkEnd w:id="1"/>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CUSIP No. 26210C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398385" cy="5533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98385" cy="5533390"/>
                    </a:xfrm>
                    <a:prstGeom prst="rect">
                      <a:avLst/>
                    </a:prstGeom>
                    <a:noFill/>
                  </pic:spPr>
                </pic:pic>
              </a:graphicData>
            </a:graphic>
          </wp:anchor>
        </w:drawing>
      </w:r>
    </w:p>
    <w:p>
      <w:pPr>
        <w:spacing w:after="0" w:line="132"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6"/>
          <w:szCs w:val="16"/>
          <w:color w:val="auto"/>
        </w:rPr>
        <w:t>Names of Reporting Persons.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180" w:type="dxa"/>
            <w:vAlign w:val="bottom"/>
            <w:tcBorders>
              <w:bottom w:val="single" w:sz="8" w:color="auto"/>
            </w:tcBorders>
            <w:gridSpan w:val="4"/>
          </w:tcPr>
          <w:p>
            <w:pPr>
              <w:ind w:left="80"/>
              <w:spacing w:after="0"/>
              <w:rPr>
                <w:sz w:val="20"/>
                <w:szCs w:val="20"/>
                <w:color w:val="auto"/>
              </w:rPr>
            </w:pPr>
            <w:r>
              <w:rPr>
                <w:rFonts w:ascii="Arial" w:cs="Arial" w:eastAsia="Arial" w:hAnsi="Arial"/>
                <w:sz w:val="23"/>
                <w:szCs w:val="23"/>
                <w:color w:val="auto"/>
              </w:rPr>
              <w:t>Andrew W. Houston</w:t>
            </w:r>
          </w:p>
        </w:tc>
        <w:tc>
          <w:tcPr>
            <w:tcW w:w="0" w:type="dxa"/>
            <w:vAlign w:val="bottom"/>
          </w:tcPr>
          <w:p>
            <w:pPr>
              <w:spacing w:after="0"/>
              <w:rPr>
                <w:sz w:val="1"/>
                <w:szCs w:val="1"/>
                <w:color w:val="auto"/>
              </w:rPr>
            </w:pPr>
          </w:p>
        </w:tc>
      </w:tr>
      <w:tr>
        <w:trPr>
          <w:trHeight w:val="175"/>
        </w:trPr>
        <w:tc>
          <w:tcPr>
            <w:tcW w:w="400" w:type="dxa"/>
            <w:vAlign w:val="bottom"/>
          </w:tcPr>
          <w:p>
            <w:pPr>
              <w:jc w:val="right"/>
              <w:spacing w:after="0" w:line="175" w:lineRule="exact"/>
              <w:rPr>
                <w:sz w:val="20"/>
                <w:szCs w:val="20"/>
                <w:color w:val="auto"/>
              </w:rPr>
            </w:pPr>
            <w:r>
              <w:rPr>
                <w:rFonts w:ascii="Arial" w:cs="Arial" w:eastAsia="Arial" w:hAnsi="Arial"/>
                <w:sz w:val="19"/>
                <w:szCs w:val="19"/>
                <w:color w:val="auto"/>
              </w:rPr>
              <w:t>2.</w:t>
            </w:r>
          </w:p>
        </w:tc>
        <w:tc>
          <w:tcPr>
            <w:tcW w:w="80" w:type="dxa"/>
            <w:vAlign w:val="bottom"/>
          </w:tcPr>
          <w:p>
            <w:pPr>
              <w:spacing w:after="0"/>
              <w:rPr>
                <w:sz w:val="15"/>
                <w:szCs w:val="15"/>
                <w:color w:val="auto"/>
              </w:rPr>
            </w:pPr>
          </w:p>
        </w:tc>
        <w:tc>
          <w:tcPr>
            <w:tcW w:w="11180" w:type="dxa"/>
            <w:vAlign w:val="bottom"/>
            <w:gridSpan w:val="4"/>
          </w:tcPr>
          <w:p>
            <w:pPr>
              <w:ind w:left="80"/>
              <w:spacing w:after="0" w:line="175" w:lineRule="exact"/>
              <w:rPr>
                <w:sz w:val="20"/>
                <w:szCs w:val="20"/>
                <w:color w:val="auto"/>
              </w:rPr>
            </w:pPr>
            <w:r>
              <w:rPr>
                <w:rFonts w:ascii="Arial" w:cs="Arial" w:eastAsia="Arial" w:hAnsi="Arial"/>
                <w:sz w:val="19"/>
                <w:szCs w:val="19"/>
                <w:color w:val="auto"/>
              </w:rPr>
              <w:t>Check the Appropriate Box if a Member of a Group (See Instructions)</w:t>
            </w:r>
          </w:p>
        </w:tc>
        <w:tc>
          <w:tcPr>
            <w:tcW w:w="0" w:type="dxa"/>
            <w:vAlign w:val="bottom"/>
          </w:tcPr>
          <w:p>
            <w:pPr>
              <w:spacing w:after="0"/>
              <w:rPr>
                <w:sz w:val="1"/>
                <w:szCs w:val="1"/>
                <w:color w:val="auto"/>
              </w:rPr>
            </w:pPr>
          </w:p>
        </w:tc>
      </w:tr>
      <w:tr>
        <w:trPr>
          <w:trHeight w:val="298"/>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ind w:left="8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440" w:type="dxa"/>
            <w:vAlign w:val="bottom"/>
            <w:gridSpan w:val="2"/>
          </w:tcPr>
          <w:p>
            <w:pPr>
              <w:ind w:left="220"/>
              <w:spacing w:after="0"/>
              <w:rPr>
                <w:sz w:val="20"/>
                <w:szCs w:val="20"/>
                <w:color w:val="auto"/>
              </w:rPr>
            </w:pPr>
            <w:r>
              <w:rPr>
                <w:rFonts w:ascii="Arial" w:cs="Arial" w:eastAsia="Arial" w:hAnsi="Arial"/>
                <w:sz w:val="19"/>
                <w:szCs w:val="19"/>
                <w:color w:val="auto"/>
                <w:w w:val="85"/>
              </w:rPr>
              <w:t>(b)</w:t>
            </w:r>
          </w:p>
        </w:tc>
        <w:tc>
          <w:tcPr>
            <w:tcW w:w="10020" w:type="dxa"/>
            <w:vAlign w:val="bottom"/>
          </w:tcPr>
          <w:p>
            <w:pPr>
              <w:ind w:left="8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1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 w:type="dxa"/>
            <w:vAlign w:val="bottom"/>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0"/>
                <w:szCs w:val="20"/>
                <w:color w:val="auto"/>
              </w:rPr>
            </w:pPr>
          </w:p>
        </w:tc>
        <w:tc>
          <w:tcPr>
            <w:tcW w:w="11180" w:type="dxa"/>
            <w:vAlign w:val="bottom"/>
            <w:gridSpan w:val="4"/>
          </w:tcPr>
          <w:p>
            <w:pPr>
              <w:ind w:left="8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258"/>
        </w:trPr>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12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0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0"/>
                <w:szCs w:val="20"/>
                <w:color w:val="auto"/>
              </w:rPr>
            </w:pPr>
          </w:p>
        </w:tc>
        <w:tc>
          <w:tcPr>
            <w:tcW w:w="11180" w:type="dxa"/>
            <w:vAlign w:val="bottom"/>
            <w:gridSpan w:val="4"/>
          </w:tcPr>
          <w:p>
            <w:pPr>
              <w:ind w:left="8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r>
        <w:trPr>
          <w:trHeight w:val="513"/>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180" w:type="dxa"/>
            <w:vAlign w:val="bottom"/>
            <w:tcBorders>
              <w:bottom w:val="single" w:sz="8" w:color="auto"/>
            </w:tcBorders>
            <w:gridSpan w:val="4"/>
          </w:tcPr>
          <w:p>
            <w:pPr>
              <w:ind w:left="80"/>
              <w:spacing w:after="0"/>
              <w:rPr>
                <w:sz w:val="20"/>
                <w:szCs w:val="20"/>
                <w:color w:val="auto"/>
              </w:rPr>
            </w:pPr>
            <w:r>
              <w:rPr>
                <w:rFonts w:ascii="Arial" w:cs="Arial" w:eastAsia="Arial" w:hAnsi="Arial"/>
                <w:sz w:val="23"/>
                <w:szCs w:val="23"/>
                <w:color w:val="auto"/>
              </w:rPr>
              <w:t>United States of America</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10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13"/>
        </w:trPr>
        <w:tc>
          <w:tcPr>
            <w:tcW w:w="1200" w:type="dxa"/>
            <w:vAlign w:val="bottom"/>
            <w:tcBorders>
              <w:right w:val="single" w:sz="8" w:color="auto"/>
            </w:tcBorders>
            <w:gridSpan w:val="3"/>
            <w:vMerge w:val="restart"/>
          </w:tcPr>
          <w:p>
            <w:pPr>
              <w:jc w:val="center"/>
              <w:ind w:left="45"/>
              <w:spacing w:after="0"/>
              <w:rPr>
                <w:sz w:val="20"/>
                <w:szCs w:val="20"/>
                <w:color w:val="auto"/>
              </w:rPr>
            </w:pPr>
            <w:r>
              <w:rPr>
                <w:rFonts w:ascii="Arial" w:cs="Arial" w:eastAsia="Arial" w:hAnsi="Arial"/>
                <w:sz w:val="19"/>
                <w:szCs w:val="19"/>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0"/>
                <w:szCs w:val="20"/>
                <w:color w:val="auto"/>
              </w:rPr>
            </w:pPr>
            <w:r>
              <w:rPr>
                <w:rFonts w:ascii="Arial" w:cs="Arial" w:eastAsia="Arial" w:hAnsi="Arial"/>
                <w:sz w:val="23"/>
                <w:szCs w:val="23"/>
                <w:color w:val="auto"/>
              </w:rPr>
              <w:t>95,060,375 (See Item 4(a) below)</w:t>
            </w:r>
          </w:p>
        </w:tc>
        <w:tc>
          <w:tcPr>
            <w:tcW w:w="0" w:type="dxa"/>
            <w:vAlign w:val="bottom"/>
          </w:tcPr>
          <w:p>
            <w:pPr>
              <w:spacing w:after="0"/>
              <w:rPr>
                <w:sz w:val="1"/>
                <w:szCs w:val="1"/>
                <w:color w:val="auto"/>
              </w:rPr>
            </w:pPr>
          </w:p>
        </w:tc>
      </w:tr>
      <w:tr>
        <w:trPr>
          <w:trHeight w:val="53"/>
        </w:trPr>
        <w:tc>
          <w:tcPr>
            <w:tcW w:w="120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color w:val="auto"/>
              </w:rPr>
              <w:t>6.</w:t>
            </w:r>
          </w:p>
        </w:tc>
        <w:tc>
          <w:tcPr>
            <w:tcW w:w="100" w:type="dxa"/>
            <w:vAlign w:val="bottom"/>
          </w:tcPr>
          <w:p>
            <w:pPr>
              <w:spacing w:after="0"/>
              <w:rPr>
                <w:sz w:val="4"/>
                <w:szCs w:val="4"/>
                <w:color w:val="auto"/>
              </w:rPr>
            </w:pPr>
          </w:p>
        </w:tc>
        <w:tc>
          <w:tcPr>
            <w:tcW w:w="1002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800" w:type="dxa"/>
            <w:vAlign w:val="bottom"/>
            <w:tcBorders>
              <w:right w:val="single" w:sz="8" w:color="auto"/>
            </w:tcBorders>
            <w:gridSpan w:val="2"/>
            <w:vMerge w:val="restart"/>
          </w:tcPr>
          <w:p>
            <w:pPr>
              <w:jc w:val="center"/>
              <w:ind w:right="159"/>
              <w:spacing w:after="0"/>
              <w:rPr>
                <w:sz w:val="20"/>
                <w:szCs w:val="20"/>
                <w:color w:val="auto"/>
              </w:rPr>
            </w:pPr>
            <w:r>
              <w:rPr>
                <w:rFonts w:ascii="Arial" w:cs="Arial" w:eastAsia="Arial" w:hAnsi="Arial"/>
                <w:sz w:val="19"/>
                <w:szCs w:val="19"/>
                <w:color w:val="auto"/>
                <w:w w:val="82"/>
              </w:rPr>
              <w:t>Shares</w:t>
            </w:r>
          </w:p>
        </w:tc>
        <w:tc>
          <w:tcPr>
            <w:tcW w:w="34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200" w:type="dxa"/>
            <w:vAlign w:val="bottom"/>
            <w:tcBorders>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5"/>
              </w:rPr>
              <w:t>Beneficially</w:t>
            </w:r>
          </w:p>
        </w:tc>
        <w:tc>
          <w:tcPr>
            <w:tcW w:w="3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20" w:type="dxa"/>
            <w:vAlign w:val="bottom"/>
            <w:vMerge w:val="restart"/>
          </w:tcPr>
          <w:p>
            <w:pPr>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41"/>
        </w:trPr>
        <w:tc>
          <w:tcPr>
            <w:tcW w:w="1200" w:type="dxa"/>
            <w:vAlign w:val="bottom"/>
            <w:tcBorders>
              <w:right w:val="single" w:sz="8" w:color="auto"/>
            </w:tcBorders>
            <w:gridSpan w:val="3"/>
          </w:tcPr>
          <w:p>
            <w:pPr>
              <w:jc w:val="center"/>
              <w:ind w:left="45"/>
              <w:spacing w:after="0"/>
              <w:rPr>
                <w:sz w:val="20"/>
                <w:szCs w:val="20"/>
                <w:color w:val="auto"/>
              </w:rPr>
            </w:pPr>
            <w:r>
              <w:rPr>
                <w:rFonts w:ascii="Arial" w:cs="Arial" w:eastAsia="Arial" w:hAnsi="Arial"/>
                <w:sz w:val="19"/>
                <w:szCs w:val="19"/>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right w:val="single" w:sz="8" w:color="auto"/>
            </w:tcBorders>
          </w:tcPr>
          <w:p>
            <w:pPr>
              <w:jc w:val="center"/>
              <w:ind w:right="239"/>
              <w:spacing w:after="0" w:line="195" w:lineRule="exact"/>
              <w:rPr>
                <w:sz w:val="20"/>
                <w:szCs w:val="20"/>
                <w:color w:val="auto"/>
              </w:rPr>
            </w:pPr>
            <w:r>
              <w:rPr>
                <w:rFonts w:ascii="Arial" w:cs="Arial" w:eastAsia="Arial" w:hAnsi="Arial"/>
                <w:sz w:val="19"/>
                <w:szCs w:val="19"/>
                <w:color w:val="auto"/>
                <w:w w:val="87"/>
              </w:rPr>
              <w:t>Each</w:t>
            </w:r>
          </w:p>
        </w:tc>
        <w:tc>
          <w:tcPr>
            <w:tcW w:w="3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9"/>
                <w:szCs w:val="19"/>
                <w:color w:val="auto"/>
              </w:rPr>
              <w:t>7.</w:t>
            </w:r>
          </w:p>
        </w:tc>
        <w:tc>
          <w:tcPr>
            <w:tcW w:w="100" w:type="dxa"/>
            <w:vAlign w:val="bottom"/>
          </w:tcPr>
          <w:p>
            <w:pPr>
              <w:spacing w:after="0"/>
              <w:rPr>
                <w:sz w:val="16"/>
                <w:szCs w:val="16"/>
                <w:color w:val="auto"/>
              </w:rPr>
            </w:pPr>
          </w:p>
        </w:tc>
        <w:tc>
          <w:tcPr>
            <w:tcW w:w="10020" w:type="dxa"/>
            <w:vAlign w:val="bottom"/>
          </w:tcPr>
          <w:p>
            <w:pPr>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200" w:type="dxa"/>
            <w:vAlign w:val="bottom"/>
            <w:tcBorders>
              <w:right w:val="single" w:sz="8" w:color="auto"/>
            </w:tcBorders>
            <w:gridSpan w:val="3"/>
          </w:tcPr>
          <w:p>
            <w:pPr>
              <w:jc w:val="center"/>
              <w:ind w:left="65"/>
              <w:spacing w:after="0"/>
              <w:rPr>
                <w:sz w:val="20"/>
                <w:szCs w:val="20"/>
                <w:color w:val="auto"/>
              </w:rPr>
            </w:pPr>
            <w:r>
              <w:rPr>
                <w:rFonts w:ascii="Arial" w:cs="Arial" w:eastAsia="Arial" w:hAnsi="Arial"/>
                <w:sz w:val="19"/>
                <w:szCs w:val="19"/>
                <w:color w:val="auto"/>
                <w:w w:val="92"/>
              </w:rPr>
              <w:t>Reporting</w:t>
            </w:r>
          </w:p>
        </w:tc>
        <w:tc>
          <w:tcPr>
            <w:tcW w:w="3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800" w:type="dxa"/>
            <w:vAlign w:val="bottom"/>
            <w:tcBorders>
              <w:right w:val="single" w:sz="8" w:color="auto"/>
            </w:tcBorders>
            <w:gridSpan w:val="2"/>
          </w:tcPr>
          <w:p>
            <w:pPr>
              <w:jc w:val="center"/>
              <w:ind w:right="139"/>
              <w:spacing w:after="0"/>
              <w:rPr>
                <w:sz w:val="20"/>
                <w:szCs w:val="20"/>
                <w:color w:val="auto"/>
              </w:rPr>
            </w:pPr>
            <w:r>
              <w:rPr>
                <w:rFonts w:ascii="Arial" w:cs="Arial" w:eastAsia="Arial" w:hAnsi="Arial"/>
                <w:sz w:val="19"/>
                <w:szCs w:val="19"/>
                <w:color w:val="auto"/>
                <w:w w:val="86"/>
              </w:rPr>
              <w:t>Person</w:t>
            </w:r>
          </w:p>
        </w:tc>
        <w:tc>
          <w:tcPr>
            <w:tcW w:w="3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20" w:type="dxa"/>
            <w:vAlign w:val="bottom"/>
          </w:tcPr>
          <w:p>
            <w:pPr>
              <w:spacing w:after="0" w:line="256" w:lineRule="exact"/>
              <w:rPr>
                <w:sz w:val="20"/>
                <w:szCs w:val="20"/>
                <w:color w:val="auto"/>
              </w:rPr>
            </w:pPr>
            <w:r>
              <w:rPr>
                <w:rFonts w:ascii="Arial" w:cs="Arial" w:eastAsia="Arial" w:hAnsi="Arial"/>
                <w:sz w:val="23"/>
                <w:szCs w:val="23"/>
                <w:color w:val="auto"/>
              </w:rPr>
              <w:t>92,592,398 (See Item 4(a) below)</w:t>
            </w:r>
          </w:p>
        </w:tc>
        <w:tc>
          <w:tcPr>
            <w:tcW w:w="0" w:type="dxa"/>
            <w:vAlign w:val="bottom"/>
          </w:tcPr>
          <w:p>
            <w:pPr>
              <w:spacing w:after="0"/>
              <w:rPr>
                <w:sz w:val="1"/>
                <w:szCs w:val="1"/>
                <w:color w:val="auto"/>
              </w:rPr>
            </w:pPr>
          </w:p>
        </w:tc>
      </w:tr>
      <w:tr>
        <w:trPr>
          <w:trHeight w:val="71"/>
        </w:trPr>
        <w:tc>
          <w:tcPr>
            <w:tcW w:w="40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720" w:type="dxa"/>
            <w:vAlign w:val="bottom"/>
            <w:tcBorders>
              <w:right w:val="single" w:sz="8" w:color="auto"/>
            </w:tcBorders>
            <w:vMerge w:val="restart"/>
          </w:tcPr>
          <w:p>
            <w:pPr>
              <w:jc w:val="center"/>
              <w:ind w:right="219"/>
              <w:spacing w:after="0"/>
              <w:rPr>
                <w:sz w:val="20"/>
                <w:szCs w:val="20"/>
                <w:color w:val="auto"/>
              </w:rPr>
            </w:pPr>
            <w:r>
              <w:rPr>
                <w:rFonts w:ascii="Arial" w:cs="Arial" w:eastAsia="Arial" w:hAnsi="Arial"/>
                <w:sz w:val="19"/>
                <w:szCs w:val="19"/>
                <w:color w:val="auto"/>
                <w:w w:val="92"/>
              </w:rPr>
              <w:t>With:</w:t>
            </w:r>
          </w:p>
        </w:tc>
        <w:tc>
          <w:tcPr>
            <w:tcW w:w="34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color w:val="auto"/>
              </w:rPr>
              <w:t>8.</w:t>
            </w:r>
          </w:p>
        </w:tc>
        <w:tc>
          <w:tcPr>
            <w:tcW w:w="100" w:type="dxa"/>
            <w:vAlign w:val="bottom"/>
          </w:tcPr>
          <w:p>
            <w:pPr>
              <w:spacing w:after="0"/>
              <w:rPr>
                <w:sz w:val="13"/>
                <w:szCs w:val="13"/>
                <w:color w:val="auto"/>
              </w:rPr>
            </w:pPr>
          </w:p>
        </w:tc>
        <w:tc>
          <w:tcPr>
            <w:tcW w:w="10020" w:type="dxa"/>
            <w:vAlign w:val="bottom"/>
            <w:vMerge w:val="restart"/>
          </w:tcPr>
          <w:p>
            <w:pPr>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37"/>
        </w:trPr>
        <w:tc>
          <w:tcPr>
            <w:tcW w:w="400" w:type="dxa"/>
            <w:vAlign w:val="bottom"/>
          </w:tcPr>
          <w:p>
            <w:pPr>
              <w:jc w:val="right"/>
              <w:spacing w:after="0"/>
              <w:rPr>
                <w:sz w:val="20"/>
                <w:szCs w:val="20"/>
                <w:color w:val="auto"/>
              </w:rPr>
            </w:pPr>
            <w:r>
              <w:rPr>
                <w:rFonts w:ascii="Arial" w:cs="Arial" w:eastAsia="Arial" w:hAnsi="Arial"/>
                <w:sz w:val="19"/>
                <w:szCs w:val="19"/>
                <w:color w:val="auto"/>
              </w:rPr>
              <w:t>9.</w:t>
            </w:r>
          </w:p>
        </w:tc>
        <w:tc>
          <w:tcPr>
            <w:tcW w:w="80" w:type="dxa"/>
            <w:vAlign w:val="bottom"/>
            <w:tcBorders>
              <w:right w:val="single" w:sz="8" w:color="auto"/>
            </w:tcBorders>
          </w:tcPr>
          <w:p>
            <w:pPr>
              <w:spacing w:after="0"/>
              <w:rPr>
                <w:sz w:val="20"/>
                <w:szCs w:val="20"/>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w w:val="72"/>
              </w:rPr>
              <w:t>Aggregate</w:t>
            </w:r>
          </w:p>
        </w:tc>
        <w:tc>
          <w:tcPr>
            <w:tcW w:w="34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9"/>
                <w:szCs w:val="19"/>
                <w:color w:val="auto"/>
              </w:rPr>
              <w:t>Amount Beneficially Owned by Each Reporting Person</w:t>
            </w:r>
          </w:p>
        </w:tc>
        <w:tc>
          <w:tcPr>
            <w:tcW w:w="0" w:type="dxa"/>
            <w:vAlign w:val="bottom"/>
          </w:tcPr>
          <w:p>
            <w:pPr>
              <w:spacing w:after="0"/>
              <w:rPr>
                <w:sz w:val="1"/>
                <w:szCs w:val="1"/>
                <w:color w:val="auto"/>
              </w:rPr>
            </w:pPr>
          </w:p>
        </w:tc>
      </w:tr>
      <w:tr>
        <w:trPr>
          <w:trHeight w:val="513"/>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3"/>
                <w:szCs w:val="23"/>
                <w:color w:val="auto"/>
                <w:w w:val="92"/>
              </w:rPr>
              <w:t>95,060,375</w:t>
            </w:r>
          </w:p>
        </w:tc>
        <w:tc>
          <w:tcPr>
            <w:tcW w:w="10020" w:type="dxa"/>
            <w:vAlign w:val="bottom"/>
            <w:tcBorders>
              <w:bottom w:val="single" w:sz="8" w:color="auto"/>
            </w:tcBorders>
          </w:tcPr>
          <w:p>
            <w:pPr>
              <w:spacing w:after="0"/>
              <w:rPr>
                <w:sz w:val="20"/>
                <w:szCs w:val="20"/>
                <w:color w:val="auto"/>
              </w:rPr>
            </w:pPr>
            <w:r>
              <w:rPr>
                <w:rFonts w:ascii="Arial" w:cs="Arial" w:eastAsia="Arial" w:hAnsi="Arial"/>
                <w:sz w:val="23"/>
                <w:szCs w:val="23"/>
                <w:color w:val="auto"/>
              </w:rPr>
              <w:t>(See Item 4(a) below)</w:t>
            </w:r>
          </w:p>
        </w:tc>
        <w:tc>
          <w:tcPr>
            <w:tcW w:w="0" w:type="dxa"/>
            <w:vAlign w:val="bottom"/>
          </w:tcPr>
          <w:p>
            <w:pPr>
              <w:spacing w:after="0"/>
              <w:rPr>
                <w:sz w:val="1"/>
                <w:szCs w:val="1"/>
                <w:color w:val="auto"/>
              </w:rPr>
            </w:pPr>
          </w:p>
        </w:tc>
      </w:tr>
      <w:tr>
        <w:trPr>
          <w:trHeight w:val="237"/>
        </w:trPr>
        <w:tc>
          <w:tcPr>
            <w:tcW w:w="400" w:type="dxa"/>
            <w:vAlign w:val="bottom"/>
          </w:tcPr>
          <w:p>
            <w:pPr>
              <w:jc w:val="right"/>
              <w:spacing w:after="0"/>
              <w:rPr>
                <w:sz w:val="20"/>
                <w:szCs w:val="20"/>
                <w:color w:val="auto"/>
              </w:rPr>
            </w:pPr>
            <w:r>
              <w:rPr>
                <w:rFonts w:ascii="Arial" w:cs="Arial" w:eastAsia="Arial" w:hAnsi="Arial"/>
                <w:sz w:val="19"/>
                <w:szCs w:val="19"/>
                <w:color w:val="auto"/>
              </w:rPr>
              <w:t>10.</w:t>
            </w:r>
          </w:p>
        </w:tc>
        <w:tc>
          <w:tcPr>
            <w:tcW w:w="80" w:type="dxa"/>
            <w:vAlign w:val="bottom"/>
            <w:tcBorders>
              <w:right w:val="single" w:sz="8" w:color="auto"/>
            </w:tcBorders>
          </w:tcPr>
          <w:p>
            <w:pPr>
              <w:spacing w:after="0"/>
              <w:rPr>
                <w:sz w:val="20"/>
                <w:szCs w:val="20"/>
                <w:color w:val="auto"/>
              </w:rPr>
            </w:pPr>
          </w:p>
        </w:tc>
        <w:tc>
          <w:tcPr>
            <w:tcW w:w="11180" w:type="dxa"/>
            <w:vAlign w:val="bottom"/>
            <w:gridSpan w:val="4"/>
          </w:tcPr>
          <w:p>
            <w:pPr>
              <w:ind w:left="80"/>
              <w:spacing w:after="0"/>
              <w:rPr>
                <w:sz w:val="20"/>
                <w:szCs w:val="20"/>
                <w:color w:val="auto"/>
              </w:rPr>
            </w:pPr>
            <w:r>
              <w:rPr>
                <w:rFonts w:ascii="Arial" w:cs="Arial" w:eastAsia="Arial" w:hAnsi="Arial"/>
                <w:sz w:val="19"/>
                <w:szCs w:val="19"/>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58"/>
        </w:trPr>
        <w:tc>
          <w:tcPr>
            <w:tcW w:w="480" w:type="dxa"/>
            <w:vAlign w:val="bottom"/>
            <w:tcBorders>
              <w:bottom w:val="single" w:sz="8" w:color="auto"/>
              <w:right w:val="single" w:sz="8" w:color="auto"/>
            </w:tcBorders>
            <w:gridSpan w:val="2"/>
          </w:tcPr>
          <w:p>
            <w:pPr>
              <w:spacing w:after="0"/>
              <w:rPr>
                <w:sz w:val="22"/>
                <w:szCs w:val="22"/>
                <w:color w:val="auto"/>
              </w:rPr>
            </w:pPr>
          </w:p>
        </w:tc>
        <w:tc>
          <w:tcPr>
            <w:tcW w:w="11180" w:type="dxa"/>
            <w:vAlign w:val="bottom"/>
            <w:tcBorders>
              <w:bottom w:val="single" w:sz="8" w:color="auto"/>
            </w:tcBorders>
            <w:gridSpan w:val="4"/>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80" w:type="dxa"/>
            <w:vAlign w:val="bottom"/>
            <w:tcBorders>
              <w:right w:val="single" w:sz="8" w:color="auto"/>
            </w:tcBorders>
            <w:gridSpan w:val="2"/>
          </w:tcPr>
          <w:p>
            <w:pPr>
              <w:jc w:val="right"/>
              <w:spacing w:after="0"/>
              <w:rPr>
                <w:sz w:val="20"/>
                <w:szCs w:val="20"/>
                <w:color w:val="auto"/>
              </w:rPr>
            </w:pPr>
            <w:r>
              <w:rPr>
                <w:rFonts w:ascii="Arial" w:cs="Arial" w:eastAsia="Arial" w:hAnsi="Arial"/>
                <w:sz w:val="19"/>
                <w:szCs w:val="19"/>
                <w:color w:val="auto"/>
              </w:rPr>
              <w:t>11.</w:t>
            </w:r>
          </w:p>
        </w:tc>
        <w:tc>
          <w:tcPr>
            <w:tcW w:w="11180" w:type="dxa"/>
            <w:vAlign w:val="bottom"/>
            <w:gridSpan w:val="4"/>
          </w:tcPr>
          <w:p>
            <w:pPr>
              <w:ind w:left="80"/>
              <w:spacing w:after="0"/>
              <w:rPr>
                <w:sz w:val="20"/>
                <w:szCs w:val="20"/>
                <w:color w:val="auto"/>
              </w:rPr>
            </w:pPr>
            <w:r>
              <w:rPr>
                <w:rFonts w:ascii="Arial" w:cs="Arial" w:eastAsia="Arial" w:hAnsi="Arial"/>
                <w:sz w:val="19"/>
                <w:szCs w:val="19"/>
                <w:color w:val="auto"/>
              </w:rPr>
              <w:t>Percent of Class Represented by Amount in Row (9)</w:t>
            </w:r>
          </w:p>
        </w:tc>
        <w:tc>
          <w:tcPr>
            <w:tcW w:w="0" w:type="dxa"/>
            <w:vAlign w:val="bottom"/>
          </w:tcPr>
          <w:p>
            <w:pPr>
              <w:spacing w:after="0"/>
              <w:rPr>
                <w:sz w:val="1"/>
                <w:szCs w:val="1"/>
                <w:color w:val="auto"/>
              </w:rPr>
            </w:pPr>
          </w:p>
        </w:tc>
      </w:tr>
      <w:tr>
        <w:trPr>
          <w:trHeight w:val="513"/>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180" w:type="dxa"/>
            <w:vAlign w:val="bottom"/>
            <w:tcBorders>
              <w:bottom w:val="single" w:sz="8" w:color="auto"/>
            </w:tcBorders>
            <w:gridSpan w:val="4"/>
          </w:tcPr>
          <w:p>
            <w:pPr>
              <w:ind w:left="80"/>
              <w:spacing w:after="0"/>
              <w:rPr>
                <w:sz w:val="20"/>
                <w:szCs w:val="20"/>
                <w:color w:val="auto"/>
              </w:rPr>
            </w:pPr>
            <w:r>
              <w:rPr>
                <w:rFonts w:ascii="Arial" w:cs="Arial" w:eastAsia="Arial" w:hAnsi="Arial"/>
                <w:sz w:val="23"/>
                <w:szCs w:val="23"/>
                <w:color w:val="auto"/>
              </w:rPr>
              <w:t>35.7% (See Item 4(b) below)</w:t>
            </w:r>
          </w:p>
        </w:tc>
        <w:tc>
          <w:tcPr>
            <w:tcW w:w="0" w:type="dxa"/>
            <w:vAlign w:val="bottom"/>
          </w:tcPr>
          <w:p>
            <w:pPr>
              <w:spacing w:after="0"/>
              <w:rPr>
                <w:sz w:val="1"/>
                <w:szCs w:val="1"/>
                <w:color w:val="auto"/>
              </w:rPr>
            </w:pPr>
          </w:p>
        </w:tc>
      </w:tr>
      <w:tr>
        <w:trPr>
          <w:trHeight w:val="237"/>
        </w:trPr>
        <w:tc>
          <w:tcPr>
            <w:tcW w:w="40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Borders>
              <w:right w:val="single" w:sz="8" w:color="auto"/>
            </w:tcBorders>
          </w:tcPr>
          <w:p>
            <w:pPr>
              <w:spacing w:after="0"/>
              <w:rPr>
                <w:sz w:val="20"/>
                <w:szCs w:val="20"/>
                <w:color w:val="auto"/>
              </w:rPr>
            </w:pPr>
          </w:p>
        </w:tc>
        <w:tc>
          <w:tcPr>
            <w:tcW w:w="11180" w:type="dxa"/>
            <w:vAlign w:val="bottom"/>
            <w:gridSpan w:val="4"/>
          </w:tcPr>
          <w:p>
            <w:pPr>
              <w:ind w:left="80"/>
              <w:spacing w:after="0"/>
              <w:rPr>
                <w:sz w:val="20"/>
                <w:szCs w:val="20"/>
                <w:color w:val="auto"/>
              </w:rPr>
            </w:pPr>
            <w:r>
              <w:rPr>
                <w:rFonts w:ascii="Arial" w:cs="Arial" w:eastAsia="Arial" w:hAnsi="Arial"/>
                <w:sz w:val="19"/>
                <w:szCs w:val="19"/>
                <w:color w:val="auto"/>
              </w:rPr>
              <w:t>Type of Reporting Person (See Instructions)</w:t>
            </w:r>
          </w:p>
        </w:tc>
        <w:tc>
          <w:tcPr>
            <w:tcW w:w="0" w:type="dxa"/>
            <w:vAlign w:val="bottom"/>
          </w:tcPr>
          <w:p>
            <w:pPr>
              <w:spacing w:after="0"/>
              <w:rPr>
                <w:sz w:val="1"/>
                <w:szCs w:val="1"/>
                <w:color w:val="auto"/>
              </w:rPr>
            </w:pPr>
          </w:p>
        </w:tc>
      </w:tr>
      <w:tr>
        <w:trPr>
          <w:trHeight w:val="513"/>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23"/>
                <w:szCs w:val="23"/>
                <w:color w:val="auto"/>
              </w:rPr>
              <w:t>IN</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660"/>
          </w:cols>
          <w:pgMar w:left="300" w:top="142" w:right="280"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Item 1(a)</w:t>
      </w:r>
      <w:r>
        <w:rPr>
          <w:sz w:val="20"/>
          <w:szCs w:val="20"/>
          <w:color w:val="auto"/>
        </w:rPr>
        <w:tab/>
      </w:r>
      <w:r>
        <w:rPr>
          <w:rFonts w:ascii="Arial" w:cs="Arial" w:eastAsia="Arial" w:hAnsi="Arial"/>
          <w:sz w:val="17"/>
          <w:szCs w:val="17"/>
          <w:b w:val="1"/>
          <w:bCs w:val="1"/>
          <w:color w:val="auto"/>
        </w:rPr>
        <w:t>Name of Issuer: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Dropbox, Inc.</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333 Brannan Street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9"/>
          <w:szCs w:val="19"/>
          <w:color w:val="auto"/>
        </w:rPr>
        <w:t>San Francisco, CA 94107</w:t>
      </w:r>
    </w:p>
    <w:p>
      <w:pPr>
        <w:spacing w:after="0" w:line="37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2(a)</w:t>
      </w:r>
      <w:r>
        <w:rPr>
          <w:sz w:val="20"/>
          <w:szCs w:val="20"/>
          <w:color w:val="auto"/>
        </w:rPr>
        <w:tab/>
      </w:r>
      <w:r>
        <w:rPr>
          <w:rFonts w:ascii="Arial" w:cs="Arial" w:eastAsia="Arial" w:hAnsi="Arial"/>
          <w:sz w:val="17"/>
          <w:szCs w:val="17"/>
          <w:b w:val="1"/>
          <w:bCs w:val="1"/>
          <w:color w:val="auto"/>
        </w:rPr>
        <w:t>Name of Person Filing:</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Andrew W. Houston</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 or, if none, Residence: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c/o Dropbox,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9"/>
          <w:szCs w:val="19"/>
          <w:color w:val="auto"/>
        </w:rPr>
        <w:t>333 Brannan Street</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San Francisco, CA 94107</w:t>
      </w:r>
    </w:p>
    <w:p>
      <w:pPr>
        <w:spacing w:after="0" w:line="37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2(c)</w:t>
      </w:r>
      <w:r>
        <w:rPr>
          <w:sz w:val="20"/>
          <w:szCs w:val="20"/>
          <w:color w:val="auto"/>
        </w:rPr>
        <w:tab/>
      </w:r>
      <w:r>
        <w:rPr>
          <w:rFonts w:ascii="Arial" w:cs="Arial" w:eastAsia="Arial" w:hAnsi="Arial"/>
          <w:sz w:val="17"/>
          <w:szCs w:val="17"/>
          <w:b w:val="1"/>
          <w:bCs w:val="1"/>
          <w:color w:val="auto"/>
        </w:rPr>
        <w:t>Citizenship:</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Andrew W. Houston is a United States citizen</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Class A Common Stock, par value $0.00001 per share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2(e)</w:t>
      </w:r>
      <w:r>
        <w:rPr>
          <w:sz w:val="20"/>
          <w:szCs w:val="20"/>
          <w:color w:val="auto"/>
        </w:rPr>
        <w:tab/>
      </w:r>
      <w:r>
        <w:rPr>
          <w:rFonts w:ascii="Arial" w:cs="Arial" w:eastAsia="Arial" w:hAnsi="Arial"/>
          <w:sz w:val="18"/>
          <w:szCs w:val="18"/>
          <w:b w:val="1"/>
          <w:bCs w:val="1"/>
          <w:color w:val="auto"/>
        </w:rPr>
        <w:t>CUSIP Number: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26210C 104</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§§240.13d-1(b) or 240.13d-2(b) or (c), check whether the person filing is a:</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144" w:lineRule="exact"/>
        <w:rPr>
          <w:sz w:val="20"/>
          <w:szCs w:val="20"/>
          <w:color w:val="auto"/>
        </w:rPr>
      </w:pPr>
    </w:p>
    <w:p>
      <w:pPr>
        <w:ind w:left="920" w:hanging="464"/>
        <w:spacing w:after="0"/>
        <w:tabs>
          <w:tab w:leader="none" w:pos="9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Amount beneficially owned:</w:t>
      </w:r>
    </w:p>
    <w:p>
      <w:pPr>
        <w:spacing w:after="0" w:line="123" w:lineRule="exact"/>
        <w:rPr>
          <w:rFonts w:ascii="Arial" w:cs="Arial" w:eastAsia="Arial" w:hAnsi="Arial"/>
          <w:sz w:val="19"/>
          <w:szCs w:val="19"/>
          <w:color w:val="auto"/>
        </w:rPr>
      </w:pPr>
    </w:p>
    <w:p>
      <w:pPr>
        <w:ind w:left="940"/>
        <w:spacing w:after="0" w:line="270" w:lineRule="auto"/>
        <w:rPr>
          <w:rFonts w:ascii="Arial" w:cs="Arial" w:eastAsia="Arial" w:hAnsi="Arial"/>
          <w:sz w:val="19"/>
          <w:szCs w:val="19"/>
          <w:color w:val="auto"/>
        </w:rPr>
      </w:pPr>
      <w:r>
        <w:rPr>
          <w:rFonts w:ascii="Arial" w:cs="Arial" w:eastAsia="Arial" w:hAnsi="Arial"/>
          <w:sz w:val="18"/>
          <w:szCs w:val="18"/>
          <w:color w:val="auto"/>
        </w:rPr>
        <w:t>As of December 31, 2018, (i) 10,333,333 shares of Class A Common Stock were held of record by Andrew W. Houston, (ii) 716,728 shares of Class A Common Stock and 7,893,764 shares of Class B Common Stock were held of record by the Houston Remainder Trust dated 12/30/2010, for which Mr. Houston serves as trustee, (iii) 73,148,073 shares of Class B Common Stock were held of record by the Andrew W. Houston Revocable Trust dated 9/7/2011, for which Mr. Houston serves as trustee, and (iv) 500,500 shares of Class B Common Stock were held of record by the Houston 2012 Irrevocable Children’s Trust dated 4/12/2012, for which Mr. Houston serves as trustee. In addition, Mr. Houston has voting power over 271,400 shares of Class A Common Stock and 2,196,577 shares of Class B Common Stock held by other stockholders, over which, under all but certain limited circumstances, Mr. Houston holds an irrevocable proxy, pursuant to voting agreements between Mr. Houston and such stockholders.</w:t>
      </w:r>
    </w:p>
    <w:p>
      <w:pPr>
        <w:sectPr>
          <w:pgSz w:w="12240" w:h="15840" w:orient="portrait"/>
          <w:cols w:equalWidth="0" w:num="1">
            <w:col w:w="11620"/>
          </w:cols>
          <w:pgMar w:left="300" w:top="136" w:right="320" w:bottom="1440" w:gutter="0" w:footer="0" w:header="0"/>
        </w:sectPr>
      </w:pPr>
    </w:p>
    <w:bookmarkStart w:id="3" w:name="page4"/>
    <w:bookmarkEnd w:id="3"/>
    <w:p>
      <w:pPr>
        <w:ind w:left="940" w:right="200"/>
        <w:spacing w:after="0" w:line="25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Each share of Class B Common Stock is convertible into one share of Class A Common Stock at the option of the holder and has no expiration date. Each share of Class B Common Stock is entitled to ten votes per share, whereas each share of Class A Common Stock is entitled to one vote per share. The rights of the holders of Class A Common Stock and Class B Common Stock are identical, except with respect to the aforementioned conversion rights and voting rights.</w:t>
      </w:r>
    </w:p>
    <w:p>
      <w:pPr>
        <w:spacing w:after="0" w:line="98" w:lineRule="exact"/>
        <w:rPr>
          <w:sz w:val="20"/>
          <w:szCs w:val="20"/>
          <w:color w:val="auto"/>
        </w:rPr>
      </w:pPr>
    </w:p>
    <w:p>
      <w:pPr>
        <w:ind w:left="920" w:hanging="464"/>
        <w:spacing w:after="0"/>
        <w:tabs>
          <w:tab w:leader="none" w:pos="920" w:val="left"/>
        </w:tabs>
        <w:numPr>
          <w:ilvl w:val="0"/>
          <w:numId w:val="5"/>
        </w:numPr>
        <w:rPr>
          <w:rFonts w:ascii="Arial" w:cs="Arial" w:eastAsia="Arial" w:hAnsi="Arial"/>
          <w:sz w:val="19"/>
          <w:szCs w:val="19"/>
          <w:color w:val="auto"/>
        </w:rPr>
      </w:pPr>
      <w:r>
        <w:rPr>
          <w:rFonts w:ascii="Arial" w:cs="Arial" w:eastAsia="Arial" w:hAnsi="Arial"/>
          <w:sz w:val="19"/>
          <w:szCs w:val="19"/>
          <w:color w:val="auto"/>
        </w:rPr>
        <w:t>Percent of class:</w:t>
      </w:r>
    </w:p>
    <w:p>
      <w:pPr>
        <w:spacing w:after="0" w:line="123" w:lineRule="exact"/>
        <w:rPr>
          <w:rFonts w:ascii="Arial" w:cs="Arial" w:eastAsia="Arial" w:hAnsi="Arial"/>
          <w:sz w:val="19"/>
          <w:szCs w:val="19"/>
          <w:color w:val="auto"/>
        </w:rPr>
      </w:pPr>
    </w:p>
    <w:p>
      <w:pPr>
        <w:ind w:left="940"/>
        <w:spacing w:after="0"/>
        <w:rPr>
          <w:rFonts w:ascii="Arial" w:cs="Arial" w:eastAsia="Arial" w:hAnsi="Arial"/>
          <w:sz w:val="19"/>
          <w:szCs w:val="19"/>
          <w:color w:val="auto"/>
        </w:rPr>
      </w:pPr>
      <w:r>
        <w:rPr>
          <w:rFonts w:ascii="Arial" w:cs="Arial" w:eastAsia="Arial" w:hAnsi="Arial"/>
          <w:sz w:val="19"/>
          <w:szCs w:val="19"/>
          <w:color w:val="auto"/>
        </w:rPr>
        <w:t>35.7%</w:t>
      </w:r>
    </w:p>
    <w:p>
      <w:pPr>
        <w:spacing w:after="0" w:line="123" w:lineRule="exact"/>
        <w:rPr>
          <w:rFonts w:ascii="Arial" w:cs="Arial" w:eastAsia="Arial" w:hAnsi="Arial"/>
          <w:sz w:val="19"/>
          <w:szCs w:val="19"/>
          <w:color w:val="auto"/>
        </w:rPr>
      </w:pPr>
    </w:p>
    <w:p>
      <w:pPr>
        <w:ind w:left="940"/>
        <w:spacing w:after="0" w:line="259" w:lineRule="auto"/>
        <w:rPr>
          <w:rFonts w:ascii="Arial" w:cs="Arial" w:eastAsia="Arial" w:hAnsi="Arial"/>
          <w:sz w:val="19"/>
          <w:szCs w:val="19"/>
          <w:color w:val="auto"/>
        </w:rPr>
      </w:pPr>
      <w:r>
        <w:rPr>
          <w:rFonts w:ascii="Arial" w:cs="Arial" w:eastAsia="Arial" w:hAnsi="Arial"/>
          <w:sz w:val="19"/>
          <w:szCs w:val="19"/>
          <w:color w:val="auto"/>
        </w:rPr>
        <w:t>The ownership percentage above is calculated based on 182,703,210 shares of Class A Common Stock outstanding as of October 31, 2018, as reported in the Issuer’s Form 10-Q filed with the Securities and Exchange Commission on November 9, 2018, plus the assumed conversion of 83,738,914 shares of Class B Common Stock deemed beneficially owned by Mr. Houston, as described herein, into shares of Class A Common Stock.</w:t>
      </w:r>
    </w:p>
    <w:p>
      <w:pPr>
        <w:spacing w:after="0" w:line="97" w:lineRule="exact"/>
        <w:rPr>
          <w:rFonts w:ascii="Arial" w:cs="Arial" w:eastAsia="Arial" w:hAnsi="Arial"/>
          <w:sz w:val="19"/>
          <w:szCs w:val="19"/>
          <w:color w:val="auto"/>
        </w:rPr>
      </w:pPr>
    </w:p>
    <w:p>
      <w:pPr>
        <w:ind w:left="920" w:hanging="464"/>
        <w:spacing w:after="0"/>
        <w:tabs>
          <w:tab w:leader="none" w:pos="920" w:val="left"/>
        </w:tabs>
        <w:numPr>
          <w:ilvl w:val="0"/>
          <w:numId w:val="5"/>
        </w:numPr>
        <w:rPr>
          <w:rFonts w:ascii="Arial" w:cs="Arial" w:eastAsia="Arial" w:hAnsi="Arial"/>
          <w:sz w:val="19"/>
          <w:szCs w:val="19"/>
          <w:color w:val="auto"/>
        </w:rPr>
      </w:pPr>
      <w:r>
        <w:rPr>
          <w:rFonts w:ascii="Arial" w:cs="Arial" w:eastAsia="Arial" w:hAnsi="Arial"/>
          <w:sz w:val="19"/>
          <w:szCs w:val="19"/>
          <w:color w:val="auto"/>
        </w:rPr>
        <w:t>Number of shares as to which the person has:</w:t>
      </w:r>
    </w:p>
    <w:p>
      <w:pPr>
        <w:spacing w:after="0" w:line="138" w:lineRule="exact"/>
        <w:rPr>
          <w:rFonts w:ascii="Arial" w:cs="Arial" w:eastAsia="Arial" w:hAnsi="Arial"/>
          <w:sz w:val="19"/>
          <w:szCs w:val="19"/>
          <w:color w:val="auto"/>
        </w:rPr>
      </w:pPr>
    </w:p>
    <w:p>
      <w:pPr>
        <w:ind w:left="1500" w:hanging="574"/>
        <w:spacing w:after="0"/>
        <w:tabs>
          <w:tab w:leader="none" w:pos="1500" w:val="left"/>
        </w:tabs>
        <w:numPr>
          <w:ilvl w:val="1"/>
          <w:numId w:val="5"/>
        </w:numPr>
        <w:rPr>
          <w:rFonts w:ascii="Arial" w:cs="Arial" w:eastAsia="Arial" w:hAnsi="Arial"/>
          <w:sz w:val="19"/>
          <w:szCs w:val="19"/>
          <w:color w:val="auto"/>
        </w:rPr>
      </w:pPr>
      <w:r>
        <w:rPr>
          <w:rFonts w:ascii="Arial" w:cs="Arial" w:eastAsia="Arial" w:hAnsi="Arial"/>
          <w:sz w:val="19"/>
          <w:szCs w:val="19"/>
          <w:color w:val="auto"/>
        </w:rPr>
        <w:t>Sole power to vote or direct the vote: 95,060,375 shares</w:t>
      </w:r>
    </w:p>
    <w:p>
      <w:pPr>
        <w:spacing w:after="0" w:line="138" w:lineRule="exact"/>
        <w:rPr>
          <w:rFonts w:ascii="Arial" w:cs="Arial" w:eastAsia="Arial" w:hAnsi="Arial"/>
          <w:sz w:val="19"/>
          <w:szCs w:val="19"/>
          <w:color w:val="auto"/>
        </w:rPr>
      </w:pPr>
    </w:p>
    <w:p>
      <w:pPr>
        <w:ind w:left="1500" w:hanging="574"/>
        <w:spacing w:after="0"/>
        <w:tabs>
          <w:tab w:leader="none" w:pos="1500" w:val="left"/>
        </w:tabs>
        <w:numPr>
          <w:ilvl w:val="1"/>
          <w:numId w:val="5"/>
        </w:numPr>
        <w:rPr>
          <w:rFonts w:ascii="Arial" w:cs="Arial" w:eastAsia="Arial" w:hAnsi="Arial"/>
          <w:sz w:val="19"/>
          <w:szCs w:val="19"/>
          <w:color w:val="auto"/>
        </w:rPr>
      </w:pPr>
      <w:r>
        <w:rPr>
          <w:rFonts w:ascii="Arial" w:cs="Arial" w:eastAsia="Arial" w:hAnsi="Arial"/>
          <w:sz w:val="19"/>
          <w:szCs w:val="19"/>
          <w:color w:val="auto"/>
        </w:rPr>
        <w:t>Shared power to vote or direct the vote: 0 shares</w:t>
      </w:r>
    </w:p>
    <w:p>
      <w:pPr>
        <w:spacing w:after="0" w:line="138" w:lineRule="exact"/>
        <w:rPr>
          <w:rFonts w:ascii="Arial" w:cs="Arial" w:eastAsia="Arial" w:hAnsi="Arial"/>
          <w:sz w:val="19"/>
          <w:szCs w:val="19"/>
          <w:color w:val="auto"/>
        </w:rPr>
      </w:pPr>
    </w:p>
    <w:p>
      <w:pPr>
        <w:ind w:left="1500" w:hanging="574"/>
        <w:spacing w:after="0"/>
        <w:tabs>
          <w:tab w:leader="none" w:pos="1500" w:val="left"/>
        </w:tabs>
        <w:numPr>
          <w:ilvl w:val="1"/>
          <w:numId w:val="5"/>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92,592,398 shares</w:t>
      </w:r>
    </w:p>
    <w:p>
      <w:pPr>
        <w:spacing w:after="0" w:line="138" w:lineRule="exact"/>
        <w:rPr>
          <w:rFonts w:ascii="Arial" w:cs="Arial" w:eastAsia="Arial" w:hAnsi="Arial"/>
          <w:sz w:val="19"/>
          <w:szCs w:val="19"/>
          <w:color w:val="auto"/>
        </w:rPr>
      </w:pPr>
    </w:p>
    <w:p>
      <w:pPr>
        <w:ind w:left="1500" w:hanging="574"/>
        <w:spacing w:after="0"/>
        <w:tabs>
          <w:tab w:leader="none" w:pos="1500" w:val="left"/>
        </w:tabs>
        <w:numPr>
          <w:ilvl w:val="1"/>
          <w:numId w:val="5"/>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0 shares</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5 Percent or Less of a Class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5 Percent on Behalf of Another Person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ind w:left="1040" w:right="600" w:hanging="1040"/>
        <w:spacing w:after="0" w:line="282" w:lineRule="auto"/>
        <w:tabs>
          <w:tab w:leader="none" w:pos="102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ectPr>
          <w:pgSz w:w="12240" w:h="15840" w:orient="portrait"/>
          <w:cols w:equalWidth="0" w:num="1">
            <w:col w:w="11520"/>
          </w:cols>
          <w:pgMar w:left="300" w:top="142" w:right="420"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SIGNATURES</w:t>
      </w:r>
    </w:p>
    <w:p>
      <w:pPr>
        <w:spacing w:after="0" w:line="244" w:lineRule="exact"/>
        <w:rPr>
          <w:sz w:val="20"/>
          <w:szCs w:val="20"/>
          <w:color w:val="auto"/>
        </w:rPr>
      </w:pPr>
    </w:p>
    <w:p>
      <w:pPr>
        <w:ind w:firstLine="465"/>
        <w:spacing w:after="0" w:line="275"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color w:val="auto"/>
        </w:rPr>
        <w:t>Date: February 14, 2019</w:t>
      </w:r>
    </w:p>
    <w:p>
      <w:pPr>
        <w:spacing w:after="0" w:line="266"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15240</wp:posOffset>
            </wp:positionV>
            <wp:extent cx="2952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52115" cy="8890"/>
                    </a:xfrm>
                    <a:prstGeom prst="rect">
                      <a:avLst/>
                    </a:prstGeom>
                    <a:noFill/>
                  </pic:spPr>
                </pic:pic>
              </a:graphicData>
            </a:graphic>
          </wp:anchor>
        </w:drawing>
      </w:r>
    </w:p>
    <w:p>
      <w:pPr>
        <w:spacing w:after="0" w:line="4"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Andrew W. Houston</w:t>
      </w:r>
    </w:p>
    <w:sectPr>
      <w:pgSz w:w="12240" w:h="15840" w:orient="portrait"/>
      <w:cols w:equalWidth="0" w:num="1">
        <w:col w:w="11520"/>
      </w:cols>
      <w:pgMar w:left="300" w:top="136" w:right="4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2019-12-15T16:53:26Z</dcterms:created>
  <dcterms:modified xsi:type="dcterms:W3CDTF">2019-12-15T16:53:26Z</dcterms:modified>
</cp:coreProperties>
</file>